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CD7A44">
      <w:pPr>
        <w:rPr>
          <w:rFonts w:ascii="仿宋_GB2312" w:hAnsi="仿宋_GB2312" w:eastAsia="仿宋_GB2312" w:cs="仿宋_GB2312"/>
          <w:color w:val="auto"/>
          <w:sz w:val="36"/>
          <w:szCs w:val="36"/>
        </w:rPr>
      </w:pPr>
      <w:bookmarkStart w:id="0" w:name="_Hlk57883707"/>
      <w:bookmarkStart w:id="7" w:name="_GoBack"/>
      <w:bookmarkEnd w:id="7"/>
    </w:p>
    <w:p w14:paraId="60468F79">
      <w:pPr>
        <w:rPr>
          <w:rFonts w:ascii="仿宋_GB2312" w:hAnsi="仿宋_GB2312" w:eastAsia="仿宋_GB2312" w:cs="仿宋_GB2312"/>
          <w:color w:val="auto"/>
          <w:sz w:val="36"/>
          <w:szCs w:val="36"/>
        </w:rPr>
      </w:pPr>
    </w:p>
    <w:p w14:paraId="3A54F9EA">
      <w:pPr>
        <w:rPr>
          <w:rFonts w:ascii="仿宋_GB2312" w:hAnsi="仿宋_GB2312" w:eastAsia="仿宋_GB2312" w:cs="仿宋_GB2312"/>
          <w:color w:val="auto"/>
          <w:sz w:val="36"/>
          <w:szCs w:val="36"/>
        </w:rPr>
      </w:pPr>
    </w:p>
    <w:p w14:paraId="7CB675DD">
      <w:pPr>
        <w:rPr>
          <w:rFonts w:hint="eastAsia" w:ascii="方正小标宋简体" w:hAnsi="方正小标宋简体" w:eastAsia="方正小标宋简体" w:cs="方正小标宋简体"/>
          <w:color w:val="auto"/>
          <w:sz w:val="36"/>
          <w:szCs w:val="36"/>
        </w:rPr>
      </w:pPr>
    </w:p>
    <w:bookmarkEnd w:id="0"/>
    <w:p w14:paraId="541044C2">
      <w:pPr>
        <w:adjustRightInd w:val="0"/>
        <w:snapToGrid w:val="0"/>
        <w:jc w:val="center"/>
        <w:outlineLvl w:val="0"/>
        <w:rPr>
          <w:rFonts w:hint="eastAsia" w:ascii="方正小标宋简体" w:hAnsi="方正小标宋简体" w:eastAsia="方正小标宋简体" w:cs="方正小标宋简体"/>
          <w:b/>
          <w:bCs w:val="0"/>
          <w:color w:val="auto"/>
          <w:sz w:val="60"/>
          <w:szCs w:val="60"/>
          <w:lang w:val="en-US" w:eastAsia="zh-CN"/>
        </w:rPr>
      </w:pPr>
      <w:r>
        <w:rPr>
          <w:rFonts w:hint="eastAsia" w:ascii="方正小标宋简体" w:hAnsi="方正小标宋简体" w:eastAsia="方正小标宋简体" w:cs="方正小标宋简体"/>
          <w:bCs/>
          <w:color w:val="auto"/>
          <w:sz w:val="60"/>
          <w:szCs w:val="60"/>
        </w:rPr>
        <w:t>建设项目</w:t>
      </w:r>
      <w:r>
        <w:rPr>
          <w:rFonts w:hint="eastAsia" w:ascii="方正小标宋简体" w:hAnsi="方正小标宋简体" w:eastAsia="方正小标宋简体" w:cs="方正小标宋简体"/>
          <w:b/>
          <w:bCs w:val="0"/>
          <w:color w:val="auto"/>
          <w:sz w:val="60"/>
          <w:szCs w:val="60"/>
          <w:lang w:val="en-US" w:eastAsia="zh-CN"/>
        </w:rPr>
        <w:t>生态</w:t>
      </w:r>
      <w:r>
        <w:rPr>
          <w:rFonts w:hint="eastAsia" w:ascii="方正小标宋简体" w:hAnsi="方正小标宋简体" w:eastAsia="方正小标宋简体" w:cs="方正小标宋简体"/>
          <w:bCs/>
          <w:color w:val="auto"/>
          <w:sz w:val="60"/>
          <w:szCs w:val="60"/>
        </w:rPr>
        <w:t>环境影响报告表</w:t>
      </w:r>
    </w:p>
    <w:p w14:paraId="2C1FB185">
      <w:pPr>
        <w:adjustRightInd w:val="0"/>
        <w:snapToGrid w:val="0"/>
        <w:spacing w:before="192" w:beforeLines="80"/>
        <w:jc w:val="center"/>
        <w:rPr>
          <w:rFonts w:hint="eastAsia" w:ascii="楷体_GB2312" w:eastAsia="楷体_GB2312"/>
          <w:bCs/>
          <w:color w:val="auto"/>
          <w:sz w:val="48"/>
          <w:szCs w:val="48"/>
        </w:rPr>
      </w:pPr>
      <w:r>
        <w:rPr>
          <w:rFonts w:hint="eastAsia" w:ascii="楷体_GB2312" w:eastAsia="楷体_GB2312"/>
          <w:bCs/>
          <w:color w:val="auto"/>
          <w:sz w:val="48"/>
          <w:szCs w:val="48"/>
        </w:rPr>
        <w:t>（</w:t>
      </w:r>
      <w:r>
        <w:rPr>
          <w:rFonts w:hint="eastAsia" w:ascii="楷体_GB2312" w:eastAsia="楷体_GB2312"/>
          <w:bCs/>
          <w:color w:val="auto"/>
          <w:sz w:val="48"/>
          <w:szCs w:val="48"/>
          <w:lang w:val="en-US" w:eastAsia="zh-CN"/>
        </w:rPr>
        <w:t>污染</w:t>
      </w:r>
      <w:r>
        <w:rPr>
          <w:rFonts w:hint="eastAsia" w:ascii="楷体_GB2312" w:eastAsia="楷体_GB2312"/>
          <w:bCs/>
          <w:color w:val="auto"/>
          <w:sz w:val="48"/>
          <w:szCs w:val="48"/>
        </w:rPr>
        <w:t>影响类）</w:t>
      </w:r>
    </w:p>
    <w:p w14:paraId="21DC756B">
      <w:pPr>
        <w:adjustRightInd w:val="0"/>
        <w:snapToGrid w:val="0"/>
        <w:spacing w:before="192" w:beforeLines="80"/>
        <w:jc w:val="center"/>
        <w:rPr>
          <w:rFonts w:hint="eastAsia" w:ascii="楷体_GB2312" w:eastAsia="楷体_GB2312"/>
          <w:bCs/>
          <w:color w:val="auto"/>
          <w:sz w:val="48"/>
          <w:szCs w:val="48"/>
          <w:lang w:eastAsia="zh-CN"/>
        </w:rPr>
      </w:pPr>
      <w:bookmarkStart w:id="1" w:name="_Hlk57883728"/>
      <w:r>
        <w:rPr>
          <w:rFonts w:hint="eastAsia" w:ascii="楷体_GB2312" w:eastAsia="楷体_GB2312"/>
          <w:bCs/>
          <w:color w:val="auto"/>
          <w:sz w:val="48"/>
          <w:szCs w:val="48"/>
          <w:lang w:eastAsia="zh-CN"/>
        </w:rPr>
        <w:t>（</w:t>
      </w:r>
      <w:r>
        <w:rPr>
          <w:rFonts w:hint="eastAsia" w:ascii="楷体_GB2312" w:eastAsia="楷体_GB2312"/>
          <w:bCs/>
          <w:color w:val="auto"/>
          <w:sz w:val="48"/>
          <w:szCs w:val="48"/>
          <w:lang w:val="en-US" w:eastAsia="zh-CN"/>
        </w:rPr>
        <w:t>报批稿</w:t>
      </w:r>
      <w:r>
        <w:rPr>
          <w:rFonts w:hint="eastAsia" w:ascii="楷体_GB2312" w:eastAsia="楷体_GB2312"/>
          <w:bCs/>
          <w:color w:val="auto"/>
          <w:sz w:val="48"/>
          <w:szCs w:val="48"/>
          <w:lang w:eastAsia="zh-CN"/>
        </w:rPr>
        <w:t>）</w:t>
      </w:r>
    </w:p>
    <w:p w14:paraId="3264367B">
      <w:pPr>
        <w:jc w:val="center"/>
        <w:rPr>
          <w:rFonts w:eastAsia="仿宋"/>
          <w:color w:val="auto"/>
          <w:sz w:val="52"/>
          <w:szCs w:val="52"/>
        </w:rPr>
      </w:pPr>
    </w:p>
    <w:p w14:paraId="0F064E7E">
      <w:pPr>
        <w:jc w:val="center"/>
        <w:rPr>
          <w:rFonts w:eastAsia="仿宋"/>
          <w:color w:val="auto"/>
          <w:sz w:val="52"/>
          <w:szCs w:val="52"/>
        </w:rPr>
      </w:pPr>
    </w:p>
    <w:p w14:paraId="103B028D">
      <w:pPr>
        <w:jc w:val="center"/>
        <w:rPr>
          <w:rFonts w:eastAsia="仿宋"/>
          <w:color w:val="auto"/>
          <w:sz w:val="52"/>
          <w:szCs w:val="52"/>
        </w:rPr>
      </w:pPr>
    </w:p>
    <w:p w14:paraId="4CE50ED7">
      <w:pPr>
        <w:pStyle w:val="21"/>
        <w:rPr>
          <w:color w:val="auto"/>
        </w:rPr>
      </w:pPr>
    </w:p>
    <w:p w14:paraId="7B944BB0">
      <w:pPr>
        <w:ind w:firstLine="1040"/>
        <w:rPr>
          <w:rFonts w:eastAsia="仿宋"/>
          <w:color w:val="auto"/>
          <w:sz w:val="44"/>
          <w:szCs w:val="44"/>
        </w:rPr>
      </w:pPr>
    </w:p>
    <w:p w14:paraId="7E094C9A">
      <w:pPr>
        <w:ind w:firstLine="1040"/>
        <w:rPr>
          <w:rFonts w:eastAsia="仿宋"/>
          <w:color w:val="auto"/>
          <w:sz w:val="44"/>
          <w:szCs w:val="44"/>
        </w:rPr>
      </w:pPr>
    </w:p>
    <w:p w14:paraId="7880182F">
      <w:pPr>
        <w:ind w:firstLine="1040"/>
        <w:rPr>
          <w:rFonts w:eastAsia="仿宋"/>
          <w:color w:val="auto"/>
          <w:sz w:val="44"/>
          <w:szCs w:val="44"/>
        </w:rPr>
      </w:pPr>
    </w:p>
    <w:p w14:paraId="50FE5CB6">
      <w:pPr>
        <w:ind w:firstLine="1040"/>
        <w:rPr>
          <w:rFonts w:eastAsia="仿宋"/>
          <w:color w:val="auto"/>
          <w:sz w:val="44"/>
          <w:szCs w:val="44"/>
        </w:rPr>
      </w:pPr>
    </w:p>
    <w:bookmarkEnd w:id="1"/>
    <w:p w14:paraId="4FA0EFA9">
      <w:pPr>
        <w:keepNext w:val="0"/>
        <w:keepLines w:val="0"/>
        <w:pageBreakBefore w:val="0"/>
        <w:widowControl w:val="0"/>
        <w:kinsoku/>
        <w:wordWrap/>
        <w:overflowPunct/>
        <w:topLinePunct w:val="0"/>
        <w:autoSpaceDE/>
        <w:autoSpaceDN/>
        <w:bidi w:val="0"/>
        <w:adjustRightInd w:val="0"/>
        <w:snapToGrid w:val="0"/>
        <w:spacing w:line="288" w:lineRule="auto"/>
        <w:ind w:firstLine="360" w:firstLineChars="100"/>
        <w:textAlignment w:val="auto"/>
        <w:rPr>
          <w:rFonts w:hint="default" w:ascii="仿宋_GB2312" w:eastAsia="仿宋_GB2312"/>
          <w:color w:val="auto"/>
          <w:sz w:val="36"/>
          <w:szCs w:val="36"/>
          <w:u w:val="single"/>
          <w:lang w:val="en-US"/>
        </w:rPr>
      </w:pPr>
      <w:r>
        <w:rPr>
          <w:rFonts w:hint="eastAsia" w:ascii="仿宋_GB2312" w:eastAsia="仿宋_GB2312"/>
          <w:color w:val="auto"/>
          <w:sz w:val="36"/>
          <w:szCs w:val="36"/>
        </w:rPr>
        <w:t>项目名称：</w:t>
      </w:r>
      <w:r>
        <w:rPr>
          <w:rFonts w:hint="eastAsia" w:ascii="仿宋_GB2312" w:eastAsia="仿宋_GB2312"/>
          <w:color w:val="auto"/>
          <w:sz w:val="36"/>
          <w:szCs w:val="36"/>
          <w:u w:val="single"/>
          <w:lang w:val="en-US" w:eastAsia="zh-CN"/>
        </w:rPr>
        <w:t xml:space="preserve"> 大西渠闽昌产业园基础设施改造项目 </w:t>
      </w:r>
    </w:p>
    <w:p w14:paraId="08E93348">
      <w:pPr>
        <w:keepNext w:val="0"/>
        <w:keepLines w:val="0"/>
        <w:pageBreakBefore w:val="0"/>
        <w:widowControl w:val="0"/>
        <w:kinsoku/>
        <w:wordWrap/>
        <w:overflowPunct/>
        <w:topLinePunct w:val="0"/>
        <w:autoSpaceDE/>
        <w:autoSpaceDN/>
        <w:bidi w:val="0"/>
        <w:adjustRightInd w:val="0"/>
        <w:snapToGrid w:val="0"/>
        <w:spacing w:line="288" w:lineRule="auto"/>
        <w:ind w:firstLine="360" w:firstLineChars="100"/>
        <w:textAlignment w:val="auto"/>
        <w:rPr>
          <w:rFonts w:hint="default" w:ascii="仿宋_GB2312" w:eastAsia="仿宋_GB2312"/>
          <w:color w:val="auto"/>
          <w:sz w:val="36"/>
          <w:szCs w:val="36"/>
          <w:u w:val="single"/>
          <w:lang w:val="en-US"/>
        </w:rPr>
      </w:pPr>
      <w:r>
        <w:rPr>
          <w:rFonts w:hint="eastAsia" w:ascii="仿宋_GB2312" w:eastAsia="仿宋_GB2312"/>
          <w:color w:val="auto"/>
          <w:sz w:val="36"/>
          <w:szCs w:val="36"/>
        </w:rPr>
        <w:t>建设单位（盖章）：</w:t>
      </w:r>
      <w:r>
        <w:rPr>
          <w:rFonts w:hint="eastAsia" w:ascii="仿宋_GB2312" w:eastAsia="仿宋_GB2312"/>
          <w:color w:val="auto"/>
          <w:sz w:val="36"/>
          <w:szCs w:val="36"/>
          <w:u w:val="single"/>
          <w:lang w:val="en-US" w:eastAsia="zh-CN"/>
        </w:rPr>
        <w:t xml:space="preserve">昌吉市住房和城乡建设局    </w:t>
      </w:r>
    </w:p>
    <w:p w14:paraId="02340342">
      <w:pPr>
        <w:keepNext w:val="0"/>
        <w:keepLines w:val="0"/>
        <w:pageBreakBefore w:val="0"/>
        <w:widowControl w:val="0"/>
        <w:kinsoku/>
        <w:wordWrap/>
        <w:overflowPunct/>
        <w:topLinePunct w:val="0"/>
        <w:autoSpaceDE/>
        <w:autoSpaceDN/>
        <w:bidi w:val="0"/>
        <w:adjustRightInd w:val="0"/>
        <w:snapToGrid w:val="0"/>
        <w:spacing w:line="288" w:lineRule="auto"/>
        <w:ind w:firstLine="360" w:firstLineChars="100"/>
        <w:textAlignment w:val="auto"/>
        <w:rPr>
          <w:rFonts w:hint="eastAsia" w:ascii="仿宋_GB2312" w:eastAsia="仿宋_GB2312"/>
          <w:color w:val="auto"/>
          <w:sz w:val="36"/>
          <w:szCs w:val="36"/>
          <w:u w:val="single"/>
        </w:rPr>
      </w:pPr>
      <w:r>
        <w:rPr>
          <w:rFonts w:hint="eastAsia" w:ascii="仿宋_GB2312" w:eastAsia="仿宋_GB2312"/>
          <w:color w:val="auto"/>
          <w:sz w:val="36"/>
          <w:szCs w:val="36"/>
        </w:rPr>
        <w:t>编制日期：</w:t>
      </w:r>
      <w:r>
        <w:rPr>
          <w:rFonts w:hint="eastAsia" w:ascii="仿宋_GB2312" w:eastAsia="仿宋_GB2312"/>
          <w:color w:val="auto"/>
          <w:sz w:val="36"/>
          <w:szCs w:val="36"/>
          <w:u w:val="single"/>
        </w:rPr>
        <w:t xml:space="preserve"> </w:t>
      </w:r>
      <w:r>
        <w:rPr>
          <w:rFonts w:ascii="仿宋_GB2312" w:eastAsia="仿宋_GB2312"/>
          <w:color w:val="auto"/>
          <w:sz w:val="36"/>
          <w:szCs w:val="36"/>
          <w:u w:val="single"/>
        </w:rPr>
        <w:t xml:space="preserve">  </w:t>
      </w:r>
      <w:r>
        <w:rPr>
          <w:rFonts w:hint="eastAsia" w:ascii="仿宋_GB2312" w:eastAsia="仿宋_GB2312"/>
          <w:color w:val="auto"/>
          <w:sz w:val="36"/>
          <w:szCs w:val="36"/>
          <w:u w:val="single"/>
          <w:lang w:val="en-US" w:eastAsia="zh-CN"/>
        </w:rPr>
        <w:t xml:space="preserve">        二〇二六年七月</w:t>
      </w:r>
      <w:r>
        <w:rPr>
          <w:rFonts w:ascii="仿宋_GB2312" w:eastAsia="仿宋_GB2312"/>
          <w:color w:val="auto"/>
          <w:sz w:val="36"/>
          <w:szCs w:val="36"/>
          <w:u w:val="single"/>
        </w:rPr>
        <w:t xml:space="preserve">      </w:t>
      </w:r>
      <w:r>
        <w:rPr>
          <w:rFonts w:hint="eastAsia" w:ascii="仿宋_GB2312" w:eastAsia="仿宋_GB2312"/>
          <w:color w:val="auto"/>
          <w:sz w:val="36"/>
          <w:szCs w:val="36"/>
          <w:u w:val="single"/>
          <w:lang w:val="en-US" w:eastAsia="zh-CN"/>
        </w:rPr>
        <w:t xml:space="preserve">   </w:t>
      </w:r>
    </w:p>
    <w:p w14:paraId="5B4A30CF">
      <w:pPr>
        <w:adjustRightInd w:val="0"/>
        <w:snapToGrid w:val="0"/>
        <w:spacing w:line="288" w:lineRule="auto"/>
        <w:ind w:firstLine="1040"/>
        <w:rPr>
          <w:rFonts w:ascii="仿宋_GB2312" w:eastAsia="仿宋_GB2312"/>
          <w:color w:val="auto"/>
          <w:sz w:val="36"/>
          <w:szCs w:val="36"/>
          <w:u w:val="single"/>
        </w:rPr>
      </w:pPr>
    </w:p>
    <w:p w14:paraId="7B9D3C6C">
      <w:pPr>
        <w:adjustRightInd w:val="0"/>
        <w:snapToGrid w:val="0"/>
        <w:spacing w:line="288" w:lineRule="auto"/>
        <w:ind w:firstLine="1040"/>
        <w:rPr>
          <w:rFonts w:ascii="仿宋_GB2312" w:eastAsia="仿宋_GB2312"/>
          <w:color w:val="auto"/>
          <w:sz w:val="36"/>
          <w:szCs w:val="36"/>
        </w:rPr>
      </w:pPr>
    </w:p>
    <w:p w14:paraId="0607D420">
      <w:pPr>
        <w:adjustRightInd w:val="0"/>
        <w:snapToGrid w:val="0"/>
        <w:spacing w:line="288" w:lineRule="auto"/>
        <w:ind w:firstLine="1040"/>
        <w:rPr>
          <w:rFonts w:ascii="仿宋_GB2312" w:eastAsia="仿宋_GB2312"/>
          <w:color w:val="auto"/>
          <w:sz w:val="36"/>
          <w:szCs w:val="36"/>
        </w:rPr>
      </w:pPr>
    </w:p>
    <w:p w14:paraId="5002F998">
      <w:pPr>
        <w:adjustRightInd w:val="0"/>
        <w:snapToGrid w:val="0"/>
        <w:spacing w:line="288" w:lineRule="auto"/>
        <w:ind w:firstLine="1040"/>
        <w:rPr>
          <w:rFonts w:hint="eastAsia" w:ascii="仿宋_GB2312" w:eastAsia="仿宋_GB2312"/>
          <w:color w:val="auto"/>
          <w:sz w:val="36"/>
          <w:szCs w:val="36"/>
        </w:rPr>
      </w:pPr>
    </w:p>
    <w:p w14:paraId="2E16FB7A">
      <w:pPr>
        <w:adjustRightInd w:val="0"/>
        <w:snapToGrid w:val="0"/>
        <w:spacing w:line="288" w:lineRule="auto"/>
        <w:jc w:val="center"/>
        <w:rPr>
          <w:rFonts w:hint="eastAsia" w:ascii="楷体_GB2312" w:eastAsia="楷体_GB2312"/>
          <w:color w:val="auto"/>
          <w:sz w:val="36"/>
          <w:szCs w:val="36"/>
        </w:rPr>
      </w:pPr>
      <w:r>
        <w:rPr>
          <w:rFonts w:hint="eastAsia" w:ascii="楷体_GB2312" w:eastAsia="楷体_GB2312"/>
          <w:color w:val="auto"/>
          <w:sz w:val="36"/>
          <w:szCs w:val="36"/>
        </w:rPr>
        <w:t>中华人民共和国生态环境部制</w:t>
      </w:r>
    </w:p>
    <w:p w14:paraId="58F109D6">
      <w:pPr>
        <w:adjustRightInd w:val="0"/>
        <w:snapToGrid w:val="0"/>
        <w:spacing w:line="288" w:lineRule="auto"/>
        <w:jc w:val="both"/>
        <w:rPr>
          <w:rFonts w:hint="eastAsia" w:ascii="楷体_GB2312" w:eastAsia="楷体_GB2312"/>
          <w:color w:val="auto"/>
          <w:sz w:val="36"/>
          <w:szCs w:val="36"/>
          <w:lang w:eastAsia="zh-CN"/>
        </w:rPr>
      </w:pPr>
      <w:r>
        <w:rPr>
          <w:rFonts w:hint="eastAsia" w:ascii="楷体_GB2312" w:eastAsia="楷体_GB2312"/>
          <w:color w:val="auto"/>
          <w:sz w:val="36"/>
          <w:szCs w:val="36"/>
          <w:lang w:eastAsia="zh-CN"/>
        </w:rPr>
        <w:drawing>
          <wp:anchor distT="0" distB="0" distL="114300" distR="114300" simplePos="0" relativeHeight="251663360" behindDoc="0" locked="0" layoutInCell="1" allowOverlap="1">
            <wp:simplePos x="0" y="0"/>
            <wp:positionH relativeFrom="column">
              <wp:posOffset>-936625</wp:posOffset>
            </wp:positionH>
            <wp:positionV relativeFrom="paragraph">
              <wp:posOffset>-1021715</wp:posOffset>
            </wp:positionV>
            <wp:extent cx="7423785" cy="10527030"/>
            <wp:effectExtent l="0" t="0" r="5715" b="7620"/>
            <wp:wrapNone/>
            <wp:docPr id="14" name="图片 14" descr="20260715101944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20260715101944_01"/>
                    <pic:cNvPicPr>
                      <a:picLocks noChangeAspect="1"/>
                    </pic:cNvPicPr>
                  </pic:nvPicPr>
                  <pic:blipFill>
                    <a:blip r:embed="rId9"/>
                    <a:stretch>
                      <a:fillRect/>
                    </a:stretch>
                  </pic:blipFill>
                  <pic:spPr>
                    <a:xfrm>
                      <a:off x="0" y="0"/>
                      <a:ext cx="7423785" cy="10527030"/>
                    </a:xfrm>
                    <a:prstGeom prst="rect">
                      <a:avLst/>
                    </a:prstGeom>
                  </pic:spPr>
                </pic:pic>
              </a:graphicData>
            </a:graphic>
          </wp:anchor>
        </w:drawing>
      </w:r>
    </w:p>
    <w:p w14:paraId="4ECB7C65">
      <w:pPr>
        <w:adjustRightInd w:val="0"/>
        <w:snapToGrid w:val="0"/>
        <w:spacing w:line="288" w:lineRule="auto"/>
        <w:jc w:val="center"/>
        <w:rPr>
          <w:rFonts w:hint="eastAsia" w:ascii="楷体_GB2312" w:eastAsia="楷体_GB2312"/>
          <w:color w:val="auto"/>
          <w:sz w:val="36"/>
          <w:szCs w:val="36"/>
          <w:lang w:eastAsia="zh-CN"/>
        </w:rPr>
      </w:pPr>
      <w:r>
        <w:rPr>
          <w:rFonts w:hint="eastAsia" w:ascii="楷体_GB2312" w:eastAsia="楷体_GB2312"/>
          <w:color w:val="auto"/>
          <w:sz w:val="36"/>
          <w:szCs w:val="36"/>
          <w:lang w:eastAsia="zh-CN"/>
        </w:rPr>
        <w:drawing>
          <wp:inline distT="0" distB="0" distL="114300" distR="114300">
            <wp:extent cx="5608320" cy="7856220"/>
            <wp:effectExtent l="0" t="0" r="11430" b="11430"/>
            <wp:docPr id="16" name="图片 16" descr="47c1bd5e0f26a45d1168d9c206d52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47c1bd5e0f26a45d1168d9c206d52757"/>
                    <pic:cNvPicPr>
                      <a:picLocks noChangeAspect="1"/>
                    </pic:cNvPicPr>
                  </pic:nvPicPr>
                  <pic:blipFill>
                    <a:blip r:embed="rId10"/>
                    <a:stretch>
                      <a:fillRect/>
                    </a:stretch>
                  </pic:blipFill>
                  <pic:spPr>
                    <a:xfrm>
                      <a:off x="0" y="0"/>
                      <a:ext cx="5608320" cy="7856220"/>
                    </a:xfrm>
                    <a:prstGeom prst="rect">
                      <a:avLst/>
                    </a:prstGeom>
                  </pic:spPr>
                </pic:pic>
              </a:graphicData>
            </a:graphic>
          </wp:inline>
        </w:drawing>
      </w:r>
    </w:p>
    <w:p w14:paraId="42FFF51D">
      <w:pPr>
        <w:adjustRightInd w:val="0"/>
        <w:snapToGrid w:val="0"/>
        <w:spacing w:line="288" w:lineRule="auto"/>
        <w:jc w:val="center"/>
        <w:rPr>
          <w:rFonts w:hint="eastAsia" w:ascii="楷体_GB2312" w:eastAsia="楷体_GB2312"/>
          <w:color w:val="auto"/>
          <w:sz w:val="36"/>
          <w:szCs w:val="36"/>
        </w:rPr>
      </w:pPr>
    </w:p>
    <w:tbl>
      <w:tblPr>
        <w:tblStyle w:val="2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703"/>
        <w:gridCol w:w="4357"/>
      </w:tblGrid>
      <w:tr w14:paraId="1968C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03" w:type="dxa"/>
            <w:noWrap w:val="0"/>
            <w:vAlign w:val="top"/>
          </w:tcPr>
          <w:p w14:paraId="14660C6D">
            <w:pPr>
              <w:bidi w:val="0"/>
              <w:rPr>
                <w:rFonts w:hint="eastAsia"/>
                <w:color w:val="auto"/>
                <w:highlight w:val="none"/>
                <w:vertAlign w:val="baseline"/>
                <w:lang w:val="en-US" w:eastAsia="zh-CN"/>
              </w:rPr>
            </w:pPr>
            <w:r>
              <w:rPr>
                <w:rFonts w:hint="eastAsia"/>
                <w:color w:val="auto"/>
                <w:highlight w:val="none"/>
                <w:vertAlign w:val="baseline"/>
                <w:lang w:val="en-US" w:eastAsia="zh-CN"/>
              </w:rPr>
              <w:drawing>
                <wp:inline distT="0" distB="0" distL="114300" distR="114300">
                  <wp:extent cx="2838450" cy="2280285"/>
                  <wp:effectExtent l="0" t="0" r="0" b="5715"/>
                  <wp:docPr id="3" name="图片 82" descr="微信图片_20260611131939_553_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82" descr="微信图片_20260611131939_553_64"/>
                          <pic:cNvPicPr>
                            <a:picLocks noChangeAspect="1"/>
                          </pic:cNvPicPr>
                        </pic:nvPicPr>
                        <pic:blipFill>
                          <a:blip r:embed="rId11"/>
                          <a:stretch>
                            <a:fillRect/>
                          </a:stretch>
                        </pic:blipFill>
                        <pic:spPr>
                          <a:xfrm>
                            <a:off x="0" y="0"/>
                            <a:ext cx="2838450" cy="2280285"/>
                          </a:xfrm>
                          <a:prstGeom prst="rect">
                            <a:avLst/>
                          </a:prstGeom>
                          <a:noFill/>
                          <a:ln>
                            <a:noFill/>
                          </a:ln>
                        </pic:spPr>
                      </pic:pic>
                    </a:graphicData>
                  </a:graphic>
                </wp:inline>
              </w:drawing>
            </w:r>
          </w:p>
        </w:tc>
        <w:tc>
          <w:tcPr>
            <w:tcW w:w="4357" w:type="dxa"/>
            <w:noWrap w:val="0"/>
            <w:vAlign w:val="top"/>
          </w:tcPr>
          <w:p w14:paraId="354F3B55">
            <w:pPr>
              <w:bidi w:val="0"/>
              <w:rPr>
                <w:rFonts w:hint="eastAsia"/>
                <w:color w:val="auto"/>
                <w:highlight w:val="none"/>
                <w:vertAlign w:val="baseline"/>
                <w:lang w:val="en-US" w:eastAsia="zh-CN"/>
              </w:rPr>
            </w:pPr>
            <w:r>
              <w:rPr>
                <w:rFonts w:hint="eastAsia"/>
                <w:color w:val="auto"/>
                <w:highlight w:val="none"/>
                <w:vertAlign w:val="baseline"/>
                <w:lang w:val="en-US" w:eastAsia="zh-CN"/>
              </w:rPr>
              <w:drawing>
                <wp:inline distT="0" distB="0" distL="114300" distR="114300">
                  <wp:extent cx="2616200" cy="2256790"/>
                  <wp:effectExtent l="0" t="0" r="3175" b="635"/>
                  <wp:docPr id="4" name="图片 81" descr="微信图片_20260611131935_549_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81" descr="微信图片_20260611131935_549_64"/>
                          <pic:cNvPicPr>
                            <a:picLocks noChangeAspect="1"/>
                          </pic:cNvPicPr>
                        </pic:nvPicPr>
                        <pic:blipFill>
                          <a:blip r:embed="rId12"/>
                          <a:stretch>
                            <a:fillRect/>
                          </a:stretch>
                        </pic:blipFill>
                        <pic:spPr>
                          <a:xfrm>
                            <a:off x="0" y="0"/>
                            <a:ext cx="2616200" cy="2256790"/>
                          </a:xfrm>
                          <a:prstGeom prst="rect">
                            <a:avLst/>
                          </a:prstGeom>
                          <a:noFill/>
                          <a:ln>
                            <a:noFill/>
                          </a:ln>
                        </pic:spPr>
                      </pic:pic>
                    </a:graphicData>
                  </a:graphic>
                </wp:inline>
              </w:drawing>
            </w:r>
          </w:p>
        </w:tc>
      </w:tr>
      <w:tr w14:paraId="3EA85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trPr>
        <w:tc>
          <w:tcPr>
            <w:tcW w:w="4703" w:type="dxa"/>
            <w:noWrap w:val="0"/>
            <w:vAlign w:val="center"/>
          </w:tcPr>
          <w:p w14:paraId="6E9873F2">
            <w:pPr>
              <w:bidi w:val="0"/>
              <w:jc w:val="center"/>
              <w:rPr>
                <w:rFonts w:hint="default"/>
                <w:b/>
                <w:bCs/>
                <w:color w:val="auto"/>
                <w:sz w:val="24"/>
                <w:szCs w:val="24"/>
                <w:highlight w:val="none"/>
                <w:vertAlign w:val="baseline"/>
                <w:lang w:val="en-US" w:eastAsia="zh-CN"/>
              </w:rPr>
            </w:pPr>
            <w:r>
              <w:rPr>
                <w:rFonts w:hint="eastAsia"/>
                <w:b/>
                <w:bCs/>
                <w:color w:val="auto"/>
                <w:sz w:val="24"/>
                <w:szCs w:val="24"/>
                <w:highlight w:val="none"/>
                <w:vertAlign w:val="baseline"/>
                <w:lang w:val="en-US" w:eastAsia="zh-CN"/>
              </w:rPr>
              <w:t>项目区东侧</w:t>
            </w:r>
          </w:p>
        </w:tc>
        <w:tc>
          <w:tcPr>
            <w:tcW w:w="4357" w:type="dxa"/>
            <w:noWrap w:val="0"/>
            <w:vAlign w:val="center"/>
          </w:tcPr>
          <w:p w14:paraId="16EE3F8F">
            <w:pPr>
              <w:bidi w:val="0"/>
              <w:jc w:val="center"/>
              <w:rPr>
                <w:rFonts w:hint="default"/>
                <w:b/>
                <w:bCs/>
                <w:color w:val="auto"/>
                <w:sz w:val="24"/>
                <w:szCs w:val="24"/>
                <w:highlight w:val="none"/>
                <w:vertAlign w:val="baseline"/>
                <w:lang w:val="en-US" w:eastAsia="zh-CN"/>
              </w:rPr>
            </w:pPr>
            <w:r>
              <w:rPr>
                <w:rFonts w:hint="eastAsia"/>
                <w:b/>
                <w:bCs/>
                <w:color w:val="auto"/>
                <w:sz w:val="24"/>
                <w:szCs w:val="24"/>
                <w:highlight w:val="none"/>
                <w:vertAlign w:val="baseline"/>
                <w:lang w:val="en-US" w:eastAsia="zh-CN"/>
              </w:rPr>
              <w:t>项目区南侧</w:t>
            </w:r>
          </w:p>
        </w:tc>
      </w:tr>
      <w:tr w14:paraId="1FF04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4703" w:type="dxa"/>
            <w:noWrap w:val="0"/>
            <w:vAlign w:val="top"/>
          </w:tcPr>
          <w:p w14:paraId="023759D8">
            <w:pPr>
              <w:bidi w:val="0"/>
              <w:rPr>
                <w:rFonts w:hint="eastAsia"/>
                <w:color w:val="auto"/>
                <w:highlight w:val="none"/>
                <w:vertAlign w:val="baseline"/>
                <w:lang w:val="en-US" w:eastAsia="zh-CN"/>
              </w:rPr>
            </w:pPr>
            <w:r>
              <w:rPr>
                <w:rFonts w:hint="eastAsia"/>
                <w:color w:val="auto"/>
                <w:highlight w:val="none"/>
                <w:vertAlign w:val="baseline"/>
                <w:lang w:val="en-US" w:eastAsia="zh-CN"/>
              </w:rPr>
              <w:drawing>
                <wp:inline distT="0" distB="0" distL="114300" distR="114300">
                  <wp:extent cx="2857500" cy="2259965"/>
                  <wp:effectExtent l="0" t="0" r="0" b="6985"/>
                  <wp:docPr id="5" name="图片 80" descr="ffb6fad8536d6a0cd74cec15bf86a97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80" descr="ffb6fad8536d6a0cd74cec15bf86a97c"/>
                          <pic:cNvPicPr>
                            <a:picLocks noChangeAspect="1"/>
                          </pic:cNvPicPr>
                        </pic:nvPicPr>
                        <pic:blipFill>
                          <a:blip r:embed="rId13"/>
                          <a:stretch>
                            <a:fillRect/>
                          </a:stretch>
                        </pic:blipFill>
                        <pic:spPr>
                          <a:xfrm>
                            <a:off x="0" y="0"/>
                            <a:ext cx="2857500" cy="2259965"/>
                          </a:xfrm>
                          <a:prstGeom prst="rect">
                            <a:avLst/>
                          </a:prstGeom>
                          <a:noFill/>
                          <a:ln>
                            <a:noFill/>
                          </a:ln>
                        </pic:spPr>
                      </pic:pic>
                    </a:graphicData>
                  </a:graphic>
                </wp:inline>
              </w:drawing>
            </w:r>
          </w:p>
        </w:tc>
        <w:tc>
          <w:tcPr>
            <w:tcW w:w="4357" w:type="dxa"/>
            <w:noWrap w:val="0"/>
            <w:vAlign w:val="top"/>
          </w:tcPr>
          <w:p w14:paraId="2173CF10">
            <w:pPr>
              <w:bidi w:val="0"/>
              <w:rPr>
                <w:rFonts w:hint="eastAsia"/>
                <w:color w:val="auto"/>
                <w:highlight w:val="none"/>
                <w:vertAlign w:val="baseline"/>
                <w:lang w:val="en-US" w:eastAsia="zh-CN"/>
              </w:rPr>
            </w:pPr>
            <w:r>
              <w:rPr>
                <w:rFonts w:hint="eastAsia"/>
                <w:color w:val="auto"/>
                <w:highlight w:val="none"/>
                <w:vertAlign w:val="baseline"/>
                <w:lang w:val="en-US" w:eastAsia="zh-CN"/>
              </w:rPr>
              <w:drawing>
                <wp:inline distT="0" distB="0" distL="114300" distR="114300">
                  <wp:extent cx="2658110" cy="2264410"/>
                  <wp:effectExtent l="0" t="0" r="8890" b="2540"/>
                  <wp:docPr id="6" name="图片 79" descr="a4d4fae3ba65a1936e617eed846ffb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79" descr="a4d4fae3ba65a1936e617eed846ffb1c"/>
                          <pic:cNvPicPr>
                            <a:picLocks noChangeAspect="1"/>
                          </pic:cNvPicPr>
                        </pic:nvPicPr>
                        <pic:blipFill>
                          <a:blip r:embed="rId14"/>
                          <a:srcRect b="28793"/>
                          <a:stretch>
                            <a:fillRect/>
                          </a:stretch>
                        </pic:blipFill>
                        <pic:spPr>
                          <a:xfrm>
                            <a:off x="0" y="0"/>
                            <a:ext cx="2658110" cy="2264410"/>
                          </a:xfrm>
                          <a:prstGeom prst="rect">
                            <a:avLst/>
                          </a:prstGeom>
                          <a:noFill/>
                          <a:ln>
                            <a:noFill/>
                          </a:ln>
                        </pic:spPr>
                      </pic:pic>
                    </a:graphicData>
                  </a:graphic>
                </wp:inline>
              </w:drawing>
            </w:r>
          </w:p>
        </w:tc>
      </w:tr>
      <w:tr w14:paraId="07460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trPr>
        <w:tc>
          <w:tcPr>
            <w:tcW w:w="4703" w:type="dxa"/>
            <w:noWrap w:val="0"/>
            <w:vAlign w:val="center"/>
          </w:tcPr>
          <w:p w14:paraId="3E92DD63">
            <w:pPr>
              <w:bidi w:val="0"/>
              <w:jc w:val="center"/>
              <w:rPr>
                <w:rFonts w:hint="default"/>
                <w:b/>
                <w:bCs/>
                <w:color w:val="auto"/>
                <w:sz w:val="24"/>
                <w:szCs w:val="24"/>
                <w:highlight w:val="none"/>
                <w:vertAlign w:val="baseline"/>
                <w:lang w:val="en-US" w:eastAsia="zh-CN"/>
              </w:rPr>
            </w:pPr>
            <w:r>
              <w:rPr>
                <w:rFonts w:hint="eastAsia"/>
                <w:b/>
                <w:bCs/>
                <w:color w:val="auto"/>
                <w:sz w:val="24"/>
                <w:szCs w:val="24"/>
                <w:highlight w:val="none"/>
                <w:vertAlign w:val="baseline"/>
                <w:lang w:val="en-US" w:eastAsia="zh-CN"/>
              </w:rPr>
              <w:t>项目区西侧</w:t>
            </w:r>
          </w:p>
        </w:tc>
        <w:tc>
          <w:tcPr>
            <w:tcW w:w="4357" w:type="dxa"/>
            <w:noWrap w:val="0"/>
            <w:vAlign w:val="center"/>
          </w:tcPr>
          <w:p w14:paraId="427EE6FB">
            <w:pPr>
              <w:bidi w:val="0"/>
              <w:jc w:val="center"/>
              <w:rPr>
                <w:rFonts w:hint="default"/>
                <w:b/>
                <w:bCs/>
                <w:color w:val="auto"/>
                <w:sz w:val="24"/>
                <w:szCs w:val="24"/>
                <w:highlight w:val="none"/>
                <w:vertAlign w:val="baseline"/>
                <w:lang w:val="en-US" w:eastAsia="zh-CN"/>
              </w:rPr>
            </w:pPr>
            <w:r>
              <w:rPr>
                <w:rFonts w:hint="eastAsia"/>
                <w:b/>
                <w:bCs/>
                <w:color w:val="auto"/>
                <w:sz w:val="24"/>
                <w:szCs w:val="24"/>
                <w:highlight w:val="none"/>
                <w:vertAlign w:val="baseline"/>
                <w:lang w:val="en-US" w:eastAsia="zh-CN"/>
              </w:rPr>
              <w:t>项目区北侧</w:t>
            </w:r>
          </w:p>
        </w:tc>
      </w:tr>
      <w:tr w14:paraId="0C0584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703" w:type="dxa"/>
            <w:noWrap w:val="0"/>
            <w:vAlign w:val="top"/>
          </w:tcPr>
          <w:p w14:paraId="7847FC85">
            <w:pPr>
              <w:bidi w:val="0"/>
              <w:rPr>
                <w:rFonts w:hint="eastAsia"/>
                <w:color w:val="auto"/>
                <w:highlight w:val="none"/>
                <w:vertAlign w:val="baseline"/>
                <w:lang w:val="en-US" w:eastAsia="zh-CN"/>
              </w:rPr>
            </w:pPr>
          </w:p>
          <w:p w14:paraId="4DB7D41D">
            <w:pPr>
              <w:bidi w:val="0"/>
              <w:rPr>
                <w:rFonts w:hint="eastAsia"/>
                <w:color w:val="auto"/>
                <w:highlight w:val="none"/>
                <w:vertAlign w:val="baseline"/>
                <w:lang w:val="en-US" w:eastAsia="zh-CN"/>
              </w:rPr>
            </w:pPr>
            <w:r>
              <w:rPr>
                <w:rFonts w:hint="eastAsia"/>
                <w:color w:val="auto"/>
                <w:highlight w:val="none"/>
                <w:vertAlign w:val="baseline"/>
                <w:lang w:val="en-US" w:eastAsia="zh-CN"/>
              </w:rPr>
              <w:drawing>
                <wp:inline distT="0" distB="0" distL="114300" distR="114300">
                  <wp:extent cx="2836545" cy="2162175"/>
                  <wp:effectExtent l="0" t="0" r="1905" b="0"/>
                  <wp:docPr id="7" name="图片 83" descr="微信图片_20260611131942_556_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83" descr="微信图片_20260611131942_556_64"/>
                          <pic:cNvPicPr>
                            <a:picLocks noChangeAspect="1"/>
                          </pic:cNvPicPr>
                        </pic:nvPicPr>
                        <pic:blipFill>
                          <a:blip r:embed="rId15"/>
                          <a:srcRect r="32336"/>
                          <a:stretch>
                            <a:fillRect/>
                          </a:stretch>
                        </pic:blipFill>
                        <pic:spPr>
                          <a:xfrm>
                            <a:off x="0" y="0"/>
                            <a:ext cx="2836545" cy="2162175"/>
                          </a:xfrm>
                          <a:prstGeom prst="rect">
                            <a:avLst/>
                          </a:prstGeom>
                          <a:noFill/>
                          <a:ln>
                            <a:noFill/>
                          </a:ln>
                        </pic:spPr>
                      </pic:pic>
                    </a:graphicData>
                  </a:graphic>
                </wp:inline>
              </w:drawing>
            </w:r>
          </w:p>
        </w:tc>
        <w:tc>
          <w:tcPr>
            <w:tcW w:w="4357" w:type="dxa"/>
            <w:noWrap w:val="0"/>
            <w:vAlign w:val="top"/>
          </w:tcPr>
          <w:p w14:paraId="2DD9B0EC">
            <w:pPr>
              <w:bidi w:val="0"/>
              <w:rPr>
                <w:rFonts w:hint="eastAsia"/>
                <w:color w:val="auto"/>
                <w:highlight w:val="none"/>
                <w:vertAlign w:val="baseline"/>
                <w:lang w:val="en-US" w:eastAsia="zh-CN"/>
              </w:rPr>
            </w:pPr>
            <w:r>
              <w:rPr>
                <w:rFonts w:hint="eastAsia"/>
                <w:color w:val="auto"/>
                <w:highlight w:val="none"/>
                <w:vertAlign w:val="baseline"/>
                <w:lang w:val="en-US" w:eastAsia="zh-CN"/>
              </w:rPr>
              <w:drawing>
                <wp:anchor distT="0" distB="0" distL="114300" distR="114300" simplePos="0" relativeHeight="251661312" behindDoc="0" locked="0" layoutInCell="1" allowOverlap="1">
                  <wp:simplePos x="0" y="0"/>
                  <wp:positionH relativeFrom="column">
                    <wp:posOffset>41275</wp:posOffset>
                  </wp:positionH>
                  <wp:positionV relativeFrom="paragraph">
                    <wp:posOffset>153670</wp:posOffset>
                  </wp:positionV>
                  <wp:extent cx="2616200" cy="2167255"/>
                  <wp:effectExtent l="0" t="0" r="3175" b="4445"/>
                  <wp:wrapTopAndBottom/>
                  <wp:docPr id="1" name="图片 10" descr="微信图片_20260611131944_558_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0" descr="微信图片_20260611131944_558_64"/>
                          <pic:cNvPicPr>
                            <a:picLocks noChangeAspect="1"/>
                          </pic:cNvPicPr>
                        </pic:nvPicPr>
                        <pic:blipFill>
                          <a:blip r:embed="rId16"/>
                          <a:stretch>
                            <a:fillRect/>
                          </a:stretch>
                        </pic:blipFill>
                        <pic:spPr>
                          <a:xfrm>
                            <a:off x="0" y="0"/>
                            <a:ext cx="2616200" cy="2167255"/>
                          </a:xfrm>
                          <a:prstGeom prst="rect">
                            <a:avLst/>
                          </a:prstGeom>
                          <a:noFill/>
                          <a:ln>
                            <a:noFill/>
                          </a:ln>
                        </pic:spPr>
                      </pic:pic>
                    </a:graphicData>
                  </a:graphic>
                </wp:anchor>
              </w:drawing>
            </w:r>
          </w:p>
        </w:tc>
      </w:tr>
      <w:tr w14:paraId="3C6FD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2" w:hRule="atLeast"/>
        </w:trPr>
        <w:tc>
          <w:tcPr>
            <w:tcW w:w="4703" w:type="dxa"/>
            <w:noWrap w:val="0"/>
            <w:vAlign w:val="center"/>
          </w:tcPr>
          <w:p w14:paraId="4FE906A0">
            <w:pPr>
              <w:bidi w:val="0"/>
              <w:jc w:val="center"/>
              <w:rPr>
                <w:rFonts w:hint="default"/>
                <w:b/>
                <w:bCs/>
                <w:color w:val="auto"/>
                <w:sz w:val="24"/>
                <w:szCs w:val="24"/>
                <w:highlight w:val="none"/>
                <w:vertAlign w:val="baseline"/>
                <w:lang w:val="en-US" w:eastAsia="zh-CN"/>
              </w:rPr>
            </w:pPr>
            <w:r>
              <w:rPr>
                <w:rFonts w:hint="eastAsia"/>
                <w:b/>
                <w:bCs/>
                <w:color w:val="auto"/>
                <w:sz w:val="24"/>
                <w:szCs w:val="24"/>
                <w:highlight w:val="none"/>
                <w:vertAlign w:val="baseline"/>
                <w:lang w:val="en-US" w:eastAsia="zh-CN"/>
              </w:rPr>
              <w:t>项目区现状</w:t>
            </w:r>
          </w:p>
        </w:tc>
        <w:tc>
          <w:tcPr>
            <w:tcW w:w="4357" w:type="dxa"/>
            <w:noWrap w:val="0"/>
            <w:vAlign w:val="center"/>
          </w:tcPr>
          <w:p w14:paraId="1550BED5">
            <w:pPr>
              <w:bidi w:val="0"/>
              <w:jc w:val="center"/>
              <w:rPr>
                <w:rFonts w:hint="eastAsia"/>
                <w:b/>
                <w:bCs/>
                <w:color w:val="auto"/>
                <w:sz w:val="24"/>
                <w:szCs w:val="24"/>
                <w:highlight w:val="none"/>
                <w:vertAlign w:val="baseline"/>
                <w:lang w:val="en-US" w:eastAsia="zh-CN"/>
              </w:rPr>
            </w:pPr>
            <w:r>
              <w:rPr>
                <w:rFonts w:hint="eastAsia"/>
                <w:b/>
                <w:bCs/>
                <w:color w:val="auto"/>
                <w:sz w:val="24"/>
                <w:szCs w:val="24"/>
                <w:highlight w:val="none"/>
                <w:vertAlign w:val="baseline"/>
                <w:lang w:val="en-US" w:eastAsia="zh-CN"/>
              </w:rPr>
              <w:t>项目区现状</w:t>
            </w:r>
          </w:p>
        </w:tc>
      </w:tr>
    </w:tbl>
    <w:p w14:paraId="16F6DD15">
      <w:pPr>
        <w:pStyle w:val="24"/>
        <w:jc w:val="center"/>
        <w:outlineLvl w:val="0"/>
        <w:rPr>
          <w:rFonts w:hint="eastAsia" w:ascii="宋体" w:hAnsi="宋体" w:eastAsia="宋体" w:cs="宋体"/>
          <w:b/>
          <w:bCs/>
          <w:snapToGrid w:val="0"/>
          <w:color w:val="auto"/>
          <w:sz w:val="24"/>
          <w:szCs w:val="24"/>
          <w:lang w:val="en-US" w:eastAsia="zh-CN"/>
        </w:rPr>
      </w:pPr>
      <w:r>
        <w:rPr>
          <w:rFonts w:hint="eastAsia" w:ascii="宋体" w:hAnsi="宋体" w:eastAsia="宋体" w:cs="宋体"/>
          <w:b/>
          <w:bCs/>
          <w:snapToGrid w:val="0"/>
          <w:color w:val="auto"/>
          <w:sz w:val="24"/>
          <w:szCs w:val="24"/>
          <w:lang w:val="en-US" w:eastAsia="zh-CN"/>
        </w:rPr>
        <w:t>现场勘察照片</w:t>
      </w:r>
    </w:p>
    <w:p w14:paraId="3D6857E8">
      <w:pPr>
        <w:pStyle w:val="24"/>
        <w:jc w:val="center"/>
        <w:outlineLvl w:val="0"/>
        <w:rPr>
          <w:rFonts w:hint="eastAsia" w:ascii="黑体" w:hAnsi="黑体" w:eastAsia="黑体"/>
          <w:snapToGrid w:val="0"/>
          <w:color w:val="auto"/>
          <w:sz w:val="30"/>
          <w:szCs w:val="30"/>
        </w:rPr>
        <w:sectPr>
          <w:headerReference r:id="rId3" w:type="default"/>
          <w:footerReference r:id="rId4"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4D9B37E9">
      <w:pPr>
        <w:pStyle w:val="2"/>
        <w:bidi w:val="0"/>
        <w:rPr>
          <w:rFonts w:hint="eastAsia"/>
          <w:color w:val="auto"/>
        </w:rPr>
      </w:pPr>
      <w:r>
        <w:rPr>
          <w:rFonts w:hint="eastAsia"/>
          <w:color w:val="auto"/>
        </w:rPr>
        <w:t>一、建设项目基本情况</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344"/>
        <w:gridCol w:w="2675"/>
        <w:gridCol w:w="2212"/>
        <w:gridCol w:w="2639"/>
      </w:tblGrid>
      <w:tr w14:paraId="5FEE9E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344" w:type="dxa"/>
            <w:noWrap w:val="0"/>
            <w:tcMar>
              <w:top w:w="16" w:type="dxa"/>
              <w:left w:w="16" w:type="dxa"/>
              <w:right w:w="16" w:type="dxa"/>
            </w:tcMar>
            <w:vAlign w:val="center"/>
          </w:tcPr>
          <w:p w14:paraId="17B62395">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建设项目</w:t>
            </w:r>
          </w:p>
          <w:p w14:paraId="74FBFB49">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名称</w:t>
            </w:r>
          </w:p>
        </w:tc>
        <w:tc>
          <w:tcPr>
            <w:tcW w:w="7526" w:type="dxa"/>
            <w:gridSpan w:val="3"/>
            <w:noWrap w:val="0"/>
            <w:vAlign w:val="center"/>
          </w:tcPr>
          <w:p w14:paraId="73E9982C">
            <w:pPr>
              <w:adjustRightInd w:val="0"/>
              <w:snapToGrid w:val="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大西渠闽昌产业园基础设施改造项目</w:t>
            </w:r>
          </w:p>
        </w:tc>
      </w:tr>
      <w:tr w14:paraId="7C9D4F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344" w:type="dxa"/>
            <w:noWrap w:val="0"/>
            <w:tcMar>
              <w:top w:w="16" w:type="dxa"/>
              <w:left w:w="16" w:type="dxa"/>
              <w:right w:w="16" w:type="dxa"/>
            </w:tcMar>
            <w:vAlign w:val="center"/>
          </w:tcPr>
          <w:p w14:paraId="03E1B070">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项目代码</w:t>
            </w:r>
          </w:p>
        </w:tc>
        <w:tc>
          <w:tcPr>
            <w:tcW w:w="7526" w:type="dxa"/>
            <w:gridSpan w:val="3"/>
            <w:noWrap w:val="0"/>
            <w:vAlign w:val="center"/>
          </w:tcPr>
          <w:p w14:paraId="76E8E5BB">
            <w:pPr>
              <w:adjustRightInd w:val="0"/>
              <w:snapToGrid w:val="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2605-652301-17-01-655448</w:t>
            </w:r>
          </w:p>
        </w:tc>
      </w:tr>
      <w:tr w14:paraId="500E22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344" w:type="dxa"/>
            <w:noWrap w:val="0"/>
            <w:tcMar>
              <w:top w:w="16" w:type="dxa"/>
              <w:left w:w="16" w:type="dxa"/>
              <w:right w:w="16" w:type="dxa"/>
            </w:tcMar>
            <w:vAlign w:val="center"/>
          </w:tcPr>
          <w:p w14:paraId="15FF977B">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建设单位联系人</w:t>
            </w:r>
          </w:p>
        </w:tc>
        <w:tc>
          <w:tcPr>
            <w:tcW w:w="2675" w:type="dxa"/>
            <w:noWrap w:val="0"/>
            <w:vAlign w:val="center"/>
          </w:tcPr>
          <w:p w14:paraId="64C5B3CD">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常洪</w:t>
            </w:r>
          </w:p>
        </w:tc>
        <w:tc>
          <w:tcPr>
            <w:tcW w:w="2212" w:type="dxa"/>
            <w:noWrap w:val="0"/>
            <w:vAlign w:val="center"/>
          </w:tcPr>
          <w:p w14:paraId="58220FC0">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联系方式</w:t>
            </w:r>
          </w:p>
        </w:tc>
        <w:tc>
          <w:tcPr>
            <w:tcW w:w="2639" w:type="dxa"/>
            <w:noWrap w:val="0"/>
            <w:vAlign w:val="center"/>
          </w:tcPr>
          <w:p w14:paraId="54260925">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13565606767</w:t>
            </w:r>
          </w:p>
        </w:tc>
      </w:tr>
      <w:tr w14:paraId="3FD55A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344" w:type="dxa"/>
            <w:noWrap w:val="0"/>
            <w:tcMar>
              <w:top w:w="16" w:type="dxa"/>
              <w:left w:w="16" w:type="dxa"/>
              <w:right w:w="16" w:type="dxa"/>
            </w:tcMar>
            <w:vAlign w:val="center"/>
          </w:tcPr>
          <w:p w14:paraId="01CF450E">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建设地点</w:t>
            </w:r>
          </w:p>
        </w:tc>
        <w:tc>
          <w:tcPr>
            <w:tcW w:w="7526" w:type="dxa"/>
            <w:gridSpan w:val="3"/>
            <w:noWrap w:val="0"/>
            <w:vAlign w:val="center"/>
          </w:tcPr>
          <w:p w14:paraId="046605EF">
            <w:pPr>
              <w:adjustRightInd w:val="0"/>
              <w:snapToGrid w:val="0"/>
              <w:jc w:val="center"/>
              <w:rPr>
                <w:rFonts w:hint="default" w:ascii="Times New Roman" w:hAnsi="Times New Roman" w:eastAsia="宋体" w:cs="Times New Roman"/>
                <w:color w:val="auto"/>
                <w:sz w:val="24"/>
                <w:szCs w:val="24"/>
                <w:lang w:val="en-US"/>
              </w:rPr>
            </w:pPr>
            <w:r>
              <w:rPr>
                <w:rFonts w:hint="eastAsia" w:ascii="Times New Roman" w:hAnsi="Times New Roman" w:eastAsia="宋体" w:cs="Times New Roman"/>
                <w:color w:val="auto"/>
                <w:sz w:val="24"/>
                <w:szCs w:val="24"/>
                <w:u w:val="none"/>
                <w:lang w:val="en-US" w:eastAsia="zh-CN"/>
              </w:rPr>
              <w:t>新疆维吾尔自治区昌吉回族自治州昌吉市大西渠镇新戽村昌吉市再生资源回收利用产业园内</w:t>
            </w:r>
          </w:p>
        </w:tc>
      </w:tr>
      <w:tr w14:paraId="576E7BB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344" w:type="dxa"/>
            <w:noWrap w:val="0"/>
            <w:tcMar>
              <w:top w:w="16" w:type="dxa"/>
              <w:left w:w="16" w:type="dxa"/>
              <w:right w:w="16" w:type="dxa"/>
            </w:tcMar>
            <w:vAlign w:val="center"/>
          </w:tcPr>
          <w:p w14:paraId="11AA5B4C">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地理坐标</w:t>
            </w:r>
          </w:p>
        </w:tc>
        <w:tc>
          <w:tcPr>
            <w:tcW w:w="7526" w:type="dxa"/>
            <w:gridSpan w:val="3"/>
            <w:noWrap w:val="0"/>
            <w:vAlign w:val="center"/>
          </w:tcPr>
          <w:p w14:paraId="025D4EEE">
            <w:pPr>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r>
              <w:rPr>
                <w:rFonts w:hint="eastAsia" w:ascii="Times New Roman" w:hAnsi="Times New Roman" w:eastAsia="宋体" w:cs="Times New Roman"/>
                <w:color w:val="auto"/>
                <w:sz w:val="24"/>
                <w:szCs w:val="24"/>
                <w:highlight w:val="none"/>
                <w:lang w:val="en-US" w:eastAsia="zh-CN"/>
              </w:rPr>
              <w:t>东经：</w:t>
            </w:r>
            <w:r>
              <w:rPr>
                <w:rFonts w:hint="eastAsia" w:ascii="Times New Roman" w:hAnsi="Times New Roman" w:eastAsia="宋体" w:cs="Times New Roman"/>
                <w:color w:val="auto"/>
                <w:sz w:val="24"/>
                <w:szCs w:val="24"/>
                <w:highlight w:val="none"/>
                <w:u w:val="single"/>
                <w:lang w:val="en-US" w:eastAsia="zh-CN"/>
              </w:rPr>
              <w:t>87</w:t>
            </w:r>
            <w:r>
              <w:rPr>
                <w:rFonts w:hint="default" w:ascii="Times New Roman" w:hAnsi="Times New Roman" w:eastAsia="宋体" w:cs="Times New Roman"/>
                <w:color w:val="auto"/>
                <w:sz w:val="24"/>
                <w:szCs w:val="24"/>
                <w:highlight w:val="none"/>
              </w:rPr>
              <w:t>度</w:t>
            </w:r>
            <w:r>
              <w:rPr>
                <w:rFonts w:hint="eastAsia" w:ascii="Times New Roman" w:hAnsi="Times New Roman" w:eastAsia="宋体" w:cs="Times New Roman"/>
                <w:color w:val="auto"/>
                <w:sz w:val="24"/>
                <w:szCs w:val="24"/>
                <w:highlight w:val="none"/>
                <w:u w:val="single"/>
                <w:lang w:val="en-US" w:eastAsia="zh-CN"/>
              </w:rPr>
              <w:t>14</w:t>
            </w:r>
            <w:r>
              <w:rPr>
                <w:rFonts w:hint="default" w:ascii="Times New Roman" w:hAnsi="Times New Roman" w:eastAsia="宋体" w:cs="Times New Roman"/>
                <w:color w:val="auto"/>
                <w:sz w:val="24"/>
                <w:szCs w:val="24"/>
                <w:highlight w:val="none"/>
              </w:rPr>
              <w:t>分</w:t>
            </w:r>
            <w:r>
              <w:rPr>
                <w:rFonts w:hint="eastAsia" w:ascii="Times New Roman" w:hAnsi="Times New Roman" w:eastAsia="宋体" w:cs="Times New Roman"/>
                <w:color w:val="auto"/>
                <w:sz w:val="24"/>
                <w:szCs w:val="24"/>
                <w:highlight w:val="none"/>
                <w:u w:val="single"/>
                <w:lang w:val="en-US" w:eastAsia="zh-CN"/>
              </w:rPr>
              <w:t>31.973</w:t>
            </w:r>
            <w:r>
              <w:rPr>
                <w:rFonts w:hint="default" w:ascii="Times New Roman" w:hAnsi="Times New Roman" w:eastAsia="宋体" w:cs="Times New Roman"/>
                <w:color w:val="auto"/>
                <w:sz w:val="24"/>
                <w:szCs w:val="24"/>
                <w:highlight w:val="none"/>
              </w:rPr>
              <w:t>秒，</w:t>
            </w:r>
            <w:r>
              <w:rPr>
                <w:rFonts w:hint="eastAsia" w:ascii="Times New Roman" w:hAnsi="Times New Roman" w:eastAsia="宋体" w:cs="Times New Roman"/>
                <w:color w:val="auto"/>
                <w:sz w:val="24"/>
                <w:szCs w:val="24"/>
                <w:highlight w:val="none"/>
                <w:lang w:val="en-US" w:eastAsia="zh-CN"/>
              </w:rPr>
              <w:t>北纬：</w:t>
            </w:r>
            <w:r>
              <w:rPr>
                <w:rFonts w:hint="eastAsia" w:ascii="Times New Roman" w:hAnsi="Times New Roman" w:eastAsia="宋体" w:cs="Times New Roman"/>
                <w:color w:val="auto"/>
                <w:sz w:val="24"/>
                <w:szCs w:val="24"/>
                <w:highlight w:val="none"/>
                <w:u w:val="single"/>
                <w:lang w:val="en-US" w:eastAsia="zh-CN"/>
              </w:rPr>
              <w:t>44</w:t>
            </w:r>
            <w:r>
              <w:rPr>
                <w:rFonts w:hint="default" w:ascii="Times New Roman" w:hAnsi="Times New Roman" w:eastAsia="宋体" w:cs="Times New Roman"/>
                <w:color w:val="auto"/>
                <w:sz w:val="24"/>
                <w:szCs w:val="24"/>
                <w:highlight w:val="none"/>
              </w:rPr>
              <w:t>度</w:t>
            </w:r>
            <w:r>
              <w:rPr>
                <w:rFonts w:hint="eastAsia" w:ascii="Times New Roman" w:hAnsi="Times New Roman" w:eastAsia="宋体" w:cs="Times New Roman"/>
                <w:color w:val="auto"/>
                <w:sz w:val="24"/>
                <w:szCs w:val="24"/>
                <w:highlight w:val="none"/>
                <w:u w:val="single"/>
                <w:lang w:val="en-US" w:eastAsia="zh-CN"/>
              </w:rPr>
              <w:t>06</w:t>
            </w:r>
            <w:r>
              <w:rPr>
                <w:rFonts w:hint="default" w:ascii="Times New Roman" w:hAnsi="Times New Roman" w:eastAsia="宋体" w:cs="Times New Roman"/>
                <w:color w:val="auto"/>
                <w:sz w:val="24"/>
                <w:szCs w:val="24"/>
                <w:highlight w:val="none"/>
              </w:rPr>
              <w:t>分</w:t>
            </w:r>
            <w:r>
              <w:rPr>
                <w:rFonts w:hint="eastAsia" w:ascii="Times New Roman" w:hAnsi="Times New Roman" w:eastAsia="宋体" w:cs="Times New Roman"/>
                <w:color w:val="auto"/>
                <w:sz w:val="24"/>
                <w:szCs w:val="24"/>
                <w:highlight w:val="none"/>
                <w:u w:val="single"/>
                <w:lang w:val="en-US" w:eastAsia="zh-CN"/>
              </w:rPr>
              <w:t>49.476</w:t>
            </w:r>
            <w:r>
              <w:rPr>
                <w:rFonts w:hint="default" w:ascii="Times New Roman" w:hAnsi="Times New Roman" w:eastAsia="宋体" w:cs="Times New Roman"/>
                <w:color w:val="auto"/>
                <w:sz w:val="24"/>
                <w:szCs w:val="24"/>
                <w:highlight w:val="none"/>
              </w:rPr>
              <w:t>秒）</w:t>
            </w:r>
          </w:p>
        </w:tc>
      </w:tr>
      <w:tr w14:paraId="5B1255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344" w:type="dxa"/>
            <w:noWrap w:val="0"/>
            <w:tcMar>
              <w:top w:w="16" w:type="dxa"/>
              <w:left w:w="16" w:type="dxa"/>
              <w:right w:w="16" w:type="dxa"/>
            </w:tcMar>
            <w:vAlign w:val="center"/>
          </w:tcPr>
          <w:p w14:paraId="26D6925F">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国民经济</w:t>
            </w:r>
          </w:p>
          <w:p w14:paraId="031EE1EC">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行业类别</w:t>
            </w:r>
          </w:p>
        </w:tc>
        <w:tc>
          <w:tcPr>
            <w:tcW w:w="2675" w:type="dxa"/>
            <w:noWrap w:val="0"/>
            <w:vAlign w:val="center"/>
          </w:tcPr>
          <w:p w14:paraId="5F01D0F5">
            <w:pPr>
              <w:adjustRightInd w:val="0"/>
              <w:snapToGrid w:val="0"/>
              <w:jc w:val="center"/>
              <w:rPr>
                <w:rFonts w:hint="default" w:ascii="Times New Roman" w:hAnsi="Times New Roman" w:eastAsia="宋体" w:cs="Times New Roman"/>
                <w:color w:val="auto"/>
                <w:sz w:val="24"/>
                <w:szCs w:val="24"/>
              </w:rPr>
            </w:pPr>
            <w:r>
              <w:rPr>
                <w:color w:val="auto"/>
                <w:sz w:val="24"/>
                <w:szCs w:val="24"/>
              </w:rPr>
              <w:t>7723固体废物治理</w:t>
            </w:r>
          </w:p>
        </w:tc>
        <w:tc>
          <w:tcPr>
            <w:tcW w:w="2212" w:type="dxa"/>
            <w:noWrap w:val="0"/>
            <w:vAlign w:val="center"/>
          </w:tcPr>
          <w:p w14:paraId="64642DC5">
            <w:pPr>
              <w:adjustRightInd w:val="0"/>
              <w:snapToGrid w:val="0"/>
              <w:jc w:val="center"/>
              <w:rPr>
                <w:rFonts w:hint="default" w:ascii="Times New Roman" w:hAnsi="Times New Roman" w:eastAsia="宋体" w:cs="Times New Roman"/>
                <w:color w:val="auto"/>
                <w:sz w:val="24"/>
                <w:szCs w:val="24"/>
              </w:rPr>
            </w:pPr>
            <w:bookmarkStart w:id="2" w:name="_Hlk49843745"/>
            <w:r>
              <w:rPr>
                <w:rFonts w:hint="default" w:ascii="Times New Roman" w:hAnsi="Times New Roman" w:eastAsia="宋体" w:cs="Times New Roman"/>
                <w:color w:val="auto"/>
                <w:sz w:val="24"/>
                <w:szCs w:val="24"/>
              </w:rPr>
              <w:t>建设项目</w:t>
            </w:r>
          </w:p>
          <w:p w14:paraId="187634DC">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行业类别</w:t>
            </w:r>
            <w:bookmarkEnd w:id="2"/>
          </w:p>
        </w:tc>
        <w:tc>
          <w:tcPr>
            <w:tcW w:w="2639" w:type="dxa"/>
            <w:noWrap w:val="0"/>
            <w:vAlign w:val="center"/>
          </w:tcPr>
          <w:p w14:paraId="5794B9D7">
            <w:pPr>
              <w:adjustRightInd w:val="0"/>
              <w:snapToGrid w:val="0"/>
              <w:rPr>
                <w:rFonts w:hint="default" w:ascii="Times New Roman" w:hAnsi="Times New Roman" w:eastAsia="宋体" w:cs="Times New Roman"/>
                <w:color w:val="auto"/>
                <w:sz w:val="24"/>
                <w:szCs w:val="24"/>
                <w:lang w:val="en-US" w:eastAsia="zh-CN"/>
              </w:rPr>
            </w:pPr>
            <w:r>
              <w:rPr>
                <w:color w:val="auto"/>
                <w:sz w:val="24"/>
                <w:szCs w:val="24"/>
              </w:rPr>
              <w:t>四十七、生态保护和环境治理业103一般工业固体废物（含污水处理污泥）、建筑施工废弃物处置及综合利用</w:t>
            </w:r>
            <w:r>
              <w:rPr>
                <w:rFonts w:hint="eastAsia"/>
                <w:color w:val="auto"/>
                <w:sz w:val="24"/>
                <w:szCs w:val="24"/>
                <w:lang w:eastAsia="zh-CN"/>
              </w:rPr>
              <w:t>，</w:t>
            </w:r>
            <w:r>
              <w:rPr>
                <w:rFonts w:hint="eastAsia"/>
                <w:color w:val="auto"/>
                <w:sz w:val="24"/>
                <w:szCs w:val="24"/>
                <w:lang w:val="en-US" w:eastAsia="zh-CN"/>
              </w:rPr>
              <w:t>其他</w:t>
            </w:r>
          </w:p>
        </w:tc>
      </w:tr>
      <w:tr w14:paraId="09DE06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219" w:hRule="atLeast"/>
          <w:jc w:val="center"/>
        </w:trPr>
        <w:tc>
          <w:tcPr>
            <w:tcW w:w="1344" w:type="dxa"/>
            <w:noWrap w:val="0"/>
            <w:tcMar>
              <w:top w:w="16" w:type="dxa"/>
              <w:left w:w="16" w:type="dxa"/>
              <w:right w:w="16" w:type="dxa"/>
            </w:tcMar>
            <w:vAlign w:val="center"/>
          </w:tcPr>
          <w:p w14:paraId="62354E28">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建设性质</w:t>
            </w:r>
          </w:p>
        </w:tc>
        <w:tc>
          <w:tcPr>
            <w:tcW w:w="2675" w:type="dxa"/>
            <w:noWrap w:val="0"/>
            <w:vAlign w:val="center"/>
          </w:tcPr>
          <w:p w14:paraId="1AB63932">
            <w:pPr>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sym w:font="Wingdings 2" w:char="0052"/>
            </w:r>
            <w:r>
              <w:rPr>
                <w:rFonts w:hint="default" w:ascii="Times New Roman" w:hAnsi="Times New Roman" w:eastAsia="宋体" w:cs="Times New Roman"/>
                <w:color w:val="auto"/>
                <w:sz w:val="24"/>
                <w:szCs w:val="24"/>
              </w:rPr>
              <w:t>新建（迁建）</w:t>
            </w:r>
          </w:p>
          <w:p w14:paraId="5EC1378E">
            <w:pPr>
              <w:jc w:val="left"/>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改建</w:t>
            </w:r>
          </w:p>
          <w:p w14:paraId="5D841E69">
            <w:pPr>
              <w:jc w:val="left"/>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扩建</w:t>
            </w:r>
          </w:p>
          <w:p w14:paraId="41B7A19A">
            <w:pPr>
              <w:jc w:val="left"/>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技术改造</w:t>
            </w:r>
          </w:p>
        </w:tc>
        <w:tc>
          <w:tcPr>
            <w:tcW w:w="2212" w:type="dxa"/>
            <w:noWrap w:val="0"/>
            <w:vAlign w:val="center"/>
          </w:tcPr>
          <w:p w14:paraId="10D7DD23">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建设项目</w:t>
            </w:r>
          </w:p>
          <w:p w14:paraId="7F4DDE7C">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申报情形</w:t>
            </w:r>
          </w:p>
        </w:tc>
        <w:tc>
          <w:tcPr>
            <w:tcW w:w="2639" w:type="dxa"/>
            <w:noWrap w:val="0"/>
            <w:vAlign w:val="center"/>
          </w:tcPr>
          <w:p w14:paraId="7CC6FD62">
            <w:pPr>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sym w:font="Wingdings 2" w:char="0052"/>
            </w:r>
            <w:r>
              <w:rPr>
                <w:rFonts w:hint="default" w:ascii="Times New Roman" w:hAnsi="Times New Roman" w:eastAsia="宋体" w:cs="Times New Roman"/>
                <w:color w:val="auto"/>
                <w:sz w:val="24"/>
                <w:szCs w:val="24"/>
              </w:rPr>
              <w:t xml:space="preserve">首次申报项目             </w:t>
            </w:r>
          </w:p>
          <w:p w14:paraId="7DA926DB">
            <w:pPr>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sym w:font="Wingdings 2" w:char="00A3"/>
            </w:r>
            <w:r>
              <w:rPr>
                <w:rFonts w:hint="default" w:ascii="Times New Roman" w:hAnsi="Times New Roman" w:eastAsia="宋体" w:cs="Times New Roman"/>
                <w:color w:val="auto"/>
                <w:sz w:val="24"/>
                <w:szCs w:val="24"/>
              </w:rPr>
              <w:t>不予批准后再次申报项目</w:t>
            </w:r>
          </w:p>
          <w:p w14:paraId="5EA02B92">
            <w:pPr>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sym w:font="Wingdings 2" w:char="00A3"/>
            </w:r>
            <w:r>
              <w:rPr>
                <w:rFonts w:hint="default" w:ascii="Times New Roman" w:hAnsi="Times New Roman" w:eastAsia="宋体" w:cs="Times New Roman"/>
                <w:color w:val="auto"/>
                <w:sz w:val="24"/>
                <w:szCs w:val="24"/>
              </w:rPr>
              <w:t xml:space="preserve">超五年重新审核项目     </w:t>
            </w:r>
          </w:p>
          <w:p w14:paraId="70388982">
            <w:pPr>
              <w:jc w:val="left"/>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sym w:font="Wingdings 2" w:char="00A3"/>
            </w:r>
            <w:r>
              <w:rPr>
                <w:rFonts w:hint="default" w:ascii="Times New Roman" w:hAnsi="Times New Roman" w:eastAsia="宋体" w:cs="Times New Roman"/>
                <w:color w:val="auto"/>
                <w:sz w:val="24"/>
                <w:szCs w:val="24"/>
              </w:rPr>
              <w:t>重大变动重新报批项目</w:t>
            </w:r>
          </w:p>
        </w:tc>
      </w:tr>
      <w:tr w14:paraId="2E83C93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344" w:type="dxa"/>
            <w:noWrap w:val="0"/>
            <w:tcMar>
              <w:top w:w="16" w:type="dxa"/>
              <w:left w:w="16" w:type="dxa"/>
              <w:right w:w="16" w:type="dxa"/>
            </w:tcMar>
            <w:vAlign w:val="center"/>
          </w:tcPr>
          <w:p w14:paraId="6EE8434B">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项目审批（核准/</w:t>
            </w:r>
          </w:p>
          <w:p w14:paraId="4C52CA56">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备案）部门（选填）</w:t>
            </w:r>
          </w:p>
        </w:tc>
        <w:tc>
          <w:tcPr>
            <w:tcW w:w="2675" w:type="dxa"/>
            <w:noWrap w:val="0"/>
            <w:vAlign w:val="center"/>
          </w:tcPr>
          <w:p w14:paraId="1A3E6AEF">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昌吉市发展和改革委员会</w:t>
            </w:r>
          </w:p>
        </w:tc>
        <w:tc>
          <w:tcPr>
            <w:tcW w:w="2212" w:type="dxa"/>
            <w:noWrap w:val="0"/>
            <w:vAlign w:val="center"/>
          </w:tcPr>
          <w:p w14:paraId="19AD7388">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项目审批（核准/</w:t>
            </w:r>
          </w:p>
          <w:p w14:paraId="01D2595C">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备案）文号（选填）</w:t>
            </w:r>
          </w:p>
        </w:tc>
        <w:tc>
          <w:tcPr>
            <w:tcW w:w="2639" w:type="dxa"/>
            <w:noWrap w:val="0"/>
            <w:vAlign w:val="center"/>
          </w:tcPr>
          <w:p w14:paraId="22A6A759">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昌市发改投资〔202</w:t>
            </w:r>
            <w:r>
              <w:rPr>
                <w:rFonts w:hint="eastAsia" w:ascii="Times New Roman" w:hAnsi="Times New Roman" w:eastAsia="宋体"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lang w:val="en-US" w:eastAsia="zh-CN"/>
              </w:rPr>
              <w:t>〕231号</w:t>
            </w:r>
          </w:p>
        </w:tc>
      </w:tr>
      <w:tr w14:paraId="4BFBE0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344" w:type="dxa"/>
            <w:noWrap w:val="0"/>
            <w:tcMar>
              <w:top w:w="16" w:type="dxa"/>
              <w:left w:w="16" w:type="dxa"/>
              <w:right w:w="16" w:type="dxa"/>
            </w:tcMar>
            <w:vAlign w:val="center"/>
          </w:tcPr>
          <w:p w14:paraId="5CE53A94">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总投资（万元）</w:t>
            </w:r>
          </w:p>
        </w:tc>
        <w:tc>
          <w:tcPr>
            <w:tcW w:w="2675" w:type="dxa"/>
            <w:noWrap w:val="0"/>
            <w:vAlign w:val="center"/>
          </w:tcPr>
          <w:p w14:paraId="7925DB72">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380.00</w:t>
            </w:r>
          </w:p>
        </w:tc>
        <w:tc>
          <w:tcPr>
            <w:tcW w:w="2212" w:type="dxa"/>
            <w:noWrap w:val="0"/>
            <w:tcMar>
              <w:top w:w="16" w:type="dxa"/>
              <w:left w:w="16" w:type="dxa"/>
              <w:right w:w="16" w:type="dxa"/>
            </w:tcMar>
            <w:vAlign w:val="center"/>
          </w:tcPr>
          <w:p w14:paraId="3C0D48E7">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环保投资（万元）</w:t>
            </w:r>
          </w:p>
        </w:tc>
        <w:tc>
          <w:tcPr>
            <w:tcW w:w="2639" w:type="dxa"/>
            <w:noWrap w:val="0"/>
            <w:vAlign w:val="center"/>
          </w:tcPr>
          <w:p w14:paraId="08AD7A0D">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3</w:t>
            </w:r>
            <w:r>
              <w:rPr>
                <w:rFonts w:hint="eastAsia" w:cs="Times New Roman"/>
                <w:color w:val="auto"/>
                <w:sz w:val="24"/>
                <w:szCs w:val="24"/>
                <w:highlight w:val="none"/>
                <w:lang w:val="en-US" w:eastAsia="zh-CN"/>
              </w:rPr>
              <w:t>9</w:t>
            </w:r>
            <w:r>
              <w:rPr>
                <w:rFonts w:hint="eastAsia" w:ascii="Times New Roman" w:hAnsi="Times New Roman" w:eastAsia="宋体" w:cs="Times New Roman"/>
                <w:color w:val="auto"/>
                <w:sz w:val="24"/>
                <w:szCs w:val="24"/>
                <w:highlight w:val="none"/>
                <w:lang w:val="en-US" w:eastAsia="zh-CN"/>
              </w:rPr>
              <w:t>.00</w:t>
            </w:r>
          </w:p>
        </w:tc>
      </w:tr>
      <w:tr w14:paraId="415691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344" w:type="dxa"/>
            <w:noWrap w:val="0"/>
            <w:tcMar>
              <w:top w:w="16" w:type="dxa"/>
              <w:left w:w="16" w:type="dxa"/>
              <w:right w:w="16" w:type="dxa"/>
            </w:tcMar>
            <w:vAlign w:val="center"/>
          </w:tcPr>
          <w:p w14:paraId="6F32866C">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环保投资占比（%）</w:t>
            </w:r>
          </w:p>
        </w:tc>
        <w:tc>
          <w:tcPr>
            <w:tcW w:w="2675" w:type="dxa"/>
            <w:noWrap w:val="0"/>
            <w:vAlign w:val="center"/>
          </w:tcPr>
          <w:p w14:paraId="752E8C16">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10.</w:t>
            </w:r>
            <w:r>
              <w:rPr>
                <w:rFonts w:hint="eastAsia" w:cs="Times New Roman"/>
                <w:color w:val="auto"/>
                <w:sz w:val="24"/>
                <w:szCs w:val="24"/>
                <w:highlight w:val="none"/>
                <w:lang w:val="en-US" w:eastAsia="zh-CN"/>
              </w:rPr>
              <w:t>3</w:t>
            </w:r>
          </w:p>
        </w:tc>
        <w:tc>
          <w:tcPr>
            <w:tcW w:w="2212" w:type="dxa"/>
            <w:noWrap w:val="0"/>
            <w:tcMar>
              <w:top w:w="16" w:type="dxa"/>
              <w:left w:w="16" w:type="dxa"/>
              <w:right w:w="16" w:type="dxa"/>
            </w:tcMar>
            <w:vAlign w:val="center"/>
          </w:tcPr>
          <w:p w14:paraId="2F721785">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施工工期</w:t>
            </w:r>
          </w:p>
        </w:tc>
        <w:tc>
          <w:tcPr>
            <w:tcW w:w="2639" w:type="dxa"/>
            <w:noWrap w:val="0"/>
            <w:vAlign w:val="center"/>
          </w:tcPr>
          <w:p w14:paraId="65CE1C55">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2个月</w:t>
            </w:r>
          </w:p>
        </w:tc>
      </w:tr>
      <w:tr w14:paraId="6BE7873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344" w:type="dxa"/>
            <w:noWrap w:val="0"/>
            <w:tcMar>
              <w:top w:w="16" w:type="dxa"/>
              <w:left w:w="16" w:type="dxa"/>
              <w:right w:w="16" w:type="dxa"/>
            </w:tcMar>
            <w:vAlign w:val="center"/>
          </w:tcPr>
          <w:p w14:paraId="08AB6CA3">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是否开工建设</w:t>
            </w:r>
          </w:p>
        </w:tc>
        <w:tc>
          <w:tcPr>
            <w:tcW w:w="2675" w:type="dxa"/>
            <w:noWrap w:val="0"/>
            <w:vAlign w:val="center"/>
          </w:tcPr>
          <w:p w14:paraId="7EE8FCAF">
            <w:pPr>
              <w:adjustRightInd w:val="0"/>
              <w:snapToGrid w:val="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sym w:font="Wingdings 2" w:char="0052"/>
            </w:r>
            <w:r>
              <w:rPr>
                <w:rFonts w:hint="default" w:ascii="Times New Roman" w:hAnsi="Times New Roman" w:eastAsia="宋体" w:cs="Times New Roman"/>
                <w:color w:val="auto"/>
                <w:sz w:val="24"/>
                <w:szCs w:val="24"/>
              </w:rPr>
              <w:t>否</w:t>
            </w:r>
          </w:p>
          <w:p w14:paraId="36AAC731">
            <w:pPr>
              <w:adjustRightInd w:val="0"/>
              <w:snapToGrid w:val="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sym w:font="Wingdings 2" w:char="00A3"/>
            </w:r>
            <w:r>
              <w:rPr>
                <w:rFonts w:hint="default" w:ascii="Times New Roman" w:hAnsi="Times New Roman" w:eastAsia="宋体" w:cs="Times New Roman"/>
                <w:color w:val="auto"/>
                <w:sz w:val="24"/>
                <w:szCs w:val="24"/>
              </w:rPr>
              <w:t>是：</w:t>
            </w:r>
            <w:r>
              <w:rPr>
                <w:rFonts w:hint="default" w:ascii="Times New Roman" w:hAnsi="Times New Roman" w:eastAsia="宋体" w:cs="Times New Roman"/>
                <w:color w:val="auto"/>
                <w:sz w:val="24"/>
                <w:szCs w:val="24"/>
                <w:u w:val="single"/>
              </w:rPr>
              <w:t xml:space="preserve">             </w:t>
            </w:r>
          </w:p>
        </w:tc>
        <w:tc>
          <w:tcPr>
            <w:tcW w:w="2212" w:type="dxa"/>
            <w:noWrap w:val="0"/>
            <w:tcMar>
              <w:top w:w="16" w:type="dxa"/>
              <w:left w:w="16" w:type="dxa"/>
              <w:right w:w="16" w:type="dxa"/>
            </w:tcMar>
            <w:vAlign w:val="center"/>
          </w:tcPr>
          <w:p w14:paraId="42331620">
            <w:pPr>
              <w:adjustRightInd w:val="0"/>
              <w:snapToGrid w:val="0"/>
              <w:jc w:val="center"/>
              <w:rPr>
                <w:rFonts w:hint="default" w:ascii="Times New Roman" w:hAnsi="Times New Roman" w:eastAsia="宋体" w:cs="Times New Roman"/>
                <w:color w:val="auto"/>
                <w:spacing w:val="-6"/>
                <w:sz w:val="24"/>
                <w:szCs w:val="24"/>
                <w:highlight w:val="none"/>
              </w:rPr>
            </w:pPr>
            <w:r>
              <w:rPr>
                <w:rFonts w:hint="default" w:ascii="Times New Roman" w:hAnsi="Times New Roman" w:eastAsia="宋体" w:cs="Times New Roman"/>
                <w:color w:val="auto"/>
                <w:spacing w:val="-6"/>
                <w:sz w:val="24"/>
                <w:szCs w:val="24"/>
                <w:highlight w:val="none"/>
              </w:rPr>
              <w:t>用地（用海）</w:t>
            </w:r>
          </w:p>
          <w:p w14:paraId="2A9F39F5">
            <w:pPr>
              <w:adjustRightInd w:val="0"/>
              <w:snapToGrid w:val="0"/>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pacing w:val="-6"/>
                <w:sz w:val="24"/>
                <w:szCs w:val="24"/>
                <w:highlight w:val="none"/>
              </w:rPr>
              <w:t>面积（m</w:t>
            </w:r>
            <w:r>
              <w:rPr>
                <w:rFonts w:hint="default" w:ascii="Times New Roman" w:hAnsi="Times New Roman" w:eastAsia="宋体" w:cs="Times New Roman"/>
                <w:color w:val="auto"/>
                <w:spacing w:val="-6"/>
                <w:sz w:val="24"/>
                <w:szCs w:val="24"/>
                <w:highlight w:val="none"/>
                <w:vertAlign w:val="superscript"/>
              </w:rPr>
              <w:t>2</w:t>
            </w:r>
            <w:r>
              <w:rPr>
                <w:rFonts w:hint="default" w:ascii="Times New Roman" w:hAnsi="Times New Roman" w:eastAsia="宋体" w:cs="Times New Roman"/>
                <w:color w:val="auto"/>
                <w:spacing w:val="-6"/>
                <w:sz w:val="24"/>
                <w:szCs w:val="24"/>
                <w:highlight w:val="none"/>
              </w:rPr>
              <w:t>）</w:t>
            </w:r>
          </w:p>
        </w:tc>
        <w:tc>
          <w:tcPr>
            <w:tcW w:w="2639" w:type="dxa"/>
            <w:noWrap w:val="0"/>
            <w:vAlign w:val="center"/>
          </w:tcPr>
          <w:p w14:paraId="2F77A2C3">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16230</w:t>
            </w:r>
          </w:p>
        </w:tc>
      </w:tr>
      <w:tr w14:paraId="44511A7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344" w:type="dxa"/>
            <w:noWrap w:val="0"/>
            <w:vAlign w:val="center"/>
          </w:tcPr>
          <w:p w14:paraId="2F260D92">
            <w:pPr>
              <w:autoSpaceDE w:val="0"/>
              <w:autoSpaceDN w:val="0"/>
              <w:adjustRightInd w:val="0"/>
              <w:snapToGrid w:val="0"/>
              <w:jc w:val="center"/>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专项评价设置情况</w:t>
            </w:r>
          </w:p>
        </w:tc>
        <w:tc>
          <w:tcPr>
            <w:tcW w:w="7526" w:type="dxa"/>
            <w:gridSpan w:val="3"/>
            <w:noWrap w:val="0"/>
            <w:vAlign w:val="center"/>
          </w:tcPr>
          <w:p w14:paraId="7B37A2E3">
            <w:pPr>
              <w:autoSpaceDE w:val="0"/>
              <w:autoSpaceDN w:val="0"/>
              <w:adjustRightInd w:val="0"/>
              <w:snapToGrid w:val="0"/>
              <w:jc w:val="center"/>
              <w:rPr>
                <w:rFonts w:hint="eastAsia"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color w:val="auto"/>
                <w:kern w:val="0"/>
                <w:sz w:val="24"/>
                <w:szCs w:val="24"/>
                <w:lang w:val="en-US" w:eastAsia="zh-CN"/>
              </w:rPr>
              <w:t>无</w:t>
            </w:r>
          </w:p>
        </w:tc>
      </w:tr>
      <w:tr w14:paraId="3CFEB8B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344" w:type="dxa"/>
            <w:noWrap w:val="0"/>
            <w:vAlign w:val="center"/>
          </w:tcPr>
          <w:p w14:paraId="424E07E0">
            <w:pPr>
              <w:autoSpaceDE w:val="0"/>
              <w:autoSpaceDN w:val="0"/>
              <w:adjustRightInd w:val="0"/>
              <w:snapToGrid w:val="0"/>
              <w:jc w:val="center"/>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sz w:val="24"/>
                <w:szCs w:val="24"/>
              </w:rPr>
              <w:t>规划情况</w:t>
            </w:r>
          </w:p>
        </w:tc>
        <w:tc>
          <w:tcPr>
            <w:tcW w:w="7526" w:type="dxa"/>
            <w:gridSpan w:val="3"/>
            <w:noWrap w:val="0"/>
            <w:vAlign w:val="center"/>
          </w:tcPr>
          <w:p w14:paraId="3BE31EB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b w:val="0"/>
                <w:bCs w:val="0"/>
                <w:color w:val="auto"/>
                <w:kern w:val="0"/>
                <w:sz w:val="24"/>
                <w:szCs w:val="24"/>
                <w:lang w:val="en-US" w:eastAsia="zh-CN"/>
              </w:rPr>
              <w:t>昌吉市城市管理局已委托上海市政工程设计研究总院(集团)有限公司编制《</w:t>
            </w:r>
            <w:r>
              <w:rPr>
                <w:rFonts w:hint="eastAsia" w:cs="Times New Roman"/>
                <w:b w:val="0"/>
                <w:bCs w:val="0"/>
                <w:color w:val="auto"/>
                <w:kern w:val="0"/>
                <w:sz w:val="24"/>
                <w:szCs w:val="24"/>
                <w:lang w:val="en-US" w:eastAsia="zh-CN"/>
              </w:rPr>
              <w:t>昌吉市“一市两区”建筑垃圾污染环境防治工作规划（2025-2030年）</w:t>
            </w:r>
            <w:r>
              <w:rPr>
                <w:rFonts w:hint="eastAsia" w:ascii="Times New Roman" w:hAnsi="Times New Roman" w:eastAsia="宋体" w:cs="Times New Roman"/>
                <w:b w:val="0"/>
                <w:bCs w:val="0"/>
                <w:color w:val="auto"/>
                <w:kern w:val="0"/>
                <w:sz w:val="24"/>
                <w:szCs w:val="24"/>
                <w:lang w:val="en-US" w:eastAsia="zh-CN"/>
              </w:rPr>
              <w:t>》，并于2026年2月11日通过昌吉市人民政府第77次常务会审议</w:t>
            </w:r>
            <w:r>
              <w:rPr>
                <w:rFonts w:hint="default" w:ascii="Times New Roman" w:hAnsi="Times New Roman" w:eastAsia="宋体" w:cs="Times New Roman"/>
                <w:b w:val="0"/>
                <w:bCs w:val="0"/>
                <w:color w:val="auto"/>
                <w:kern w:val="0"/>
                <w:sz w:val="24"/>
                <w:szCs w:val="24"/>
                <w:lang w:val="en-US" w:eastAsia="zh-CN"/>
              </w:rPr>
              <w:t>。</w:t>
            </w:r>
          </w:p>
        </w:tc>
      </w:tr>
      <w:tr w14:paraId="684C21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344" w:type="dxa"/>
            <w:noWrap w:val="0"/>
            <w:vAlign w:val="center"/>
          </w:tcPr>
          <w:p w14:paraId="4590E892">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规划环境影响</w:t>
            </w:r>
          </w:p>
          <w:p w14:paraId="1B6A6736">
            <w:pPr>
              <w:adjustRightInd w:val="0"/>
              <w:snapToGrid w:val="0"/>
              <w:jc w:val="center"/>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sz w:val="24"/>
                <w:szCs w:val="24"/>
              </w:rPr>
              <w:t>评价情况</w:t>
            </w:r>
          </w:p>
        </w:tc>
        <w:tc>
          <w:tcPr>
            <w:tcW w:w="7526" w:type="dxa"/>
            <w:gridSpan w:val="3"/>
            <w:noWrap w:val="0"/>
            <w:vAlign w:val="center"/>
          </w:tcPr>
          <w:p w14:paraId="544162FC">
            <w:pPr>
              <w:autoSpaceDE w:val="0"/>
              <w:autoSpaceDN w:val="0"/>
              <w:adjustRightInd w:val="0"/>
              <w:snapToGrid w:val="0"/>
              <w:jc w:val="center"/>
              <w:rPr>
                <w:rFonts w:hint="eastAsia"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color w:val="auto"/>
                <w:kern w:val="0"/>
                <w:sz w:val="24"/>
                <w:szCs w:val="24"/>
                <w:lang w:val="en-US" w:eastAsia="zh-CN"/>
              </w:rPr>
              <w:t>无</w:t>
            </w:r>
          </w:p>
        </w:tc>
      </w:tr>
      <w:tr w14:paraId="55D8D6E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344" w:type="dxa"/>
            <w:noWrap w:val="0"/>
            <w:vAlign w:val="center"/>
          </w:tcPr>
          <w:p w14:paraId="7A4CF70F">
            <w:pPr>
              <w:autoSpaceDE w:val="0"/>
              <w:autoSpaceDN w:val="0"/>
              <w:adjustRightInd w:val="0"/>
              <w:snapToGrid w:val="0"/>
              <w:jc w:val="center"/>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规划及规划环境</w:t>
            </w:r>
          </w:p>
          <w:p w14:paraId="672D41AC">
            <w:pPr>
              <w:autoSpaceDE w:val="0"/>
              <w:autoSpaceDN w:val="0"/>
              <w:adjustRightInd w:val="0"/>
              <w:snapToGrid w:val="0"/>
              <w:jc w:val="center"/>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影响评价符合性分析</w:t>
            </w:r>
          </w:p>
        </w:tc>
        <w:tc>
          <w:tcPr>
            <w:tcW w:w="7526" w:type="dxa"/>
            <w:gridSpan w:val="3"/>
            <w:noWrap w:val="0"/>
            <w:vAlign w:val="center"/>
          </w:tcPr>
          <w:p w14:paraId="452ABE1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b w:val="0"/>
                <w:bCs w:val="0"/>
                <w:color w:val="auto"/>
                <w:kern w:val="0"/>
                <w:sz w:val="24"/>
                <w:szCs w:val="24"/>
                <w:lang w:val="en-US" w:eastAsia="zh-CN"/>
              </w:rPr>
            </w:pPr>
            <w:r>
              <w:rPr>
                <w:rFonts w:hint="default" w:ascii="Times New Roman" w:hAnsi="Times New Roman" w:eastAsia="宋体" w:cs="Times New Roman"/>
                <w:b w:val="0"/>
                <w:bCs w:val="0"/>
                <w:color w:val="auto"/>
                <w:kern w:val="0"/>
                <w:sz w:val="24"/>
                <w:szCs w:val="24"/>
                <w:lang w:val="en-US" w:eastAsia="zh-CN"/>
              </w:rPr>
              <w:t>本项目与</w:t>
            </w:r>
            <w:r>
              <w:rPr>
                <w:rFonts w:hint="eastAsia" w:ascii="Times New Roman" w:hAnsi="Times New Roman" w:eastAsia="宋体" w:cs="Times New Roman"/>
                <w:b w:val="0"/>
                <w:bCs w:val="0"/>
                <w:color w:val="auto"/>
                <w:kern w:val="0"/>
                <w:sz w:val="24"/>
                <w:szCs w:val="24"/>
                <w:lang w:val="en-US" w:eastAsia="zh-CN"/>
              </w:rPr>
              <w:t>《</w:t>
            </w:r>
            <w:r>
              <w:rPr>
                <w:rFonts w:hint="eastAsia" w:cs="Times New Roman"/>
                <w:b w:val="0"/>
                <w:bCs w:val="0"/>
                <w:color w:val="auto"/>
                <w:kern w:val="0"/>
                <w:sz w:val="24"/>
                <w:szCs w:val="24"/>
                <w:lang w:val="en-US" w:eastAsia="zh-CN"/>
              </w:rPr>
              <w:t>昌吉市“一市两区”建筑垃圾污染环境防治工作规划（2025-2030年）</w:t>
            </w:r>
            <w:r>
              <w:rPr>
                <w:rFonts w:hint="eastAsia" w:ascii="Times New Roman" w:hAnsi="Times New Roman" w:eastAsia="宋体" w:cs="Times New Roman"/>
                <w:b w:val="0"/>
                <w:bCs w:val="0"/>
                <w:color w:val="auto"/>
                <w:kern w:val="0"/>
                <w:sz w:val="24"/>
                <w:szCs w:val="24"/>
                <w:lang w:val="en-US" w:eastAsia="zh-CN"/>
              </w:rPr>
              <w:t>》的</w:t>
            </w:r>
            <w:r>
              <w:rPr>
                <w:rFonts w:hint="default" w:ascii="Times New Roman" w:hAnsi="Times New Roman" w:eastAsia="宋体" w:cs="Times New Roman"/>
                <w:b w:val="0"/>
                <w:bCs w:val="0"/>
                <w:color w:val="auto"/>
                <w:kern w:val="0"/>
                <w:sz w:val="24"/>
                <w:szCs w:val="24"/>
                <w:lang w:val="en-US" w:eastAsia="zh-CN"/>
              </w:rPr>
              <w:t>相符性分析见表</w:t>
            </w:r>
            <w:r>
              <w:rPr>
                <w:rFonts w:hint="eastAsia" w:ascii="Times New Roman" w:hAnsi="Times New Roman" w:eastAsia="宋体" w:cs="Times New Roman"/>
                <w:b w:val="0"/>
                <w:bCs w:val="0"/>
                <w:color w:val="auto"/>
                <w:kern w:val="0"/>
                <w:sz w:val="24"/>
                <w:szCs w:val="24"/>
                <w:lang w:val="en-US" w:eastAsia="zh-CN"/>
              </w:rPr>
              <w:t>1</w:t>
            </w:r>
            <w:r>
              <w:rPr>
                <w:rFonts w:hint="default" w:ascii="Times New Roman" w:hAnsi="Times New Roman" w:eastAsia="宋体" w:cs="Times New Roman"/>
                <w:b w:val="0"/>
                <w:bCs w:val="0"/>
                <w:color w:val="auto"/>
                <w:kern w:val="0"/>
                <w:sz w:val="24"/>
                <w:szCs w:val="24"/>
                <w:lang w:val="en-US" w:eastAsia="zh-CN"/>
              </w:rPr>
              <w:t>-</w:t>
            </w:r>
            <w:r>
              <w:rPr>
                <w:rFonts w:hint="eastAsia" w:ascii="Times New Roman" w:hAnsi="Times New Roman" w:eastAsia="宋体" w:cs="Times New Roman"/>
                <w:b w:val="0"/>
                <w:bCs w:val="0"/>
                <w:color w:val="auto"/>
                <w:kern w:val="0"/>
                <w:sz w:val="24"/>
                <w:szCs w:val="24"/>
                <w:lang w:val="en-US" w:eastAsia="zh-CN"/>
              </w:rPr>
              <w:t>1</w:t>
            </w:r>
            <w:r>
              <w:rPr>
                <w:rFonts w:hint="default" w:ascii="Times New Roman" w:hAnsi="Times New Roman" w:eastAsia="宋体" w:cs="Times New Roman"/>
                <w:b w:val="0"/>
                <w:bCs w:val="0"/>
                <w:color w:val="auto"/>
                <w:kern w:val="0"/>
                <w:sz w:val="24"/>
                <w:szCs w:val="24"/>
                <w:lang w:val="en-US" w:eastAsia="zh-CN"/>
              </w:rPr>
              <w:t>。</w:t>
            </w:r>
          </w:p>
          <w:p w14:paraId="7664AEDF">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b/>
                <w:bCs/>
                <w:color w:val="auto"/>
                <w:kern w:val="0"/>
                <w:sz w:val="21"/>
                <w:szCs w:val="21"/>
                <w:lang w:val="en-US" w:eastAsia="zh-CN"/>
              </w:rPr>
              <w:t>表1-1   与污染防治规划的符合性分析</w:t>
            </w:r>
          </w:p>
          <w:tbl>
            <w:tblPr>
              <w:tblStyle w:val="27"/>
              <w:tblW w:w="4997"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408"/>
              <w:gridCol w:w="440"/>
              <w:gridCol w:w="3314"/>
              <w:gridCol w:w="2486"/>
              <w:gridCol w:w="658"/>
            </w:tblGrid>
            <w:tr w14:paraId="2CE71F8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2848" w:type="pct"/>
                  <w:gridSpan w:val="3"/>
                  <w:tcBorders>
                    <w:bottom w:val="single" w:color="auto" w:sz="12" w:space="0"/>
                  </w:tcBorders>
                  <w:noWrap w:val="0"/>
                  <w:vAlign w:val="center"/>
                </w:tcPr>
                <w:p w14:paraId="5668523D">
                  <w:pPr>
                    <w:pStyle w:val="3"/>
                    <w:numPr>
                      <w:ilvl w:val="0"/>
                      <w:numId w:val="0"/>
                    </w:numPr>
                    <w:adjustRightInd w:val="0"/>
                    <w:snapToGrid w:val="0"/>
                    <w:spacing w:before="0" w:after="0" w:line="240" w:lineRule="auto"/>
                    <w:ind w:leftChars="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规划中要求</w:t>
                  </w:r>
                </w:p>
              </w:tc>
              <w:tc>
                <w:tcPr>
                  <w:tcW w:w="1701" w:type="pct"/>
                  <w:tcBorders>
                    <w:bottom w:val="single" w:color="auto" w:sz="12" w:space="0"/>
                  </w:tcBorders>
                  <w:noWrap w:val="0"/>
                  <w:vAlign w:val="center"/>
                </w:tcPr>
                <w:p w14:paraId="170E6865">
                  <w:pPr>
                    <w:pStyle w:val="3"/>
                    <w:numPr>
                      <w:ilvl w:val="0"/>
                      <w:numId w:val="0"/>
                    </w:numPr>
                    <w:adjustRightInd w:val="0"/>
                    <w:snapToGrid w:val="0"/>
                    <w:spacing w:before="0" w:after="0" w:line="240" w:lineRule="auto"/>
                    <w:ind w:leftChars="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本项目情况</w:t>
                  </w:r>
                </w:p>
              </w:tc>
              <w:tc>
                <w:tcPr>
                  <w:tcW w:w="450" w:type="pct"/>
                  <w:tcBorders>
                    <w:bottom w:val="single" w:color="auto" w:sz="12" w:space="0"/>
                  </w:tcBorders>
                  <w:noWrap w:val="0"/>
                  <w:vAlign w:val="center"/>
                </w:tcPr>
                <w:p w14:paraId="5D4FB51C">
                  <w:pPr>
                    <w:pStyle w:val="3"/>
                    <w:numPr>
                      <w:ilvl w:val="0"/>
                      <w:numId w:val="0"/>
                    </w:numPr>
                    <w:adjustRightInd w:val="0"/>
                    <w:snapToGrid w:val="0"/>
                    <w:spacing w:before="0" w:after="0" w:line="240" w:lineRule="auto"/>
                    <w:ind w:left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lang w:val="en-US" w:eastAsia="zh-CN"/>
                    </w:rPr>
                    <w:t>符合性</w:t>
                  </w:r>
                </w:p>
              </w:tc>
            </w:tr>
            <w:tr w14:paraId="3053B2D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279" w:type="pct"/>
                  <w:tcBorders>
                    <w:top w:val="single" w:color="auto" w:sz="12" w:space="0"/>
                    <w:tl2br w:val="nil"/>
                    <w:tr2bl w:val="nil"/>
                  </w:tcBorders>
                  <w:noWrap w:val="0"/>
                  <w:vAlign w:val="center"/>
                </w:tcPr>
                <w:p w14:paraId="20EC5EEB">
                  <w:pPr>
                    <w:rPr>
                      <w:rFonts w:hint="default"/>
                      <w:color w:val="auto"/>
                      <w:lang w:val="en-US" w:eastAsia="zh-CN"/>
                    </w:rPr>
                  </w:pPr>
                  <w:r>
                    <w:rPr>
                      <w:rFonts w:hint="eastAsia"/>
                      <w:color w:val="auto"/>
                      <w:lang w:val="en-US" w:eastAsia="zh-CN"/>
                    </w:rPr>
                    <w:t>1</w:t>
                  </w:r>
                </w:p>
              </w:tc>
              <w:tc>
                <w:tcPr>
                  <w:tcW w:w="301" w:type="pct"/>
                  <w:tcBorders>
                    <w:top w:val="single" w:color="auto" w:sz="12" w:space="0"/>
                    <w:tl2br w:val="nil"/>
                    <w:tr2bl w:val="nil"/>
                  </w:tcBorders>
                  <w:noWrap w:val="0"/>
                  <w:vAlign w:val="center"/>
                </w:tcPr>
                <w:p w14:paraId="428DAB24">
                  <w:pPr>
                    <w:rPr>
                      <w:rFonts w:hint="default"/>
                      <w:color w:val="auto"/>
                      <w:lang w:val="en-US" w:eastAsia="zh-CN"/>
                    </w:rPr>
                  </w:pPr>
                  <w:r>
                    <w:rPr>
                      <w:rFonts w:hint="default"/>
                      <w:color w:val="auto"/>
                      <w:lang w:val="en-US" w:eastAsia="zh-CN"/>
                    </w:rPr>
                    <w:t>规划核心控制指标</w:t>
                  </w:r>
                </w:p>
              </w:tc>
              <w:tc>
                <w:tcPr>
                  <w:tcW w:w="2267" w:type="pct"/>
                  <w:tcBorders>
                    <w:top w:val="single" w:color="auto" w:sz="12" w:space="0"/>
                    <w:tl2br w:val="nil"/>
                    <w:tr2bl w:val="nil"/>
                  </w:tcBorders>
                  <w:noWrap w:val="0"/>
                  <w:vAlign w:val="center"/>
                </w:tcPr>
                <w:p w14:paraId="4B66BF6A">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根据规划成果，预测2030年昌吉市建筑垃圾产生总量35.57万t/a，分为工程渣土2.74万t、工程垃圾16.80万t、拆除垃圾0.30万t、装修垃圾 15.73万t</w:t>
                  </w:r>
                  <w:r>
                    <w:rPr>
                      <w:rFonts w:hint="eastAsia" w:ascii="Times New Roman" w:hAnsi="Times New Roman" w:eastAsia="宋体" w:cs="Times New Roman"/>
                      <w:b w:val="0"/>
                      <w:bCs w:val="0"/>
                      <w:color w:val="auto"/>
                      <w:sz w:val="21"/>
                      <w:szCs w:val="21"/>
                      <w:lang w:val="en-US" w:eastAsia="zh-CN"/>
                    </w:rPr>
                    <w:t>；</w:t>
                  </w:r>
                </w:p>
              </w:tc>
              <w:tc>
                <w:tcPr>
                  <w:tcW w:w="1701" w:type="pct"/>
                  <w:tcBorders>
                    <w:top w:val="single" w:color="auto" w:sz="12" w:space="0"/>
                    <w:tl2br w:val="nil"/>
                    <w:tr2bl w:val="nil"/>
                  </w:tcBorders>
                  <w:noWrap w:val="0"/>
                  <w:vAlign w:val="center"/>
                </w:tcPr>
                <w:p w14:paraId="329C8BD5">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本项目物料堆放高度3.0m，单次可堆放建筑垃圾17000m³（23800t）；项目年运营300天，若实现年中转建筑垃圾35.57万吨，需年周转7.75次，单次物料堆放周期约47天，核算结果可满足35.57万吨/年的中转规模要求。</w:t>
                  </w:r>
                </w:p>
              </w:tc>
              <w:tc>
                <w:tcPr>
                  <w:tcW w:w="450" w:type="pct"/>
                  <w:tcBorders>
                    <w:top w:val="single" w:color="auto" w:sz="12" w:space="0"/>
                    <w:tl2br w:val="nil"/>
                    <w:tr2bl w:val="nil"/>
                  </w:tcBorders>
                  <w:noWrap w:val="0"/>
                  <w:vAlign w:val="center"/>
                </w:tcPr>
                <w:p w14:paraId="0735AFC1">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lang w:val="en-US" w:eastAsia="zh-CN"/>
                    </w:rPr>
                  </w:pPr>
                  <w:r>
                    <w:rPr>
                      <w:rFonts w:hint="eastAsia" w:ascii="Times New Roman" w:hAnsi="Times New Roman" w:eastAsia="宋体" w:cs="Times New Roman"/>
                      <w:b w:val="0"/>
                      <w:bCs w:val="0"/>
                      <w:color w:val="auto"/>
                      <w:sz w:val="21"/>
                      <w:szCs w:val="21"/>
                      <w:lang w:val="en-US" w:eastAsia="zh-CN"/>
                    </w:rPr>
                    <w:t>符合</w:t>
                  </w:r>
                </w:p>
              </w:tc>
            </w:tr>
            <w:tr w14:paraId="26B5E66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279" w:type="pct"/>
                  <w:vMerge w:val="restart"/>
                  <w:tcBorders>
                    <w:tl2br w:val="nil"/>
                    <w:tr2bl w:val="nil"/>
                  </w:tcBorders>
                  <w:noWrap w:val="0"/>
                  <w:vAlign w:val="center"/>
                </w:tcPr>
                <w:p w14:paraId="651321ED">
                  <w:pPr>
                    <w:rPr>
                      <w:rFonts w:hint="default"/>
                      <w:color w:val="auto"/>
                      <w:lang w:val="en-US" w:eastAsia="zh-CN"/>
                    </w:rPr>
                  </w:pPr>
                  <w:r>
                    <w:rPr>
                      <w:rFonts w:hint="eastAsia"/>
                      <w:color w:val="auto"/>
                      <w:lang w:val="en-US" w:eastAsia="zh-CN"/>
                    </w:rPr>
                    <w:t>2</w:t>
                  </w:r>
                </w:p>
              </w:tc>
              <w:tc>
                <w:tcPr>
                  <w:tcW w:w="301" w:type="pct"/>
                  <w:vMerge w:val="restart"/>
                  <w:tcBorders>
                    <w:tl2br w:val="nil"/>
                    <w:tr2bl w:val="nil"/>
                  </w:tcBorders>
                  <w:noWrap w:val="0"/>
                  <w:vAlign w:val="center"/>
                </w:tcPr>
                <w:p w14:paraId="46A3E1C7">
                  <w:pPr>
                    <w:rPr>
                      <w:rFonts w:hint="default"/>
                      <w:color w:val="auto"/>
                      <w:lang w:val="en-US" w:eastAsia="zh-CN"/>
                    </w:rPr>
                  </w:pPr>
                  <w:r>
                    <w:rPr>
                      <w:rFonts w:hint="eastAsia"/>
                      <w:color w:val="auto"/>
                      <w:lang w:val="en-US" w:eastAsia="zh-CN"/>
                    </w:rPr>
                    <w:t>布局</w:t>
                  </w:r>
                </w:p>
              </w:tc>
              <w:tc>
                <w:tcPr>
                  <w:tcW w:w="2267" w:type="pct"/>
                  <w:tcBorders>
                    <w:tl2br w:val="nil"/>
                    <w:tr2bl w:val="nil"/>
                  </w:tcBorders>
                  <w:noWrap w:val="0"/>
                  <w:vAlign w:val="center"/>
                </w:tcPr>
                <w:p w14:paraId="6AEB6719">
                  <w:pPr>
                    <w:rPr>
                      <w:rFonts w:hint="default"/>
                      <w:color w:val="auto"/>
                      <w:lang w:val="en-US" w:eastAsia="zh-CN"/>
                    </w:rPr>
                  </w:pPr>
                  <w:r>
                    <w:rPr>
                      <w:rFonts w:hint="default" w:ascii="Times New Roman" w:hAnsi="Times New Roman" w:eastAsia="宋体" w:cs="Times New Roman"/>
                      <w:b w:val="0"/>
                      <w:bCs w:val="0"/>
                      <w:color w:val="auto"/>
                      <w:sz w:val="21"/>
                      <w:szCs w:val="21"/>
                      <w:lang w:val="en-US" w:eastAsia="zh-CN"/>
                    </w:rPr>
                    <w:t>推进收集能力与建筑垃圾产生量相协调、推进建设转运调配(贮存)设施，提高建筑垃圾贮存和转运调配能力，依托转运调配(贮存)设施，科学调配建筑垃圾，保障利用设施连续稳定运行。收运设施主要包括装修垃圾收集点、建筑垃圾调配场等。</w:t>
                  </w:r>
                </w:p>
              </w:tc>
              <w:tc>
                <w:tcPr>
                  <w:tcW w:w="1701" w:type="pct"/>
                  <w:tcBorders>
                    <w:tl2br w:val="nil"/>
                    <w:tr2bl w:val="nil"/>
                  </w:tcBorders>
                  <w:noWrap w:val="0"/>
                  <w:vAlign w:val="center"/>
                </w:tcPr>
                <w:p w14:paraId="0EF9748D">
                  <w:pPr>
                    <w:pStyle w:val="3"/>
                    <w:numPr>
                      <w:ilvl w:val="0"/>
                      <w:numId w:val="0"/>
                    </w:numPr>
                    <w:adjustRightInd w:val="0"/>
                    <w:snapToGrid w:val="0"/>
                    <w:spacing w:before="0" w:after="0" w:line="240" w:lineRule="auto"/>
                    <w:ind w:leftChars="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本项目为建筑垃圾调配场。</w:t>
                  </w:r>
                </w:p>
              </w:tc>
              <w:tc>
                <w:tcPr>
                  <w:tcW w:w="450" w:type="pct"/>
                  <w:tcBorders>
                    <w:tl2br w:val="nil"/>
                    <w:tr2bl w:val="nil"/>
                  </w:tcBorders>
                  <w:noWrap w:val="0"/>
                  <w:vAlign w:val="center"/>
                </w:tcPr>
                <w:p w14:paraId="1F8F5581">
                  <w:pPr>
                    <w:pStyle w:val="3"/>
                    <w:numPr>
                      <w:ilvl w:val="0"/>
                      <w:numId w:val="0"/>
                    </w:numPr>
                    <w:adjustRightInd w:val="0"/>
                    <w:snapToGrid w:val="0"/>
                    <w:spacing w:before="0" w:after="0" w:line="240" w:lineRule="auto"/>
                    <w:ind w:leftChars="0"/>
                    <w:jc w:val="center"/>
                    <w:rPr>
                      <w:rFonts w:hint="default" w:ascii="Times New Roman" w:hAnsi="Times New Roman" w:eastAsia="宋体" w:cs="Times New Roman"/>
                      <w:b/>
                      <w:bCs/>
                      <w:color w:val="auto"/>
                      <w:sz w:val="21"/>
                      <w:szCs w:val="21"/>
                      <w:lang w:val="en-US" w:eastAsia="zh-CN"/>
                    </w:rPr>
                  </w:pPr>
                </w:p>
              </w:tc>
            </w:tr>
            <w:tr w14:paraId="7AE86E8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279" w:type="pct"/>
                  <w:vMerge w:val="continue"/>
                  <w:tcBorders>
                    <w:tl2br w:val="nil"/>
                    <w:tr2bl w:val="nil"/>
                  </w:tcBorders>
                  <w:noWrap w:val="0"/>
                  <w:vAlign w:val="center"/>
                </w:tcPr>
                <w:p w14:paraId="45FF8795">
                  <w:pPr>
                    <w:rPr>
                      <w:rFonts w:hint="default"/>
                      <w:color w:val="auto"/>
                      <w:lang w:val="en-US" w:eastAsia="zh-CN"/>
                    </w:rPr>
                  </w:pPr>
                </w:p>
              </w:tc>
              <w:tc>
                <w:tcPr>
                  <w:tcW w:w="301" w:type="pct"/>
                  <w:vMerge w:val="continue"/>
                  <w:tcBorders>
                    <w:tl2br w:val="nil"/>
                    <w:tr2bl w:val="nil"/>
                  </w:tcBorders>
                  <w:noWrap w:val="0"/>
                  <w:vAlign w:val="center"/>
                </w:tcPr>
                <w:p w14:paraId="0E608544">
                  <w:pPr>
                    <w:pStyle w:val="3"/>
                    <w:numPr>
                      <w:ilvl w:val="0"/>
                      <w:numId w:val="0"/>
                    </w:numPr>
                    <w:adjustRightInd w:val="0"/>
                    <w:snapToGrid w:val="0"/>
                    <w:spacing w:before="0" w:after="0" w:line="240" w:lineRule="auto"/>
                    <w:ind w:left="0" w:leftChars="0" w:firstLine="0" w:firstLineChars="0"/>
                    <w:jc w:val="center"/>
                    <w:rPr>
                      <w:rFonts w:hint="default"/>
                      <w:color w:val="auto"/>
                      <w:lang w:val="en-US" w:eastAsia="zh-CN"/>
                    </w:rPr>
                  </w:pPr>
                </w:p>
              </w:tc>
              <w:tc>
                <w:tcPr>
                  <w:tcW w:w="2267" w:type="pct"/>
                  <w:tcBorders>
                    <w:tl2br w:val="nil"/>
                    <w:tr2bl w:val="nil"/>
                  </w:tcBorders>
                  <w:noWrap w:val="0"/>
                  <w:vAlign w:val="center"/>
                </w:tcPr>
                <w:p w14:paraId="64C0763E">
                  <w:pPr>
                    <w:pStyle w:val="3"/>
                    <w:numPr>
                      <w:ilvl w:val="0"/>
                      <w:numId w:val="0"/>
                    </w:numPr>
                    <w:adjustRightInd w:val="0"/>
                    <w:snapToGrid w:val="0"/>
                    <w:spacing w:before="0" w:after="0" w:line="240" w:lineRule="auto"/>
                    <w:ind w:left="0" w:leftChars="0" w:firstLine="0" w:firstLineChars="0"/>
                    <w:jc w:val="both"/>
                    <w:rPr>
                      <w:rFonts w:hint="default"/>
                      <w:color w:val="auto"/>
                      <w:lang w:val="en-US" w:eastAsia="zh-CN"/>
                    </w:rPr>
                  </w:pPr>
                  <w:r>
                    <w:rPr>
                      <w:rFonts w:hint="default" w:ascii="Times New Roman" w:hAnsi="Times New Roman" w:eastAsia="宋体" w:cs="Times New Roman"/>
                      <w:b w:val="0"/>
                      <w:bCs w:val="0"/>
                      <w:color w:val="auto"/>
                      <w:sz w:val="21"/>
                      <w:szCs w:val="21"/>
                      <w:lang w:val="zh-CN" w:eastAsia="zh-CN"/>
                    </w:rPr>
                    <w:t>在大西渠镇利用</w:t>
                  </w:r>
                  <w:r>
                    <w:rPr>
                      <w:rFonts w:hint="default" w:ascii="Times New Roman" w:hAnsi="Times New Roman" w:eastAsia="宋体" w:cs="Times New Roman"/>
                      <w:b w:val="0"/>
                      <w:bCs w:val="0"/>
                      <w:color w:val="auto"/>
                      <w:sz w:val="21"/>
                      <w:szCs w:val="21"/>
                      <w:lang w:val="en-US" w:eastAsia="zh-CN"/>
                    </w:rPr>
                    <w:t>空地</w:t>
                  </w:r>
                  <w:r>
                    <w:rPr>
                      <w:rFonts w:hint="default" w:ascii="Times New Roman" w:hAnsi="Times New Roman" w:eastAsia="宋体" w:cs="Times New Roman"/>
                      <w:b w:val="0"/>
                      <w:bCs w:val="0"/>
                      <w:color w:val="auto"/>
                      <w:sz w:val="21"/>
                      <w:szCs w:val="21"/>
                      <w:lang w:val="zh-CN" w:eastAsia="zh-CN"/>
                    </w:rPr>
                    <w:t>建设建筑垃圾消纳场所，满足</w:t>
                  </w:r>
                  <w:r>
                    <w:rPr>
                      <w:rFonts w:hint="default" w:ascii="Times New Roman" w:hAnsi="Times New Roman" w:eastAsia="宋体" w:cs="Times New Roman"/>
                      <w:b w:val="0"/>
                      <w:bCs w:val="0"/>
                      <w:color w:val="auto"/>
                      <w:sz w:val="21"/>
                      <w:szCs w:val="21"/>
                      <w:lang w:val="en-US" w:eastAsia="zh-CN"/>
                    </w:rPr>
                    <w:t>昌吉市</w:t>
                  </w:r>
                  <w:r>
                    <w:rPr>
                      <w:rFonts w:hint="default" w:ascii="Times New Roman" w:hAnsi="Times New Roman" w:eastAsia="宋体" w:cs="Times New Roman"/>
                      <w:b w:val="0"/>
                      <w:bCs w:val="0"/>
                      <w:color w:val="auto"/>
                      <w:sz w:val="21"/>
                      <w:szCs w:val="21"/>
                      <w:lang w:val="zh-CN" w:eastAsia="zh-CN"/>
                    </w:rPr>
                    <w:t>建筑垃圾消纳需求；</w:t>
                  </w:r>
                  <w:r>
                    <w:rPr>
                      <w:rFonts w:hint="default" w:ascii="Times New Roman" w:hAnsi="Times New Roman" w:eastAsia="宋体" w:cs="Times New Roman"/>
                      <w:b w:val="0"/>
                      <w:bCs w:val="0"/>
                      <w:color w:val="auto"/>
                      <w:sz w:val="21"/>
                      <w:szCs w:val="21"/>
                      <w:lang w:val="en-US" w:eastAsia="zh-CN"/>
                    </w:rPr>
                    <w:t>在</w:t>
                  </w:r>
                  <w:r>
                    <w:rPr>
                      <w:rFonts w:hint="default" w:ascii="Times New Roman" w:hAnsi="Times New Roman" w:eastAsia="宋体" w:cs="Times New Roman"/>
                      <w:b w:val="0"/>
                      <w:bCs w:val="0"/>
                      <w:color w:val="auto"/>
                      <w:sz w:val="21"/>
                      <w:szCs w:val="21"/>
                      <w:lang w:val="zh-CN" w:eastAsia="zh-CN"/>
                    </w:rPr>
                    <w:t>大西渠镇</w:t>
                  </w:r>
                  <w:r>
                    <w:rPr>
                      <w:rFonts w:hint="default" w:ascii="Times New Roman" w:hAnsi="Times New Roman" w:eastAsia="宋体" w:cs="Times New Roman"/>
                      <w:b w:val="0"/>
                      <w:bCs w:val="0"/>
                      <w:color w:val="auto"/>
                      <w:sz w:val="21"/>
                      <w:szCs w:val="21"/>
                      <w:lang w:val="en-US" w:eastAsia="zh-CN"/>
                    </w:rPr>
                    <w:t>启用昌吉市再生资源回收利用产业园，实现该园区集垃圾回收、分类、处理、中转的集散地功能，满足周边城镇和昌吉市市区建筑垃圾资源化利用需求；在昌吉空港合作区利用新疆一九发展科技有限责任公司的昌吉市建筑垃圾资源化利用项目，满足昌吉市昌吉空港合作区内</w:t>
                  </w:r>
                  <w:r>
                    <w:rPr>
                      <w:rFonts w:hint="default" w:ascii="Times New Roman" w:hAnsi="Times New Roman" w:eastAsia="宋体" w:cs="Times New Roman"/>
                      <w:b w:val="0"/>
                      <w:bCs w:val="0"/>
                      <w:color w:val="auto"/>
                      <w:sz w:val="21"/>
                      <w:szCs w:val="21"/>
                      <w:lang w:val="zh-CN" w:eastAsia="zh-CN"/>
                    </w:rPr>
                    <w:t>建筑垃圾资源化利用</w:t>
                  </w:r>
                </w:p>
              </w:tc>
              <w:tc>
                <w:tcPr>
                  <w:tcW w:w="1701" w:type="pct"/>
                  <w:tcBorders>
                    <w:tl2br w:val="nil"/>
                    <w:tr2bl w:val="nil"/>
                  </w:tcBorders>
                  <w:noWrap w:val="0"/>
                  <w:vAlign w:val="center"/>
                </w:tcPr>
                <w:p w14:paraId="476D4DC4">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0" w:line="240" w:lineRule="auto"/>
                    <w:ind w:left="0" w:leftChars="0" w:firstLine="0" w:firstLineChars="0"/>
                    <w:jc w:val="left"/>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color w:val="auto"/>
                      <w:kern w:val="0"/>
                      <w:sz w:val="21"/>
                      <w:szCs w:val="21"/>
                      <w:lang w:val="en-US" w:eastAsia="zh-CN"/>
                    </w:rPr>
                    <w:t>本项目为专门的建筑垃圾调配场，位于</w:t>
                  </w:r>
                  <w:r>
                    <w:rPr>
                      <w:rFonts w:hint="default" w:ascii="Times New Roman" w:hAnsi="Times New Roman" w:eastAsia="宋体" w:cs="Times New Roman"/>
                      <w:b w:val="0"/>
                      <w:bCs w:val="0"/>
                      <w:color w:val="auto"/>
                      <w:sz w:val="21"/>
                      <w:szCs w:val="21"/>
                      <w:lang w:val="en-US" w:eastAsia="zh-CN"/>
                    </w:rPr>
                    <w:t>昌吉市再生资源回收利用产业园内，位置详见附图1-1</w:t>
                  </w:r>
                  <w:r>
                    <w:rPr>
                      <w:rFonts w:hint="default" w:ascii="Times New Roman" w:hAnsi="Times New Roman" w:eastAsia="宋体" w:cs="Times New Roman"/>
                      <w:color w:val="auto"/>
                      <w:kern w:val="0"/>
                      <w:sz w:val="21"/>
                      <w:szCs w:val="21"/>
                      <w:lang w:val="en-US" w:eastAsia="zh-CN"/>
                    </w:rPr>
                    <w:t>。</w:t>
                  </w:r>
                </w:p>
              </w:tc>
              <w:tc>
                <w:tcPr>
                  <w:tcW w:w="450" w:type="pct"/>
                  <w:tcBorders>
                    <w:tl2br w:val="nil"/>
                    <w:tr2bl w:val="nil"/>
                  </w:tcBorders>
                  <w:noWrap w:val="0"/>
                  <w:vAlign w:val="center"/>
                </w:tcPr>
                <w:p w14:paraId="7E75F4EE">
                  <w:pPr>
                    <w:pStyle w:val="3"/>
                    <w:numPr>
                      <w:ilvl w:val="0"/>
                      <w:numId w:val="0"/>
                    </w:numPr>
                    <w:adjustRightInd w:val="0"/>
                    <w:snapToGrid w:val="0"/>
                    <w:spacing w:before="0" w:after="0" w:line="240" w:lineRule="auto"/>
                    <w:ind w:left="0" w:leftChars="0" w:firstLine="0" w:firstLineChars="0"/>
                    <w:jc w:val="center"/>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符合</w:t>
                  </w:r>
                </w:p>
              </w:tc>
            </w:tr>
            <w:tr w14:paraId="4F1AD0E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279" w:type="pct"/>
                  <w:vMerge w:val="restart"/>
                  <w:tcBorders>
                    <w:tl2br w:val="nil"/>
                    <w:tr2bl w:val="nil"/>
                  </w:tcBorders>
                  <w:noWrap w:val="0"/>
                  <w:vAlign w:val="center"/>
                </w:tcPr>
                <w:p w14:paraId="3E1D235F">
                  <w:pPr>
                    <w:pStyle w:val="3"/>
                    <w:numPr>
                      <w:ilvl w:val="0"/>
                      <w:numId w:val="0"/>
                    </w:numPr>
                    <w:adjustRightInd w:val="0"/>
                    <w:snapToGrid w:val="0"/>
                    <w:spacing w:before="0" w:after="0" w:line="240" w:lineRule="auto"/>
                    <w:ind w:leftChars="0"/>
                    <w:jc w:val="center"/>
                    <w:rPr>
                      <w:rFonts w:hint="default" w:ascii="Times New Roman" w:hAnsi="Times New Roman" w:eastAsia="宋体" w:cs="Times New Roman"/>
                      <w:b w:val="0"/>
                      <w:bCs w:val="0"/>
                      <w:color w:val="auto"/>
                      <w:sz w:val="21"/>
                      <w:szCs w:val="21"/>
                      <w:lang w:val="en-US" w:eastAsia="zh-CN"/>
                    </w:rPr>
                  </w:pPr>
                  <w:r>
                    <w:rPr>
                      <w:rFonts w:hint="eastAsia" w:eastAsia="宋体" w:cs="Times New Roman"/>
                      <w:b w:val="0"/>
                      <w:bCs w:val="0"/>
                      <w:color w:val="auto"/>
                      <w:sz w:val="21"/>
                      <w:szCs w:val="21"/>
                      <w:lang w:val="en-US" w:eastAsia="zh-CN"/>
                    </w:rPr>
                    <w:t>3</w:t>
                  </w:r>
                </w:p>
              </w:tc>
              <w:tc>
                <w:tcPr>
                  <w:tcW w:w="301" w:type="pct"/>
                  <w:vMerge w:val="restart"/>
                  <w:tcBorders>
                    <w:tl2br w:val="nil"/>
                    <w:tr2bl w:val="nil"/>
                  </w:tcBorders>
                  <w:noWrap w:val="0"/>
                  <w:vAlign w:val="center"/>
                </w:tcPr>
                <w:p w14:paraId="38C7BD82">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选址</w:t>
                  </w:r>
                </w:p>
              </w:tc>
              <w:tc>
                <w:tcPr>
                  <w:tcW w:w="2267" w:type="pct"/>
                  <w:tcBorders>
                    <w:tl2br w:val="nil"/>
                    <w:tr2bl w:val="nil"/>
                  </w:tcBorders>
                  <w:noWrap w:val="0"/>
                  <w:vAlign w:val="center"/>
                </w:tcPr>
                <w:p w14:paraId="5BDB037C">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资源化利用厂应当符合国土空间总体规划、环境卫生设施专项规划以及国家现行有关标准的规定。</w:t>
                  </w:r>
                </w:p>
              </w:tc>
              <w:tc>
                <w:tcPr>
                  <w:tcW w:w="1701" w:type="pct"/>
                  <w:tcBorders>
                    <w:tl2br w:val="nil"/>
                    <w:tr2bl w:val="nil"/>
                  </w:tcBorders>
                  <w:noWrap w:val="0"/>
                  <w:vAlign w:val="center"/>
                </w:tcPr>
                <w:p w14:paraId="5FA86020">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本项目的建设符合国土空间总体规划的要求，详见与国土空间总体规划的符合性分析</w:t>
                  </w:r>
                </w:p>
              </w:tc>
              <w:tc>
                <w:tcPr>
                  <w:tcW w:w="450" w:type="pct"/>
                  <w:tcBorders>
                    <w:tl2br w:val="nil"/>
                    <w:tr2bl w:val="nil"/>
                  </w:tcBorders>
                  <w:noWrap w:val="0"/>
                  <w:vAlign w:val="center"/>
                </w:tcPr>
                <w:p w14:paraId="61A06979">
                  <w:pPr>
                    <w:pStyle w:val="3"/>
                    <w:numPr>
                      <w:ilvl w:val="0"/>
                      <w:numId w:val="0"/>
                    </w:numPr>
                    <w:adjustRightInd w:val="0"/>
                    <w:snapToGrid w:val="0"/>
                    <w:spacing w:before="0" w:after="0" w:line="240" w:lineRule="auto"/>
                    <w:ind w:leftChars="0"/>
                    <w:jc w:val="center"/>
                    <w:rPr>
                      <w:rFonts w:hint="default" w:ascii="Times New Roman" w:hAnsi="Times New Roman" w:eastAsia="宋体" w:cs="Times New Roman"/>
                      <w:b w:val="0"/>
                      <w:bCs w:val="0"/>
                      <w:color w:val="auto"/>
                      <w:sz w:val="21"/>
                      <w:szCs w:val="21"/>
                      <w:lang w:val="en-US" w:eastAsia="zh-CN"/>
                    </w:rPr>
                  </w:pPr>
                </w:p>
              </w:tc>
            </w:tr>
            <w:tr w14:paraId="07E7E9B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279" w:type="pct"/>
                  <w:vMerge w:val="continue"/>
                  <w:tcBorders>
                    <w:tl2br w:val="nil"/>
                    <w:tr2bl w:val="nil"/>
                  </w:tcBorders>
                  <w:noWrap w:val="0"/>
                  <w:vAlign w:val="center"/>
                </w:tcPr>
                <w:p w14:paraId="2A554B14">
                  <w:pPr>
                    <w:pStyle w:val="3"/>
                    <w:numPr>
                      <w:ilvl w:val="0"/>
                      <w:numId w:val="0"/>
                    </w:numPr>
                    <w:adjustRightInd w:val="0"/>
                    <w:snapToGrid w:val="0"/>
                    <w:spacing w:before="0" w:after="0" w:line="240" w:lineRule="auto"/>
                    <w:ind w:leftChars="0"/>
                    <w:jc w:val="center"/>
                    <w:rPr>
                      <w:rFonts w:hint="default" w:ascii="Times New Roman" w:hAnsi="Times New Roman" w:eastAsia="宋体" w:cs="Times New Roman"/>
                      <w:b w:val="0"/>
                      <w:bCs w:val="0"/>
                      <w:color w:val="auto"/>
                      <w:sz w:val="21"/>
                      <w:szCs w:val="21"/>
                      <w:lang w:val="en-US" w:eastAsia="zh-CN"/>
                    </w:rPr>
                  </w:pPr>
                </w:p>
              </w:tc>
              <w:tc>
                <w:tcPr>
                  <w:tcW w:w="301" w:type="pct"/>
                  <w:vMerge w:val="continue"/>
                  <w:tcBorders>
                    <w:tl2br w:val="nil"/>
                    <w:tr2bl w:val="nil"/>
                  </w:tcBorders>
                  <w:noWrap w:val="0"/>
                  <w:vAlign w:val="center"/>
                </w:tcPr>
                <w:p w14:paraId="61C53F04">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lang w:val="en-US" w:eastAsia="zh-CN"/>
                    </w:rPr>
                  </w:pPr>
                </w:p>
              </w:tc>
              <w:tc>
                <w:tcPr>
                  <w:tcW w:w="2267" w:type="pct"/>
                  <w:tcBorders>
                    <w:tl2br w:val="nil"/>
                    <w:tr2bl w:val="nil"/>
                  </w:tcBorders>
                  <w:noWrap w:val="0"/>
                  <w:vAlign w:val="center"/>
                </w:tcPr>
                <w:p w14:paraId="1AB5CA97">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严禁在生态保护红线、生态空间管控区域、永久基本农田、世界文化和自然遗产地、风景名胜区、自然保护区、饮用水水源保护区、大气污染防治敏感区域和其他需要特别保护的区域内设置处置设施。</w:t>
                  </w:r>
                </w:p>
              </w:tc>
              <w:tc>
                <w:tcPr>
                  <w:tcW w:w="1701" w:type="pct"/>
                  <w:tcBorders>
                    <w:tl2br w:val="nil"/>
                    <w:tr2bl w:val="nil"/>
                  </w:tcBorders>
                  <w:noWrap w:val="0"/>
                  <w:vAlign w:val="center"/>
                </w:tcPr>
                <w:p w14:paraId="118898C6">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本项目位于昌吉市大西渠镇新戽村昌吉市再生资源回收利用产业园内，不涉及生态保护红线、生态空间管控区域、永久基本农田、世界文化和自然遗产地、风景名胜区、自然保护区、饮用水水源保护区、大气污染防治敏感区域和其他需要特别保护的区域</w:t>
                  </w:r>
                </w:p>
              </w:tc>
              <w:tc>
                <w:tcPr>
                  <w:tcW w:w="450" w:type="pct"/>
                  <w:tcBorders>
                    <w:tl2br w:val="nil"/>
                    <w:tr2bl w:val="nil"/>
                  </w:tcBorders>
                  <w:noWrap w:val="0"/>
                  <w:vAlign w:val="center"/>
                </w:tcPr>
                <w:p w14:paraId="3ACFD8CD">
                  <w:pPr>
                    <w:pStyle w:val="3"/>
                    <w:numPr>
                      <w:ilvl w:val="0"/>
                      <w:numId w:val="0"/>
                    </w:numPr>
                    <w:adjustRightInd w:val="0"/>
                    <w:snapToGrid w:val="0"/>
                    <w:spacing w:before="0" w:after="0" w:line="240" w:lineRule="auto"/>
                    <w:ind w:left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符合</w:t>
                  </w:r>
                </w:p>
              </w:tc>
            </w:tr>
            <w:tr w14:paraId="70C6F7D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279" w:type="pct"/>
                  <w:vMerge w:val="continue"/>
                  <w:tcBorders>
                    <w:tl2br w:val="nil"/>
                    <w:tr2bl w:val="nil"/>
                  </w:tcBorders>
                  <w:noWrap w:val="0"/>
                  <w:vAlign w:val="center"/>
                </w:tcPr>
                <w:p w14:paraId="5325AF97">
                  <w:pPr>
                    <w:pStyle w:val="3"/>
                    <w:numPr>
                      <w:ilvl w:val="0"/>
                      <w:numId w:val="0"/>
                    </w:numPr>
                    <w:adjustRightInd w:val="0"/>
                    <w:snapToGrid w:val="0"/>
                    <w:spacing w:before="0" w:after="0" w:line="240" w:lineRule="auto"/>
                    <w:ind w:leftChars="0"/>
                    <w:jc w:val="center"/>
                    <w:rPr>
                      <w:rFonts w:hint="default" w:ascii="Times New Roman" w:hAnsi="Times New Roman" w:eastAsia="宋体" w:cs="Times New Roman"/>
                      <w:b w:val="0"/>
                      <w:bCs w:val="0"/>
                      <w:color w:val="auto"/>
                      <w:sz w:val="21"/>
                      <w:szCs w:val="21"/>
                      <w:lang w:val="en-US" w:eastAsia="zh-CN"/>
                    </w:rPr>
                  </w:pPr>
                </w:p>
              </w:tc>
              <w:tc>
                <w:tcPr>
                  <w:tcW w:w="301" w:type="pct"/>
                  <w:vMerge w:val="continue"/>
                  <w:tcBorders>
                    <w:tl2br w:val="nil"/>
                    <w:tr2bl w:val="nil"/>
                  </w:tcBorders>
                  <w:noWrap w:val="0"/>
                  <w:vAlign w:val="center"/>
                </w:tcPr>
                <w:p w14:paraId="6886F056">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lang w:val="en-US" w:eastAsia="zh-CN"/>
                    </w:rPr>
                  </w:pPr>
                </w:p>
              </w:tc>
              <w:tc>
                <w:tcPr>
                  <w:tcW w:w="2267" w:type="pct"/>
                  <w:tcBorders>
                    <w:tl2br w:val="nil"/>
                    <w:tr2bl w:val="nil"/>
                  </w:tcBorders>
                  <w:noWrap w:val="0"/>
                  <w:vAlign w:val="center"/>
                </w:tcPr>
                <w:p w14:paraId="04B0A817">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工程地质与水文地质条件应满足设施建设和运行的要求，不应选在发震断层、滑坡、泥石流、沼泽、流沙及采矿陷落区等地区。</w:t>
                  </w:r>
                </w:p>
              </w:tc>
              <w:tc>
                <w:tcPr>
                  <w:tcW w:w="1701" w:type="pct"/>
                  <w:tcBorders>
                    <w:tl2br w:val="nil"/>
                    <w:tr2bl w:val="nil"/>
                  </w:tcBorders>
                  <w:noWrap w:val="0"/>
                  <w:vAlign w:val="center"/>
                </w:tcPr>
                <w:p w14:paraId="128B7A19">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项目场址无活动发震断层穿越，不存在滑坡、泥石流等地质灾害隐患，不属于沼泽、流沙、采矿陷落等不稳定区域，场地工程地质、水文地质条件可支撑工程施工及长期安全运营，选址满足相关规范对场址地质条件的控制要求。</w:t>
                  </w:r>
                </w:p>
              </w:tc>
              <w:tc>
                <w:tcPr>
                  <w:tcW w:w="450" w:type="pct"/>
                  <w:tcBorders>
                    <w:tl2br w:val="nil"/>
                    <w:tr2bl w:val="nil"/>
                  </w:tcBorders>
                  <w:noWrap w:val="0"/>
                  <w:vAlign w:val="center"/>
                </w:tcPr>
                <w:p w14:paraId="762E375D">
                  <w:pPr>
                    <w:pStyle w:val="3"/>
                    <w:numPr>
                      <w:ilvl w:val="0"/>
                      <w:numId w:val="0"/>
                    </w:numPr>
                    <w:adjustRightInd w:val="0"/>
                    <w:snapToGrid w:val="0"/>
                    <w:spacing w:before="0" w:after="0" w:line="240" w:lineRule="auto"/>
                    <w:ind w:left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符合</w:t>
                  </w:r>
                </w:p>
              </w:tc>
            </w:tr>
            <w:tr w14:paraId="129E639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279" w:type="pct"/>
                  <w:tcBorders>
                    <w:tl2br w:val="nil"/>
                    <w:tr2bl w:val="nil"/>
                  </w:tcBorders>
                  <w:noWrap w:val="0"/>
                  <w:vAlign w:val="center"/>
                </w:tcPr>
                <w:p w14:paraId="1052E63B">
                  <w:pPr>
                    <w:pStyle w:val="3"/>
                    <w:numPr>
                      <w:ilvl w:val="0"/>
                      <w:numId w:val="0"/>
                    </w:numPr>
                    <w:adjustRightInd w:val="0"/>
                    <w:snapToGrid w:val="0"/>
                    <w:spacing w:before="0" w:after="0" w:line="240" w:lineRule="auto"/>
                    <w:ind w:leftChars="0"/>
                    <w:jc w:val="center"/>
                    <w:rPr>
                      <w:rFonts w:hint="default" w:ascii="Times New Roman" w:hAnsi="Times New Roman" w:eastAsia="宋体" w:cs="Times New Roman"/>
                      <w:b w:val="0"/>
                      <w:bCs w:val="0"/>
                      <w:color w:val="auto"/>
                      <w:sz w:val="21"/>
                      <w:szCs w:val="21"/>
                      <w:lang w:val="en-US" w:eastAsia="zh-CN"/>
                    </w:rPr>
                  </w:pPr>
                  <w:r>
                    <w:rPr>
                      <w:rFonts w:hint="eastAsia" w:eastAsia="宋体" w:cs="Times New Roman"/>
                      <w:b w:val="0"/>
                      <w:bCs w:val="0"/>
                      <w:color w:val="auto"/>
                      <w:sz w:val="21"/>
                      <w:szCs w:val="21"/>
                      <w:lang w:val="en-US" w:eastAsia="zh-CN"/>
                    </w:rPr>
                    <w:t>4</w:t>
                  </w:r>
                </w:p>
              </w:tc>
              <w:tc>
                <w:tcPr>
                  <w:tcW w:w="301" w:type="pct"/>
                  <w:tcBorders>
                    <w:tl2br w:val="nil"/>
                    <w:tr2bl w:val="nil"/>
                  </w:tcBorders>
                  <w:noWrap w:val="0"/>
                  <w:vAlign w:val="center"/>
                </w:tcPr>
                <w:p w14:paraId="087C7DA4">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设置形式与要求</w:t>
                  </w:r>
                </w:p>
              </w:tc>
              <w:tc>
                <w:tcPr>
                  <w:tcW w:w="2267" w:type="pct"/>
                  <w:tcBorders>
                    <w:tl2br w:val="nil"/>
                    <w:tr2bl w:val="nil"/>
                  </w:tcBorders>
                  <w:noWrap w:val="0"/>
                  <w:vAlign w:val="center"/>
                </w:tcPr>
                <w:p w14:paraId="62F3B0A1">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处置设施的布局遵循“全面覆盖、运距合理、总量控制”的原则，根据区域内建筑垃圾存量和预测的增量，并结合经济性、技术可行性和可靠性等因素统筹确定，其生产规模和处置能力应满足城市经济和社会发展需要。</w:t>
                  </w:r>
                </w:p>
              </w:tc>
              <w:tc>
                <w:tcPr>
                  <w:tcW w:w="1701" w:type="pct"/>
                  <w:tcBorders>
                    <w:tl2br w:val="nil"/>
                    <w:tr2bl w:val="nil"/>
                  </w:tcBorders>
                  <w:noWrap w:val="0"/>
                  <w:vAlign w:val="center"/>
                </w:tcPr>
                <w:p w14:paraId="4399B502">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本项目布局在昌吉市再生资源回收利用产业园内</w:t>
                  </w:r>
                </w:p>
              </w:tc>
              <w:tc>
                <w:tcPr>
                  <w:tcW w:w="450" w:type="pct"/>
                  <w:tcBorders>
                    <w:tl2br w:val="nil"/>
                    <w:tr2bl w:val="nil"/>
                  </w:tcBorders>
                  <w:noWrap w:val="0"/>
                  <w:vAlign w:val="center"/>
                </w:tcPr>
                <w:p w14:paraId="1636ECF8">
                  <w:pPr>
                    <w:pStyle w:val="3"/>
                    <w:numPr>
                      <w:ilvl w:val="0"/>
                      <w:numId w:val="0"/>
                    </w:numPr>
                    <w:adjustRightInd w:val="0"/>
                    <w:snapToGrid w:val="0"/>
                    <w:spacing w:before="0" w:after="0" w:line="240" w:lineRule="auto"/>
                    <w:ind w:left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符合</w:t>
                  </w:r>
                </w:p>
              </w:tc>
            </w:tr>
            <w:tr w14:paraId="58EA1A30">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279" w:type="pct"/>
                  <w:vMerge w:val="restart"/>
                  <w:tcBorders>
                    <w:tl2br w:val="nil"/>
                    <w:tr2bl w:val="nil"/>
                  </w:tcBorders>
                  <w:noWrap w:val="0"/>
                  <w:vAlign w:val="center"/>
                </w:tcPr>
                <w:p w14:paraId="60F6B5CC">
                  <w:pPr>
                    <w:pStyle w:val="3"/>
                    <w:numPr>
                      <w:ilvl w:val="0"/>
                      <w:numId w:val="0"/>
                    </w:numPr>
                    <w:adjustRightInd w:val="0"/>
                    <w:snapToGrid w:val="0"/>
                    <w:spacing w:before="0" w:after="0" w:line="240" w:lineRule="auto"/>
                    <w:ind w:leftChars="0"/>
                    <w:jc w:val="center"/>
                    <w:rPr>
                      <w:rFonts w:hint="default" w:ascii="Times New Roman" w:hAnsi="Times New Roman" w:eastAsia="宋体" w:cs="Times New Roman"/>
                      <w:b w:val="0"/>
                      <w:bCs w:val="0"/>
                      <w:color w:val="auto"/>
                      <w:sz w:val="21"/>
                      <w:szCs w:val="21"/>
                      <w:lang w:val="en-US" w:eastAsia="zh-CN"/>
                    </w:rPr>
                  </w:pPr>
                  <w:r>
                    <w:rPr>
                      <w:rFonts w:hint="eastAsia" w:eastAsia="宋体" w:cs="Times New Roman"/>
                      <w:b w:val="0"/>
                      <w:bCs w:val="0"/>
                      <w:color w:val="auto"/>
                      <w:sz w:val="21"/>
                      <w:szCs w:val="21"/>
                      <w:lang w:val="en-US" w:eastAsia="zh-CN"/>
                    </w:rPr>
                    <w:t>5</w:t>
                  </w:r>
                </w:p>
              </w:tc>
              <w:tc>
                <w:tcPr>
                  <w:tcW w:w="301" w:type="pct"/>
                  <w:vMerge w:val="restart"/>
                  <w:tcBorders>
                    <w:tl2br w:val="nil"/>
                    <w:tr2bl w:val="nil"/>
                  </w:tcBorders>
                  <w:noWrap w:val="0"/>
                  <w:vAlign w:val="center"/>
                </w:tcPr>
                <w:p w14:paraId="5ECA17EC">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运营要求</w:t>
                  </w:r>
                </w:p>
              </w:tc>
              <w:tc>
                <w:tcPr>
                  <w:tcW w:w="2267" w:type="pct"/>
                  <w:tcBorders>
                    <w:tl2br w:val="nil"/>
                    <w:tr2bl w:val="nil"/>
                  </w:tcBorders>
                  <w:noWrap w:val="0"/>
                  <w:vAlign w:val="center"/>
                </w:tcPr>
                <w:p w14:paraId="6F70B0A8">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应采取环境保护措施，防治废气、废水、固体废弃物及噪声对环境的污染。污染物排放应满足现行国家、地方相关标准和环境保护相关法规的要求。</w:t>
                  </w:r>
                </w:p>
              </w:tc>
              <w:tc>
                <w:tcPr>
                  <w:tcW w:w="1701" w:type="pct"/>
                  <w:tcBorders>
                    <w:tl2br w:val="nil"/>
                    <w:tr2bl w:val="nil"/>
                  </w:tcBorders>
                  <w:shd w:val="clear" w:color="auto" w:fill="auto"/>
                  <w:noWrap w:val="0"/>
                  <w:vAlign w:val="center"/>
                </w:tcPr>
                <w:p w14:paraId="03E84252">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本项目采取加盖篷布苫盖；设置专用洗车台；场区四周布设防风抑散网等废气防治措施和废水收集措施</w:t>
                  </w:r>
                </w:p>
              </w:tc>
              <w:tc>
                <w:tcPr>
                  <w:tcW w:w="450" w:type="pct"/>
                  <w:tcBorders>
                    <w:tl2br w:val="nil"/>
                    <w:tr2bl w:val="nil"/>
                  </w:tcBorders>
                  <w:noWrap w:val="0"/>
                  <w:vAlign w:val="center"/>
                </w:tcPr>
                <w:p w14:paraId="1BB0E9ED">
                  <w:pPr>
                    <w:pStyle w:val="3"/>
                    <w:numPr>
                      <w:ilvl w:val="0"/>
                      <w:numId w:val="0"/>
                    </w:numPr>
                    <w:adjustRightInd w:val="0"/>
                    <w:snapToGrid w:val="0"/>
                    <w:spacing w:before="0" w:after="0" w:line="240" w:lineRule="auto"/>
                    <w:ind w:left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符合</w:t>
                  </w:r>
                </w:p>
              </w:tc>
            </w:tr>
            <w:tr w14:paraId="2CF7F6F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279" w:type="pct"/>
                  <w:vMerge w:val="continue"/>
                  <w:tcBorders>
                    <w:tl2br w:val="nil"/>
                    <w:tr2bl w:val="nil"/>
                  </w:tcBorders>
                  <w:noWrap w:val="0"/>
                  <w:vAlign w:val="center"/>
                </w:tcPr>
                <w:p w14:paraId="33129853">
                  <w:pPr>
                    <w:pStyle w:val="3"/>
                    <w:numPr>
                      <w:ilvl w:val="0"/>
                      <w:numId w:val="0"/>
                    </w:numPr>
                    <w:adjustRightInd w:val="0"/>
                    <w:snapToGrid w:val="0"/>
                    <w:spacing w:before="0" w:after="0" w:line="240" w:lineRule="auto"/>
                    <w:ind w:leftChars="0"/>
                    <w:jc w:val="center"/>
                    <w:rPr>
                      <w:rFonts w:hint="default" w:ascii="Times New Roman" w:hAnsi="Times New Roman" w:eastAsia="宋体" w:cs="Times New Roman"/>
                      <w:b w:val="0"/>
                      <w:bCs w:val="0"/>
                      <w:color w:val="auto"/>
                      <w:sz w:val="21"/>
                      <w:szCs w:val="21"/>
                      <w:lang w:val="en-US" w:eastAsia="zh-CN"/>
                    </w:rPr>
                  </w:pPr>
                </w:p>
              </w:tc>
              <w:tc>
                <w:tcPr>
                  <w:tcW w:w="301" w:type="pct"/>
                  <w:vMerge w:val="continue"/>
                  <w:tcBorders>
                    <w:tl2br w:val="nil"/>
                    <w:tr2bl w:val="nil"/>
                  </w:tcBorders>
                  <w:noWrap w:val="0"/>
                  <w:vAlign w:val="center"/>
                </w:tcPr>
                <w:p w14:paraId="1AC96FB5">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lang w:val="en-US" w:eastAsia="zh-CN"/>
                    </w:rPr>
                  </w:pPr>
                </w:p>
              </w:tc>
              <w:tc>
                <w:tcPr>
                  <w:tcW w:w="2267" w:type="pct"/>
                  <w:tcBorders>
                    <w:tl2br w:val="nil"/>
                    <w:tr2bl w:val="nil"/>
                  </w:tcBorders>
                  <w:noWrap w:val="0"/>
                  <w:vAlign w:val="center"/>
                </w:tcPr>
                <w:p w14:paraId="46F7C831">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应有雨、污分流设施，防止污染周边环境。</w:t>
                  </w:r>
                </w:p>
              </w:tc>
              <w:tc>
                <w:tcPr>
                  <w:tcW w:w="1701" w:type="pct"/>
                  <w:tcBorders>
                    <w:tl2br w:val="nil"/>
                    <w:tr2bl w:val="nil"/>
                  </w:tcBorders>
                  <w:shd w:val="clear" w:color="auto" w:fill="auto"/>
                  <w:noWrap w:val="0"/>
                  <w:vAlign w:val="center"/>
                </w:tcPr>
                <w:p w14:paraId="38C94A32">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本项目建设约755m雨水排水沟、130mHDPE废水管道，配套三格沉淀池等排水系统，可有效防止污染周边环境</w:t>
                  </w:r>
                </w:p>
              </w:tc>
              <w:tc>
                <w:tcPr>
                  <w:tcW w:w="450" w:type="pct"/>
                  <w:tcBorders>
                    <w:tl2br w:val="nil"/>
                    <w:tr2bl w:val="nil"/>
                  </w:tcBorders>
                  <w:noWrap w:val="0"/>
                  <w:vAlign w:val="center"/>
                </w:tcPr>
                <w:p w14:paraId="67A4A8F9">
                  <w:pPr>
                    <w:pStyle w:val="3"/>
                    <w:numPr>
                      <w:ilvl w:val="0"/>
                      <w:numId w:val="0"/>
                    </w:numPr>
                    <w:adjustRightInd w:val="0"/>
                    <w:snapToGrid w:val="0"/>
                    <w:spacing w:before="0" w:after="0" w:line="240" w:lineRule="auto"/>
                    <w:ind w:left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符合</w:t>
                  </w:r>
                </w:p>
              </w:tc>
            </w:tr>
            <w:tr w14:paraId="0DC8FA5B">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279" w:type="pct"/>
                  <w:vMerge w:val="continue"/>
                  <w:tcBorders>
                    <w:tl2br w:val="nil"/>
                    <w:tr2bl w:val="nil"/>
                  </w:tcBorders>
                  <w:noWrap w:val="0"/>
                  <w:vAlign w:val="center"/>
                </w:tcPr>
                <w:p w14:paraId="6735A1FC">
                  <w:pPr>
                    <w:pStyle w:val="3"/>
                    <w:numPr>
                      <w:ilvl w:val="0"/>
                      <w:numId w:val="0"/>
                    </w:numPr>
                    <w:adjustRightInd w:val="0"/>
                    <w:snapToGrid w:val="0"/>
                    <w:spacing w:before="0" w:after="0" w:line="240" w:lineRule="auto"/>
                    <w:ind w:leftChars="0"/>
                    <w:jc w:val="center"/>
                    <w:rPr>
                      <w:rFonts w:hint="default" w:ascii="Times New Roman" w:hAnsi="Times New Roman" w:eastAsia="宋体" w:cs="Times New Roman"/>
                      <w:b w:val="0"/>
                      <w:bCs w:val="0"/>
                      <w:color w:val="auto"/>
                      <w:sz w:val="21"/>
                      <w:szCs w:val="21"/>
                      <w:lang w:val="en-US" w:eastAsia="zh-CN"/>
                    </w:rPr>
                  </w:pPr>
                </w:p>
              </w:tc>
              <w:tc>
                <w:tcPr>
                  <w:tcW w:w="301" w:type="pct"/>
                  <w:vMerge w:val="continue"/>
                  <w:tcBorders>
                    <w:tl2br w:val="nil"/>
                    <w:tr2bl w:val="nil"/>
                  </w:tcBorders>
                  <w:noWrap w:val="0"/>
                  <w:vAlign w:val="center"/>
                </w:tcPr>
                <w:p w14:paraId="3E8397A2">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lang w:val="en-US" w:eastAsia="zh-CN"/>
                    </w:rPr>
                  </w:pPr>
                </w:p>
              </w:tc>
              <w:tc>
                <w:tcPr>
                  <w:tcW w:w="2267" w:type="pct"/>
                  <w:tcBorders>
                    <w:tl2br w:val="nil"/>
                    <w:tr2bl w:val="nil"/>
                  </w:tcBorders>
                  <w:noWrap w:val="0"/>
                  <w:vAlign w:val="center"/>
                </w:tcPr>
                <w:p w14:paraId="42242564">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不得消纳生活垃圾、危险废物或者其他工业垃圾，不得消纳含水率高于40%的工程渣土以及其他不符合设计要求的建筑垃圾。</w:t>
                  </w:r>
                </w:p>
              </w:tc>
              <w:tc>
                <w:tcPr>
                  <w:tcW w:w="1701" w:type="pct"/>
                  <w:tcBorders>
                    <w:tl2br w:val="nil"/>
                    <w:tr2bl w:val="nil"/>
                  </w:tcBorders>
                  <w:noWrap w:val="0"/>
                  <w:vAlign w:val="center"/>
                </w:tcPr>
                <w:p w14:paraId="0DA217C9">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本环评要求建筑垃圾运输至本场区后，需经过管理人员核查，不含生活垃圾、危险废物以含水垃圾及无不同品类建筑垃圾混装后方可入场。</w:t>
                  </w:r>
                </w:p>
              </w:tc>
              <w:tc>
                <w:tcPr>
                  <w:tcW w:w="450" w:type="pct"/>
                  <w:tcBorders>
                    <w:tl2br w:val="nil"/>
                    <w:tr2bl w:val="nil"/>
                  </w:tcBorders>
                  <w:noWrap w:val="0"/>
                  <w:vAlign w:val="center"/>
                </w:tcPr>
                <w:p w14:paraId="01B89663">
                  <w:pPr>
                    <w:pStyle w:val="3"/>
                    <w:numPr>
                      <w:ilvl w:val="0"/>
                      <w:numId w:val="0"/>
                    </w:numPr>
                    <w:adjustRightInd w:val="0"/>
                    <w:snapToGrid w:val="0"/>
                    <w:spacing w:before="0" w:after="0" w:line="240" w:lineRule="auto"/>
                    <w:ind w:leftChars="0"/>
                    <w:jc w:val="center"/>
                    <w:rPr>
                      <w:rFonts w:hint="default" w:ascii="Times New Roman" w:hAnsi="Times New Roman" w:eastAsia="宋体" w:cs="Times New Roman"/>
                      <w:b w:val="0"/>
                      <w:bCs w:val="0"/>
                      <w:color w:val="auto"/>
                      <w:sz w:val="21"/>
                      <w:szCs w:val="21"/>
                      <w:lang w:val="en-US" w:eastAsia="zh-CN"/>
                    </w:rPr>
                  </w:pPr>
                  <w:r>
                    <w:rPr>
                      <w:rFonts w:hint="default" w:ascii="Times New Roman" w:hAnsi="Times New Roman" w:eastAsia="宋体" w:cs="Times New Roman"/>
                      <w:b w:val="0"/>
                      <w:bCs w:val="0"/>
                      <w:color w:val="auto"/>
                      <w:sz w:val="21"/>
                      <w:szCs w:val="21"/>
                      <w:lang w:val="en-US" w:eastAsia="zh-CN"/>
                    </w:rPr>
                    <w:t>符合</w:t>
                  </w:r>
                </w:p>
              </w:tc>
            </w:tr>
            <w:tr w14:paraId="758086C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279" w:type="pct"/>
                  <w:tcBorders>
                    <w:tl2br w:val="nil"/>
                    <w:tr2bl w:val="nil"/>
                  </w:tcBorders>
                  <w:shd w:val="clear" w:color="auto" w:fill="auto"/>
                  <w:noWrap w:val="0"/>
                  <w:vAlign w:val="center"/>
                </w:tcPr>
                <w:p w14:paraId="298597AF">
                  <w:pPr>
                    <w:pStyle w:val="3"/>
                    <w:numPr>
                      <w:ilvl w:val="0"/>
                      <w:numId w:val="0"/>
                    </w:numPr>
                    <w:adjustRightInd w:val="0"/>
                    <w:snapToGrid w:val="0"/>
                    <w:spacing w:before="0" w:after="0" w:line="240" w:lineRule="auto"/>
                    <w:ind w:left="0" w:leftChars="0" w:firstLine="0" w:firstLineChars="0"/>
                    <w:jc w:val="center"/>
                    <w:rPr>
                      <w:rFonts w:hint="default" w:ascii="Times New Roman" w:hAnsi="Times New Roman" w:eastAsia="宋体" w:cs="Times New Roman"/>
                      <w:b w:val="0"/>
                      <w:bCs w:val="0"/>
                      <w:color w:val="auto"/>
                      <w:kern w:val="2"/>
                      <w:sz w:val="21"/>
                      <w:szCs w:val="21"/>
                      <w:lang w:val="en-US" w:eastAsia="zh-CN" w:bidi="ar-SA"/>
                    </w:rPr>
                  </w:pPr>
                  <w:r>
                    <w:rPr>
                      <w:rFonts w:hint="eastAsia" w:eastAsia="宋体" w:cs="Times New Roman"/>
                      <w:b w:val="0"/>
                      <w:bCs w:val="0"/>
                      <w:color w:val="auto"/>
                      <w:sz w:val="21"/>
                      <w:szCs w:val="21"/>
                      <w:lang w:val="en-US" w:eastAsia="zh-CN"/>
                    </w:rPr>
                    <w:t>6</w:t>
                  </w:r>
                </w:p>
              </w:tc>
              <w:tc>
                <w:tcPr>
                  <w:tcW w:w="2568" w:type="pct"/>
                  <w:gridSpan w:val="2"/>
                  <w:tcBorders>
                    <w:tl2br w:val="nil"/>
                    <w:tr2bl w:val="nil"/>
                  </w:tcBorders>
                  <w:shd w:val="clear" w:color="auto" w:fill="auto"/>
                  <w:noWrap w:val="0"/>
                  <w:vAlign w:val="center"/>
                </w:tcPr>
                <w:p w14:paraId="541EE661">
                  <w:pPr>
                    <w:pStyle w:val="3"/>
                    <w:numPr>
                      <w:ilvl w:val="0"/>
                      <w:numId w:val="0"/>
                    </w:numPr>
                    <w:adjustRightInd w:val="0"/>
                    <w:snapToGrid w:val="0"/>
                    <w:spacing w:before="0" w:after="0" w:line="240" w:lineRule="auto"/>
                    <w:ind w:left="0" w:leftChars="0" w:firstLine="0" w:firstLineChars="0"/>
                    <w:jc w:val="both"/>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第二十二条：根据建筑垃圾产生源及特点，制定建筑垃圾分类收集方案，明确各类建筑垃圾收集流程。按照建筑垃圾分类类别，合理设置固定或临时的建筑垃圾分类收集容器、箱房、站点等建筑垃圾临时收集设施。</w:t>
                  </w:r>
                </w:p>
              </w:tc>
              <w:tc>
                <w:tcPr>
                  <w:tcW w:w="1701" w:type="pct"/>
                  <w:tcBorders>
                    <w:tl2br w:val="nil"/>
                    <w:tr2bl w:val="nil"/>
                  </w:tcBorders>
                  <w:shd w:val="clear" w:color="auto" w:fill="auto"/>
                  <w:noWrap w:val="0"/>
                  <w:vAlign w:val="center"/>
                </w:tcPr>
                <w:p w14:paraId="679DB82A">
                  <w:pPr>
                    <w:pStyle w:val="3"/>
                    <w:numPr>
                      <w:ilvl w:val="0"/>
                      <w:numId w:val="0"/>
                    </w:numPr>
                    <w:adjustRightInd w:val="0"/>
                    <w:snapToGrid w:val="0"/>
                    <w:spacing w:before="0" w:after="0" w:line="240" w:lineRule="auto"/>
                    <w:ind w:left="0" w:leftChars="0" w:firstLine="0" w:firstLineChars="0"/>
                    <w:jc w:val="both"/>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本项目为建筑垃圾调配场。</w:t>
                  </w:r>
                </w:p>
              </w:tc>
              <w:tc>
                <w:tcPr>
                  <w:tcW w:w="450" w:type="pct"/>
                  <w:tcBorders>
                    <w:tl2br w:val="nil"/>
                    <w:tr2bl w:val="nil"/>
                  </w:tcBorders>
                  <w:shd w:val="clear" w:color="auto" w:fill="auto"/>
                  <w:noWrap w:val="0"/>
                  <w:vAlign w:val="center"/>
                </w:tcPr>
                <w:p w14:paraId="1BDAAF2F">
                  <w:pPr>
                    <w:pStyle w:val="3"/>
                    <w:numPr>
                      <w:ilvl w:val="0"/>
                      <w:numId w:val="0"/>
                    </w:numPr>
                    <w:adjustRightInd w:val="0"/>
                    <w:snapToGrid w:val="0"/>
                    <w:spacing w:before="0" w:after="0" w:line="240" w:lineRule="auto"/>
                    <w:ind w:left="0" w:leftChars="0" w:firstLine="0" w:firstLineChars="0"/>
                    <w:jc w:val="center"/>
                    <w:rPr>
                      <w:rFonts w:hint="default" w:ascii="Times New Roman" w:hAnsi="Times New Roman" w:eastAsia="宋体" w:cs="Times New Roman"/>
                      <w:b w:val="0"/>
                      <w:bCs w:val="0"/>
                      <w:color w:val="auto"/>
                      <w:kern w:val="2"/>
                      <w:sz w:val="21"/>
                      <w:szCs w:val="21"/>
                      <w:lang w:val="en-US" w:eastAsia="zh-CN" w:bidi="ar-SA"/>
                    </w:rPr>
                  </w:pPr>
                  <w:r>
                    <w:rPr>
                      <w:rFonts w:hint="default" w:ascii="Times New Roman" w:hAnsi="Times New Roman" w:eastAsia="宋体" w:cs="Times New Roman"/>
                      <w:b w:val="0"/>
                      <w:bCs w:val="0"/>
                      <w:color w:val="auto"/>
                      <w:sz w:val="21"/>
                      <w:szCs w:val="21"/>
                      <w:lang w:val="en-US" w:eastAsia="zh-CN"/>
                    </w:rPr>
                    <w:t>符合</w:t>
                  </w:r>
                </w:p>
              </w:tc>
            </w:tr>
            <w:tr w14:paraId="68FFC55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c>
                <w:tcPr>
                  <w:tcW w:w="279" w:type="pct"/>
                  <w:tcBorders>
                    <w:tl2br w:val="nil"/>
                    <w:tr2bl w:val="nil"/>
                  </w:tcBorders>
                  <w:noWrap w:val="0"/>
                  <w:vAlign w:val="center"/>
                </w:tcPr>
                <w:p w14:paraId="14A9E4B8">
                  <w:pPr>
                    <w:pStyle w:val="3"/>
                    <w:numPr>
                      <w:ilvl w:val="0"/>
                      <w:numId w:val="0"/>
                    </w:numPr>
                    <w:adjustRightInd w:val="0"/>
                    <w:snapToGrid w:val="0"/>
                    <w:spacing w:before="0" w:after="0" w:line="240" w:lineRule="auto"/>
                    <w:ind w:leftChars="0"/>
                    <w:jc w:val="center"/>
                    <w:rPr>
                      <w:rFonts w:hint="default" w:ascii="Times New Roman" w:hAnsi="Times New Roman" w:eastAsia="宋体" w:cs="Times New Roman"/>
                      <w:b w:val="0"/>
                      <w:bCs w:val="0"/>
                      <w:color w:val="auto"/>
                      <w:sz w:val="21"/>
                      <w:szCs w:val="21"/>
                      <w:lang w:val="en-US" w:eastAsia="zh-CN"/>
                    </w:rPr>
                  </w:pPr>
                  <w:r>
                    <w:rPr>
                      <w:rFonts w:hint="eastAsia" w:eastAsia="宋体" w:cs="Times New Roman"/>
                      <w:b w:val="0"/>
                      <w:bCs w:val="0"/>
                      <w:color w:val="auto"/>
                      <w:sz w:val="21"/>
                      <w:szCs w:val="21"/>
                      <w:lang w:val="en-US" w:eastAsia="zh-CN"/>
                    </w:rPr>
                    <w:t>7</w:t>
                  </w:r>
                </w:p>
              </w:tc>
              <w:tc>
                <w:tcPr>
                  <w:tcW w:w="2568" w:type="pct"/>
                  <w:gridSpan w:val="2"/>
                  <w:tcBorders>
                    <w:tl2br w:val="nil"/>
                    <w:tr2bl w:val="nil"/>
                  </w:tcBorders>
                  <w:noWrap w:val="0"/>
                  <w:vAlign w:val="center"/>
                </w:tcPr>
                <w:p w14:paraId="3EEE6FFD">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lang w:eastAsia="zh-CN"/>
                    </w:rPr>
                    <w:t>（2）转运模式，通过设置专门的建筑垃圾调配场，将收集和运输工序分开，前端采用小型车辆收集，末端通过大型车辆运输，从而降低运输费用的一种收运模式。建筑垃圾调配场，除了对建筑垃圾进行区域内调配外，还有对装修垃圾、建筑废料进行初步分选功能，分选后不同的物料或就近利用，或进入相应的处置设施，可减少重复运输，降低运输成本。</w:t>
                  </w:r>
                </w:p>
              </w:tc>
              <w:tc>
                <w:tcPr>
                  <w:tcW w:w="1701" w:type="pct"/>
                  <w:tcBorders>
                    <w:tl2br w:val="nil"/>
                    <w:tr2bl w:val="nil"/>
                  </w:tcBorders>
                  <w:noWrap w:val="0"/>
                  <w:vAlign w:val="center"/>
                </w:tcPr>
                <w:p w14:paraId="2655479D">
                  <w:pPr>
                    <w:keepNext w:val="0"/>
                    <w:keepLines w:val="0"/>
                    <w:pageBreakBefore w:val="0"/>
                    <w:widowControl w:val="0"/>
                    <w:numPr>
                      <w:ilvl w:val="0"/>
                      <w:numId w:val="0"/>
                    </w:numPr>
                    <w:kinsoku/>
                    <w:wordWrap/>
                    <w:overflowPunct/>
                    <w:topLinePunct w:val="0"/>
                    <w:autoSpaceDE w:val="0"/>
                    <w:autoSpaceDN w:val="0"/>
                    <w:bidi w:val="0"/>
                    <w:adjustRightInd w:val="0"/>
                    <w:snapToGrid w:val="0"/>
                    <w:spacing w:after="0" w:line="240" w:lineRule="auto"/>
                    <w:ind w:firstLine="0" w:firstLineChars="0"/>
                    <w:jc w:val="left"/>
                    <w:textAlignment w:val="auto"/>
                    <w:rPr>
                      <w:rFonts w:hint="default" w:ascii="Times New Roman" w:hAnsi="Times New Roman" w:eastAsia="宋体" w:cs="Times New Roman"/>
                      <w:color w:val="auto"/>
                      <w:kern w:val="0"/>
                      <w:sz w:val="21"/>
                      <w:szCs w:val="21"/>
                      <w:lang w:val="en-US" w:eastAsia="zh-CN"/>
                    </w:rPr>
                  </w:pPr>
                  <w:r>
                    <w:rPr>
                      <w:rFonts w:hint="default" w:ascii="Times New Roman" w:hAnsi="Times New Roman" w:eastAsia="宋体" w:cs="Times New Roman"/>
                      <w:color w:val="auto"/>
                      <w:kern w:val="0"/>
                      <w:sz w:val="21"/>
                      <w:szCs w:val="21"/>
                      <w:lang w:val="en-US" w:eastAsia="zh-CN"/>
                    </w:rPr>
                    <w:t>本项目为专门的建筑垃圾调配场，调配场内已设置装修垃圾、工程垃圾、拆除垃圾、工程渣土等分区。</w:t>
                  </w:r>
                </w:p>
              </w:tc>
              <w:tc>
                <w:tcPr>
                  <w:tcW w:w="450" w:type="pct"/>
                  <w:tcBorders>
                    <w:tl2br w:val="nil"/>
                    <w:tr2bl w:val="nil"/>
                  </w:tcBorders>
                  <w:noWrap w:val="0"/>
                  <w:vAlign w:val="center"/>
                </w:tcPr>
                <w:p w14:paraId="731A462A">
                  <w:pPr>
                    <w:pStyle w:val="3"/>
                    <w:numPr>
                      <w:ilvl w:val="0"/>
                      <w:numId w:val="0"/>
                    </w:numPr>
                    <w:adjustRightInd w:val="0"/>
                    <w:snapToGrid w:val="0"/>
                    <w:spacing w:before="0" w:after="0" w:line="240" w:lineRule="auto"/>
                    <w:ind w:leftChars="0"/>
                    <w:jc w:val="center"/>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lang w:val="en-US" w:eastAsia="zh-CN"/>
                    </w:rPr>
                    <w:t>符合</w:t>
                  </w:r>
                </w:p>
              </w:tc>
            </w:tr>
          </w:tbl>
          <w:p w14:paraId="19417045">
            <w:pPr>
              <w:keepNext w:val="0"/>
              <w:keepLines w:val="0"/>
              <w:pageBreakBefore w:val="0"/>
              <w:widowControl w:val="0"/>
              <w:kinsoku/>
              <w:wordWrap/>
              <w:overflowPunct/>
              <w:topLinePunct w:val="0"/>
              <w:autoSpaceDE w:val="0"/>
              <w:autoSpaceDN w:val="0"/>
              <w:bidi w:val="0"/>
              <w:adjustRightInd w:val="0"/>
              <w:snapToGrid w:val="0"/>
              <w:ind w:firstLine="480" w:firstLineChars="200"/>
              <w:jc w:val="left"/>
              <w:textAlignment w:val="auto"/>
              <w:rPr>
                <w:rFonts w:hint="default" w:ascii="Times New Roman" w:hAnsi="Times New Roman" w:eastAsia="宋体" w:cs="Times New Roman"/>
                <w:color w:val="auto"/>
                <w:kern w:val="0"/>
                <w:sz w:val="24"/>
                <w:szCs w:val="24"/>
                <w:lang w:val="en-US" w:eastAsia="zh-CN"/>
              </w:rPr>
            </w:pPr>
          </w:p>
        </w:tc>
      </w:tr>
      <w:tr w14:paraId="0DB1D6D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21" w:hRule="atLeast"/>
          <w:jc w:val="center"/>
        </w:trPr>
        <w:tc>
          <w:tcPr>
            <w:tcW w:w="1344" w:type="dxa"/>
            <w:noWrap w:val="0"/>
            <w:vAlign w:val="center"/>
          </w:tcPr>
          <w:p w14:paraId="0F7B1929">
            <w:pPr>
              <w:autoSpaceDE w:val="0"/>
              <w:autoSpaceDN w:val="0"/>
              <w:adjustRightInd w:val="0"/>
              <w:snapToGrid w:val="0"/>
              <w:jc w:val="center"/>
              <w:rPr>
                <w:rFonts w:hint="default" w:ascii="Times New Roman" w:hAnsi="Times New Roman" w:eastAsia="宋体" w:cs="Times New Roman"/>
                <w:color w:val="auto"/>
                <w:kern w:val="0"/>
                <w:sz w:val="24"/>
                <w:szCs w:val="24"/>
              </w:rPr>
            </w:pPr>
            <w:r>
              <w:rPr>
                <w:rFonts w:hint="default" w:ascii="Times New Roman" w:hAnsi="Times New Roman" w:eastAsia="宋体" w:cs="Times New Roman"/>
                <w:color w:val="auto"/>
                <w:kern w:val="0"/>
                <w:sz w:val="24"/>
                <w:szCs w:val="24"/>
              </w:rPr>
              <w:t>其他符合性分析</w:t>
            </w:r>
          </w:p>
        </w:tc>
        <w:tc>
          <w:tcPr>
            <w:tcW w:w="7526" w:type="dxa"/>
            <w:gridSpan w:val="3"/>
            <w:noWrap w:val="0"/>
            <w:vAlign w:val="top"/>
          </w:tcPr>
          <w:p w14:paraId="1B05892B">
            <w:pPr>
              <w:keepNext w:val="0"/>
              <w:keepLines w:val="0"/>
              <w:pageBreakBefore w:val="0"/>
              <w:widowControl w:val="0"/>
              <w:kinsoku/>
              <w:wordWrap/>
              <w:overflowPunct/>
              <w:topLinePunct w:val="0"/>
              <w:autoSpaceDE w:val="0"/>
              <w:autoSpaceDN w:val="0"/>
              <w:bidi w:val="0"/>
              <w:adjustRightInd w:val="0"/>
              <w:snapToGrid w:val="0"/>
              <w:spacing w:line="360" w:lineRule="auto"/>
              <w:jc w:val="both"/>
              <w:textAlignment w:val="auto"/>
              <w:rPr>
                <w:rFonts w:hint="default" w:ascii="Times New Roman" w:hAnsi="Times New Roman" w:eastAsia="宋体" w:cs="Times New Roman"/>
                <w:b/>
                <w:bCs/>
                <w:color w:val="auto"/>
                <w:kern w:val="0"/>
                <w:sz w:val="24"/>
                <w:szCs w:val="24"/>
                <w:lang w:val="en-US" w:eastAsia="zh-CN"/>
              </w:rPr>
            </w:pPr>
            <w:r>
              <w:rPr>
                <w:rFonts w:hint="eastAsia" w:ascii="Times New Roman" w:hAnsi="Times New Roman" w:eastAsia="宋体" w:cs="Times New Roman"/>
                <w:b/>
                <w:bCs/>
                <w:color w:val="auto"/>
                <w:kern w:val="0"/>
                <w:sz w:val="24"/>
                <w:szCs w:val="24"/>
                <w:lang w:val="en-US" w:eastAsia="zh-CN"/>
              </w:rPr>
              <w:t>1 产业政策符合性分析</w:t>
            </w:r>
          </w:p>
          <w:p w14:paraId="1D831D6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color w:val="auto"/>
                <w:kern w:val="0"/>
                <w:sz w:val="24"/>
                <w:szCs w:val="24"/>
                <w:lang w:val="en-US" w:eastAsia="zh-CN"/>
              </w:rPr>
            </w:pPr>
            <w:r>
              <w:rPr>
                <w:rFonts w:hint="default" w:ascii="Times New Roman" w:hAnsi="Times New Roman" w:eastAsia="宋体" w:cs="Times New Roman"/>
                <w:b w:val="0"/>
                <w:bCs w:val="0"/>
                <w:color w:val="auto"/>
                <w:kern w:val="0"/>
                <w:sz w:val="24"/>
                <w:szCs w:val="24"/>
                <w:lang w:val="en-US" w:eastAsia="zh-CN"/>
              </w:rPr>
              <w:t>本项目</w:t>
            </w:r>
            <w:r>
              <w:rPr>
                <w:rFonts w:hint="eastAsia" w:ascii="Times New Roman" w:hAnsi="Times New Roman" w:eastAsia="宋体" w:cs="Times New Roman"/>
                <w:b w:val="0"/>
                <w:bCs w:val="0"/>
                <w:color w:val="auto"/>
                <w:kern w:val="0"/>
                <w:sz w:val="24"/>
                <w:szCs w:val="24"/>
                <w:lang w:val="en-US" w:eastAsia="zh-CN"/>
              </w:rPr>
              <w:t>为建筑垃圾调配场建设</w:t>
            </w:r>
            <w:r>
              <w:rPr>
                <w:rFonts w:hint="default" w:ascii="Times New Roman" w:hAnsi="Times New Roman" w:eastAsia="宋体" w:cs="Times New Roman"/>
                <w:b w:val="0"/>
                <w:bCs w:val="0"/>
                <w:color w:val="auto"/>
                <w:kern w:val="0"/>
                <w:sz w:val="24"/>
                <w:szCs w:val="24"/>
                <w:lang w:val="en-US" w:eastAsia="zh-CN"/>
              </w:rPr>
              <w:t>项目，根据《产业结构调整指导目录（2024年本）》中的相关内容，本项目采用的工艺和生产的产品不属于“鼓励类”“限制类”“淘汰类”，因此，视为允许类。</w:t>
            </w:r>
          </w:p>
          <w:p w14:paraId="0A050814">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color w:val="auto"/>
                <w:kern w:val="0"/>
                <w:sz w:val="24"/>
                <w:szCs w:val="24"/>
                <w:lang w:val="en-US" w:eastAsia="zh-CN"/>
              </w:rPr>
            </w:pPr>
            <w:r>
              <w:rPr>
                <w:rFonts w:hint="default" w:ascii="Times New Roman" w:hAnsi="Times New Roman" w:eastAsia="宋体" w:cs="Times New Roman"/>
                <w:b w:val="0"/>
                <w:bCs w:val="0"/>
                <w:color w:val="auto"/>
                <w:kern w:val="0"/>
                <w:sz w:val="24"/>
                <w:szCs w:val="24"/>
                <w:lang w:val="en-US" w:eastAsia="zh-CN"/>
              </w:rPr>
              <w:t>项目已取得备案证明，项目代码：</w:t>
            </w:r>
            <w:r>
              <w:rPr>
                <w:rFonts w:hint="default" w:ascii="Times New Roman" w:hAnsi="Times New Roman" w:eastAsia="宋体" w:cs="Times New Roman"/>
                <w:color w:val="auto"/>
                <w:sz w:val="24"/>
                <w:szCs w:val="24"/>
                <w:lang w:val="en-US" w:eastAsia="zh-CN"/>
              </w:rPr>
              <w:t>2605-652301-17-01-655448</w:t>
            </w:r>
            <w:r>
              <w:rPr>
                <w:rFonts w:hint="default" w:ascii="Times New Roman" w:hAnsi="Times New Roman" w:eastAsia="宋体" w:cs="Times New Roman"/>
                <w:b w:val="0"/>
                <w:bCs w:val="0"/>
                <w:color w:val="auto"/>
                <w:kern w:val="0"/>
                <w:sz w:val="24"/>
                <w:szCs w:val="24"/>
                <w:lang w:val="en-US" w:eastAsia="zh-CN"/>
              </w:rPr>
              <w:t>，备案证号：昌市发改投资</w:t>
            </w:r>
            <w:r>
              <w:rPr>
                <w:rFonts w:ascii="宋体" w:hAnsi="宋体" w:eastAsia="宋体" w:cs="宋体"/>
                <w:color w:val="auto"/>
                <w:sz w:val="24"/>
                <w:szCs w:val="24"/>
              </w:rPr>
              <w:t>〔2026〕</w:t>
            </w:r>
            <w:r>
              <w:rPr>
                <w:rFonts w:hint="default" w:ascii="Times New Roman" w:hAnsi="Times New Roman" w:eastAsia="宋体" w:cs="Times New Roman"/>
                <w:b w:val="0"/>
                <w:bCs w:val="0"/>
                <w:color w:val="auto"/>
                <w:kern w:val="0"/>
                <w:sz w:val="24"/>
                <w:szCs w:val="24"/>
                <w:lang w:val="en-US" w:eastAsia="zh-CN"/>
              </w:rPr>
              <w:t>231号。</w:t>
            </w:r>
          </w:p>
          <w:p w14:paraId="7F87A9B9">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color w:val="auto"/>
                <w:kern w:val="0"/>
                <w:sz w:val="24"/>
                <w:szCs w:val="24"/>
                <w:lang w:val="en-US" w:eastAsia="zh-CN"/>
              </w:rPr>
            </w:pPr>
            <w:r>
              <w:rPr>
                <w:rFonts w:hint="default" w:ascii="Times New Roman" w:hAnsi="Times New Roman" w:eastAsia="宋体" w:cs="Times New Roman"/>
                <w:b w:val="0"/>
                <w:bCs w:val="0"/>
                <w:color w:val="auto"/>
                <w:kern w:val="0"/>
                <w:sz w:val="24"/>
                <w:szCs w:val="24"/>
                <w:lang w:val="en-US" w:eastAsia="zh-CN"/>
              </w:rPr>
              <w:t>综上本项目符合国家和地方产业政策。</w:t>
            </w:r>
          </w:p>
          <w:p w14:paraId="32378794">
            <w:pPr>
              <w:keepNext w:val="0"/>
              <w:keepLines w:val="0"/>
              <w:pageBreakBefore w:val="0"/>
              <w:widowControl w:val="0"/>
              <w:kinsoku/>
              <w:wordWrap/>
              <w:overflowPunct/>
              <w:topLinePunct w:val="0"/>
              <w:autoSpaceDE w:val="0"/>
              <w:autoSpaceDN w:val="0"/>
              <w:bidi w:val="0"/>
              <w:adjustRightInd w:val="0"/>
              <w:snapToGrid w:val="0"/>
              <w:spacing w:line="360" w:lineRule="auto"/>
              <w:jc w:val="both"/>
              <w:textAlignment w:val="auto"/>
              <w:rPr>
                <w:rFonts w:hint="default"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b/>
                <w:bCs/>
                <w:color w:val="auto"/>
                <w:kern w:val="0"/>
                <w:sz w:val="24"/>
                <w:szCs w:val="24"/>
                <w:lang w:val="en-US" w:eastAsia="zh-CN"/>
              </w:rPr>
              <w:t>2 “生态环境分区管控方案”符合性分析</w:t>
            </w:r>
          </w:p>
          <w:p w14:paraId="69B79EAE">
            <w:pPr>
              <w:keepNext w:val="0"/>
              <w:keepLines w:val="0"/>
              <w:pageBreakBefore w:val="0"/>
              <w:widowControl w:val="0"/>
              <w:kinsoku/>
              <w:wordWrap/>
              <w:overflowPunct/>
              <w:topLinePunct w:val="0"/>
              <w:autoSpaceDE w:val="0"/>
              <w:autoSpaceDN w:val="0"/>
              <w:bidi w:val="0"/>
              <w:adjustRightInd w:val="0"/>
              <w:snapToGrid w:val="0"/>
              <w:spacing w:line="360" w:lineRule="auto"/>
              <w:jc w:val="both"/>
              <w:textAlignment w:val="auto"/>
              <w:rPr>
                <w:rFonts w:hint="eastAsia"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b/>
                <w:bCs/>
                <w:color w:val="auto"/>
                <w:kern w:val="0"/>
                <w:sz w:val="24"/>
                <w:szCs w:val="24"/>
                <w:lang w:val="en-US" w:eastAsia="zh-CN"/>
              </w:rPr>
              <w:t>2.1 与《新疆维吾尔自治区生态环境分区管控动态更新成果》（新环环评发〔2024〕157号）的符合性分析</w:t>
            </w:r>
          </w:p>
          <w:p w14:paraId="72DEC7FD">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color w:val="auto"/>
                <w:kern w:val="0"/>
                <w:sz w:val="24"/>
                <w:szCs w:val="24"/>
                <w:lang w:val="en-US" w:eastAsia="zh-CN"/>
              </w:rPr>
            </w:pPr>
            <w:r>
              <w:rPr>
                <w:rFonts w:hint="default" w:ascii="Times New Roman" w:hAnsi="Times New Roman" w:eastAsia="宋体" w:cs="Times New Roman"/>
                <w:b w:val="0"/>
                <w:bCs w:val="0"/>
                <w:color w:val="auto"/>
                <w:kern w:val="0"/>
                <w:sz w:val="24"/>
                <w:szCs w:val="24"/>
                <w:lang w:val="en-US" w:eastAsia="zh-CN"/>
              </w:rPr>
              <w:t>本项目与《新疆维吾尔自治区生态环境分区管控动态更新成果》（新环环评发〔2024〕157号）的符合性详见下表。</w:t>
            </w:r>
          </w:p>
          <w:p w14:paraId="09C49D4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kern w:val="0"/>
                <w:sz w:val="24"/>
                <w:szCs w:val="24"/>
                <w:lang w:val="en-US" w:eastAsia="zh-CN"/>
              </w:rPr>
            </w:pPr>
            <w:r>
              <w:rPr>
                <w:rFonts w:hint="eastAsia" w:ascii="Times New Roman" w:hAnsi="Times New Roman" w:eastAsia="宋体" w:cs="Times New Roman"/>
                <w:b/>
                <w:bCs/>
                <w:color w:val="auto"/>
                <w:kern w:val="0"/>
                <w:sz w:val="21"/>
                <w:szCs w:val="21"/>
                <w:lang w:val="en-US" w:eastAsia="zh-CN"/>
              </w:rPr>
              <w:t>表1-2  与新环环评发〔2024〕157号符合性分析一览表</w:t>
            </w:r>
          </w:p>
          <w:tbl>
            <w:tblPr>
              <w:tblStyle w:val="27"/>
              <w:tblW w:w="4997"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32"/>
              <w:gridCol w:w="4172"/>
              <w:gridCol w:w="2158"/>
              <w:gridCol w:w="544"/>
            </w:tblGrid>
            <w:tr w14:paraId="554524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150" w:type="pct"/>
                  <w:gridSpan w:val="2"/>
                  <w:tcBorders>
                    <w:bottom w:val="single" w:color="auto" w:sz="12" w:space="0"/>
                  </w:tcBorders>
                  <w:noWrap w:val="0"/>
                  <w:vAlign w:val="center"/>
                </w:tcPr>
                <w:p w14:paraId="51401580">
                  <w:pPr>
                    <w:pStyle w:val="3"/>
                    <w:numPr>
                      <w:ilvl w:val="0"/>
                      <w:numId w:val="0"/>
                    </w:numPr>
                    <w:adjustRightInd w:val="0"/>
                    <w:snapToGrid w:val="0"/>
                    <w:spacing w:before="0" w:after="0" w:line="240" w:lineRule="auto"/>
                    <w:ind w:left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生态环境分区管控方案要求</w:t>
                  </w:r>
                </w:p>
              </w:tc>
              <w:tc>
                <w:tcPr>
                  <w:tcW w:w="1476" w:type="pct"/>
                  <w:tcBorders>
                    <w:bottom w:val="single" w:color="auto" w:sz="12" w:space="0"/>
                  </w:tcBorders>
                  <w:noWrap w:val="0"/>
                  <w:vAlign w:val="center"/>
                </w:tcPr>
                <w:p w14:paraId="34C7FAAF">
                  <w:pPr>
                    <w:pStyle w:val="3"/>
                    <w:numPr>
                      <w:ilvl w:val="0"/>
                      <w:numId w:val="0"/>
                    </w:numPr>
                    <w:adjustRightInd w:val="0"/>
                    <w:snapToGrid w:val="0"/>
                    <w:spacing w:before="0" w:after="0" w:line="240" w:lineRule="auto"/>
                    <w:ind w:left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本项目情况</w:t>
                  </w:r>
                </w:p>
              </w:tc>
              <w:tc>
                <w:tcPr>
                  <w:tcW w:w="372" w:type="pct"/>
                  <w:tcBorders>
                    <w:bottom w:val="single" w:color="auto" w:sz="12" w:space="0"/>
                  </w:tcBorders>
                  <w:noWrap w:val="0"/>
                  <w:vAlign w:val="center"/>
                </w:tcPr>
                <w:p w14:paraId="1F6ED7E2">
                  <w:pPr>
                    <w:pStyle w:val="3"/>
                    <w:numPr>
                      <w:ilvl w:val="0"/>
                      <w:numId w:val="0"/>
                    </w:numPr>
                    <w:adjustRightInd w:val="0"/>
                    <w:snapToGrid w:val="0"/>
                    <w:spacing w:before="0" w:after="0" w:line="240" w:lineRule="auto"/>
                    <w:ind w:leftChars="0"/>
                    <w:jc w:val="center"/>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符合性</w:t>
                  </w:r>
                </w:p>
              </w:tc>
            </w:tr>
            <w:tr w14:paraId="5A50B9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6" w:type="pct"/>
                  <w:tcBorders>
                    <w:top w:val="single" w:color="auto" w:sz="12" w:space="0"/>
                    <w:tl2br w:val="nil"/>
                    <w:tr2bl w:val="nil"/>
                  </w:tcBorders>
                  <w:noWrap w:val="0"/>
                  <w:vAlign w:val="center"/>
                </w:tcPr>
                <w:p w14:paraId="5EFAADF6">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空间布局约束</w:t>
                  </w:r>
                </w:p>
              </w:tc>
              <w:tc>
                <w:tcPr>
                  <w:tcW w:w="2854" w:type="pct"/>
                  <w:tcBorders>
                    <w:top w:val="single" w:color="auto" w:sz="12" w:space="0"/>
                    <w:tl2br w:val="nil"/>
                    <w:tr2bl w:val="nil"/>
                  </w:tcBorders>
                  <w:noWrap w:val="0"/>
                  <w:vAlign w:val="center"/>
                </w:tcPr>
                <w:p w14:paraId="070B3E33">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A1.1-1〕禁止新建、扩建《产业结构调整指导目录（2024年本）》中淘汰类项目。禁止引入《市场准入负面清单（2022年版）》禁止准入类事项。〔A1.1-2〕禁止建设不符合国家和自治区环境保护标准的项目。〔A1.1-3〕禁止在饮用水水源保护区、风景名胜区、自然保护区的核心区和缓冲区、城镇居民区、文化教育科学研究区等人口集中区域以及法律、法规规定的其他禁止养殖区域建设畜禽养殖场、养殖小区。〔A1.1-4〕禁止在水源涵养区、地下水源、饮用水源、自然保护区、风景名胜区、森林公园、重要湿地及人群密集区等生态敏感区域内进行煤炭、石油、天然气开发。〔A1.1-5〕禁止下列破坏湿地及其生态功能的行为：（一）开（围）垦、排干自然湿地，永久性截断自然湿地水源；（二）擅自填埋自然湿地，擅自采砂、采矿、取土；（三）排放不符合水污染物排放标准的工业废水、生活污水及其他污染湿地的废水、污水，倾倒、堆放、丢弃、遗撒固体废物；（四）过度放牧或者滥采野生植物，过度捕捞或者灭绝式捕捞，过度施肥、投药、投放饵料等污染湿地的种植养殖行为；（五）其他破坏湿地及其生态功能的行为。〔A1.1-6〕禁止在自治区行政区域内引进能（水）耗不符合相关国家标准中准入值要求且污染物排放和环境风险防控不符合国家（地方）标准及有关产业准入条件的高污染（排放）、高能（水）耗、高环境风险的工业项目。〔A1.1-7〕①坚决遏制高耗能高排放低水平项目盲目发展。严把高耗能高排放低水平项目准入关口，严格落实污染物排放区域削减要求，对不符合规定的项目坚决停批停建。依法依规淘汰落后产能和化解过剩产能。②重点行业企业纳入重污染天气绩效分级，制定“一厂一策”应急减排清单，实现应纳尽纳；引导重点企业在秋冬季安排停产检修计划，减少冬季和采暖期排放。推进重点行业深度治理，实施全工况脱硫脱硝提标改造，加大无组织排放治理力度，深度开展工业炉窑综合整治，全面提升电解铝、活性炭、硅冶炼、纯碱、电石、聚氯乙烯、石化等行业污染治理水平。〔A1.1-8〕严格执行危险化学品“禁限控”目录，新建危险化学品生产项目必须进入一般或较低安全风险的化工园区（与其他行业生产装置配套建设的项目除外），引导其他石化化工项目在化工园区发展。〔A1.1-9〕严禁新建自治区《禁止、控制和限制危险化学品目录》中淘汰类、禁止类危险化学品化工项目。严格执行生态保护红线、永久基本农田管控要求，禁止新（改、扩）建化工项目违规占用生态保护红线和永久基本农田。在塔里木河、伊犁河、额尔齐斯河干流及主要支流岸线1公里范围内，除提升安全、环保、节能、智能化、产品质量水平的技术改造项目外，严格禁止新建、扩建化工项目，不得布局新的化工园区（含化工集中区）。〔A1.1-10〕推动涉重金属产业集中优化发展，禁止新建用汞的电石法（聚）氯乙烯生产工艺，新建、扩建的重有色金属冶炼、电镀、制革企业优先选择布设在依法合规设立并依法开展规划环境影响评价的产业园区。〔A1.1-11〕国务院有关部门和青藏高原县级以上地方人民政府应当建立健全青藏高原雪山冰川冻土保护制度，加强对雪山冰川冻土的监测预警和系统保护。青藏高原省级人民政府应当将大型冰帽冰川、小规模冰川群等划入生态保护红线，对重要雪山冰川实施封禁保护，采取有效措施，严格控制人为扰动。青藏高原省级人民政府应当划定冻土区保护范围，加强对多年冻土区和中深季节冻土区的保护，严格控制多年冻土区资源开发，严格审批多年冻土区城镇规划和交通、管线、输变电等重大工程项目。青藏高原省级人民政府应当开展雪山冰川冻土与周边生态系统的协同保护，维持有利于雪山冰川冻土保护的自然生态环境。〔A1.2-1〕严格控制缺水地区、水污染严重区域和敏感区域高耗水、高污染行业发展。〔A1.2-2〕建设项目用地原则上不得占用永久基本农田，确需占用永久基本农田的建设项目须符合《基本农田保护条例》中相关要求，占用耕地、林地或草地的建设项目须按照国家、自治区相关补偿要求进行补偿。〔A1.2-3〕以用途变更为住宅、公共管理与公共服务用地的地块为重点，严格建设用地准入管理和风险管控，未依法完成土壤污染状况调查或风险评估的地块，不得开工建设与风险管控和修复无关的项目。〔A1.2-4〕严格控制建设项目占用湿地。因国家和自治区重点建设工程、基础设施建设，以及重点公益性项目建设，确需占用湿地的，应当按照有关法律、法规规定的权限和程序办理批准手续。〔A1.2-5〕严格管控自然保护地范围内非生态活动，稳妥推进核心区内居民、耕地有序退出，矿权依法依规退出。〔A1.3-1〕任何单位和个人不得在水源涵养区、饮用水水源保护区内和河流、湖泊、水库周围建设重化工、涉重金属等工业污染项目；对已建成的工业污染项目，当地人民政府应当组织限期搬迁。〔A1.3-2〕对不符合国家产业政策、严重污染水环境的生产项目全部予以取缔。〔A1.3-3〕根据《产业结构调整指导目录》《限期淘汰产生严重污染环境的工业固体废物的落后生产工艺设备名录》等要求，配合有关部门依法淘汰烧结-鼓风炉5炼铅工艺炼铅等涉重金属落后产能和化解过剩产能。严格执行生态环境保护等相关法规标准，推动经整改仍达不到要求的产能依法依规关闭退出。〔A1.3-4〕城市建成区、重点流域内已建成投产化工企业和危险化学品生产企业应加快退城入园，搬入化工园区前企业不应实施改扩建工程扩大生产规模。〔A1.4-1〕一切开发建设活动应符合国家、自治区主体功能区规划、自治区和各地颁布实施的生态环境功能区划、国民经济发展规划、产业发展规划、国土空间规划等相关规划及重点生态功能区负面清单要求，符合区域或产业规划环评要求。〔A1.4-2〕新建、扩建石化、化工、焦化、有色金属冶炼、平板玻璃项目应布设在依法合规设立并经规划环评的产业园区。〔A1.4-3〕危险化学品生产企业搬迁改造及新建化工项目必须进入国家及自治区各级人民政府正式批准设立，规划环评通过审查，规划通过审批且环保基础设施完善的工业园区，并符合国土空间规划、产业发展规划和生态红线管控要求。</w:t>
                  </w:r>
                </w:p>
              </w:tc>
              <w:tc>
                <w:tcPr>
                  <w:tcW w:w="1476" w:type="pct"/>
                  <w:tcBorders>
                    <w:top w:val="single" w:color="auto" w:sz="12" w:space="0"/>
                    <w:tl2br w:val="nil"/>
                    <w:tr2bl w:val="nil"/>
                  </w:tcBorders>
                  <w:noWrap w:val="0"/>
                  <w:vAlign w:val="center"/>
                </w:tcPr>
                <w:p w14:paraId="756172A6">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1.1-1本项目为</w:t>
                  </w:r>
                  <w:r>
                    <w:rPr>
                      <w:rFonts w:hint="default" w:ascii="Times New Roman" w:hAnsi="Times New Roman" w:eastAsia="宋体" w:cs="Times New Roman"/>
                      <w:b w:val="0"/>
                      <w:bCs w:val="0"/>
                      <w:color w:val="auto"/>
                      <w:sz w:val="21"/>
                      <w:szCs w:val="21"/>
                      <w:lang w:val="en-US" w:eastAsia="zh-CN"/>
                    </w:rPr>
                    <w:t>建筑垃圾</w:t>
                  </w:r>
                  <w:r>
                    <w:rPr>
                      <w:rFonts w:hint="eastAsia" w:ascii="Times New Roman" w:hAnsi="Times New Roman" w:eastAsia="宋体" w:cs="Times New Roman"/>
                      <w:b w:val="0"/>
                      <w:bCs w:val="0"/>
                      <w:color w:val="auto"/>
                      <w:sz w:val="21"/>
                      <w:szCs w:val="21"/>
                      <w:lang w:val="en-US" w:eastAsia="zh-CN"/>
                    </w:rPr>
                    <w:t>调配场</w:t>
                  </w:r>
                  <w:r>
                    <w:rPr>
                      <w:rFonts w:hint="default" w:ascii="Times New Roman" w:hAnsi="Times New Roman" w:eastAsia="宋体" w:cs="Times New Roman"/>
                      <w:b w:val="0"/>
                      <w:bCs w:val="0"/>
                      <w:color w:val="auto"/>
                      <w:sz w:val="21"/>
                      <w:szCs w:val="21"/>
                      <w:lang w:val="en-US" w:eastAsia="zh-CN"/>
                    </w:rPr>
                    <w:t>建设项目</w:t>
                  </w:r>
                  <w:r>
                    <w:rPr>
                      <w:rFonts w:hint="default" w:ascii="Times New Roman" w:hAnsi="Times New Roman" w:eastAsia="宋体" w:cs="Times New Roman"/>
                      <w:b w:val="0"/>
                      <w:bCs w:val="0"/>
                      <w:color w:val="auto"/>
                      <w:sz w:val="21"/>
                      <w:szCs w:val="21"/>
                    </w:rPr>
                    <w:t>，不属于《产业结构调整指导目录（2024年本）》中淘汰类项目以及《市场准入负面清单（202</w:t>
                  </w:r>
                  <w:r>
                    <w:rPr>
                      <w:rFonts w:hint="eastAsia" w:ascii="Times New Roman" w:hAnsi="Times New Roman" w:eastAsia="宋体" w:cs="Times New Roman"/>
                      <w:b w:val="0"/>
                      <w:bCs w:val="0"/>
                      <w:color w:val="auto"/>
                      <w:sz w:val="21"/>
                      <w:szCs w:val="21"/>
                      <w:lang w:val="en-US" w:eastAsia="zh-CN"/>
                    </w:rPr>
                    <w:t>5</w:t>
                  </w:r>
                  <w:r>
                    <w:rPr>
                      <w:rFonts w:hint="default" w:ascii="Times New Roman" w:hAnsi="Times New Roman" w:eastAsia="宋体" w:cs="Times New Roman"/>
                      <w:b w:val="0"/>
                      <w:bCs w:val="0"/>
                      <w:color w:val="auto"/>
                      <w:sz w:val="21"/>
                      <w:szCs w:val="21"/>
                    </w:rPr>
                    <w:t>年版）》禁止准入类事项；1.1-2</w:t>
                  </w:r>
                  <w:r>
                    <w:rPr>
                      <w:rFonts w:hint="default" w:ascii="Times New Roman" w:hAnsi="Times New Roman" w:eastAsia="宋体" w:cs="Times New Roman"/>
                      <w:b w:val="0"/>
                      <w:bCs w:val="0"/>
                      <w:color w:val="auto"/>
                      <w:sz w:val="21"/>
                      <w:szCs w:val="21"/>
                      <w:lang w:val="en-US" w:eastAsia="zh-CN"/>
                    </w:rPr>
                    <w:t>本</w:t>
                  </w:r>
                  <w:r>
                    <w:rPr>
                      <w:rFonts w:hint="default" w:ascii="Times New Roman" w:hAnsi="Times New Roman" w:eastAsia="宋体" w:cs="Times New Roman"/>
                      <w:b w:val="0"/>
                      <w:bCs w:val="0"/>
                      <w:color w:val="auto"/>
                      <w:sz w:val="21"/>
                      <w:szCs w:val="21"/>
                    </w:rPr>
                    <w:t>项目位于新疆维吾尔自治区昌吉回族自治州昌吉市大西渠镇新戽村</w:t>
                  </w:r>
                  <w:r>
                    <w:rPr>
                      <w:rFonts w:hint="default" w:ascii="Times New Roman" w:hAnsi="Times New Roman" w:eastAsia="宋体" w:cs="Times New Roman"/>
                      <w:b w:val="0"/>
                      <w:bCs w:val="0"/>
                      <w:color w:val="auto"/>
                      <w:sz w:val="21"/>
                      <w:szCs w:val="21"/>
                      <w:lang w:val="en-US" w:eastAsia="zh-CN"/>
                    </w:rPr>
                    <w:t>昌吉市再生资源回收利用产业园内</w:t>
                  </w:r>
                  <w:r>
                    <w:rPr>
                      <w:rFonts w:hint="default" w:ascii="Times New Roman" w:hAnsi="Times New Roman" w:eastAsia="宋体" w:cs="Times New Roman"/>
                      <w:b w:val="0"/>
                      <w:bCs w:val="0"/>
                      <w:color w:val="auto"/>
                      <w:sz w:val="21"/>
                      <w:szCs w:val="21"/>
                    </w:rPr>
                    <w:t>，不属于不符合国家和自治区环境保护标准的项目；1.1-11项目不涉及生态保护红线，未占用永久基本农田。</w:t>
                  </w:r>
                </w:p>
                <w:p w14:paraId="1B1A508E">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color w:val="auto"/>
                      <w:sz w:val="21"/>
                      <w:szCs w:val="21"/>
                    </w:rPr>
                  </w:pPr>
                  <w:r>
                    <w:rPr>
                      <w:rFonts w:hint="default" w:ascii="Times New Roman" w:hAnsi="Times New Roman" w:eastAsia="宋体" w:cs="Times New Roman"/>
                      <w:b w:val="0"/>
                      <w:bCs w:val="0"/>
                      <w:color w:val="auto"/>
                      <w:sz w:val="21"/>
                      <w:szCs w:val="21"/>
                    </w:rPr>
                    <w:t>1.1-</w:t>
                  </w:r>
                  <w:r>
                    <w:rPr>
                      <w:rFonts w:hint="default" w:ascii="Times New Roman" w:hAnsi="Times New Roman" w:eastAsia="宋体" w:cs="Times New Roman"/>
                      <w:b w:val="0"/>
                      <w:bCs w:val="0"/>
                      <w:color w:val="auto"/>
                      <w:sz w:val="21"/>
                      <w:szCs w:val="21"/>
                      <w:lang w:val="en-US" w:eastAsia="zh-CN"/>
                    </w:rPr>
                    <w:t>3</w:t>
                  </w:r>
                  <w:r>
                    <w:rPr>
                      <w:rFonts w:hint="default" w:ascii="Times New Roman" w:hAnsi="Times New Roman" w:eastAsia="宋体" w:cs="Times New Roman"/>
                      <w:b w:val="0"/>
                      <w:bCs w:val="0"/>
                      <w:color w:val="auto"/>
                      <w:sz w:val="21"/>
                      <w:szCs w:val="21"/>
                    </w:rPr>
                    <w:t>~1.1-9、1.1-10、1.2-1~1.2-5、1.3-1~1.3-5、1.4-1~1.4-</w:t>
                  </w:r>
                  <w:r>
                    <w:rPr>
                      <w:rFonts w:hint="default" w:ascii="Times New Roman" w:hAnsi="Times New Roman" w:eastAsia="宋体" w:cs="Times New Roman"/>
                      <w:b w:val="0"/>
                      <w:bCs w:val="0"/>
                      <w:color w:val="auto"/>
                      <w:sz w:val="21"/>
                      <w:szCs w:val="21"/>
                      <w:lang w:val="en-US" w:eastAsia="zh-CN"/>
                    </w:rPr>
                    <w:t>3</w:t>
                  </w:r>
                  <w:r>
                    <w:rPr>
                      <w:rFonts w:hint="default" w:ascii="Times New Roman" w:hAnsi="Times New Roman" w:eastAsia="宋体" w:cs="Times New Roman"/>
                      <w:b w:val="0"/>
                      <w:bCs w:val="0"/>
                      <w:color w:val="auto"/>
                      <w:sz w:val="21"/>
                      <w:szCs w:val="21"/>
                    </w:rPr>
                    <w:t>项目不涉及。</w:t>
                  </w:r>
                </w:p>
              </w:tc>
              <w:tc>
                <w:tcPr>
                  <w:tcW w:w="372" w:type="pct"/>
                  <w:tcBorders>
                    <w:top w:val="single" w:color="auto" w:sz="12" w:space="0"/>
                    <w:tl2br w:val="nil"/>
                    <w:tr2bl w:val="nil"/>
                  </w:tcBorders>
                  <w:noWrap w:val="0"/>
                  <w:vAlign w:val="center"/>
                </w:tcPr>
                <w:p w14:paraId="0130B2ED">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符合</w:t>
                  </w:r>
                </w:p>
              </w:tc>
            </w:tr>
            <w:tr w14:paraId="54A41C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6" w:type="pct"/>
                  <w:tcBorders>
                    <w:tl2br w:val="nil"/>
                    <w:tr2bl w:val="nil"/>
                  </w:tcBorders>
                  <w:noWrap w:val="0"/>
                  <w:vAlign w:val="center"/>
                </w:tcPr>
                <w:p w14:paraId="4924A132">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污染物排放管控</w:t>
                  </w:r>
                </w:p>
              </w:tc>
              <w:tc>
                <w:tcPr>
                  <w:tcW w:w="2854" w:type="pct"/>
                  <w:tcBorders>
                    <w:tl2br w:val="nil"/>
                    <w:tr2bl w:val="nil"/>
                  </w:tcBorders>
                  <w:noWrap w:val="0"/>
                  <w:vAlign w:val="center"/>
                </w:tcPr>
                <w:p w14:paraId="2BDAF90A">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A2.1-1〕新、改、扩建重点行业建设项目应符合“三线一单”、产业政策、区域环评、规划环评和行业环境准入管控要求。重点区域的新、改、扩建重点行业建设项目应遵循重点重金属污染物排放“减量替代”原则。〔A2.1-2〕以石化、化工、涂装、医药、包装印刷、油品储运销等行业领域为重点，安全高效推进挥发性有机物综合治理，实施原辅材料和产品源头替代工程。〔A2.1-3〕促进大气污染物与温室气体协同控制。实施污染物和温室气体协同控制，实现减污降碳协同效应。开展工业、农业温室气体和污染减排协同控制研究，减少温室气体和污染物排放。强化污水、垃圾等集中处置设施环境管理，协同控制氢氟碳化物、甲烷、氧化亚氮等温室气体。加强节约能源与大气污染防治协同有效衔接，促进大气污染防治协同增效。〔A2.1-4〕严控建材、铸造、冶炼等行业无组织排放，推进石化、化工、涂装、医药、包装印刷、油品储运销等行业项目挥发性有机物（VOCs）防治。严格有色金属冶炼、石油加工、化工、焦化等行业项目的土壤、地下水污染防治措施要求。推进工业园区和企业集群建设涉VOCs“绿岛”项目，统筹规划建设一批集中涂装中心、活性炭集中处理中心、溶剂回收中心等，实现VOCs集中高效处理。〔A2.2-1〕推动能源、钢铁、建材、有色、电力、化工等重点领域技术升级，控制工业过程温室气体排放，推动工业领域绿色低碳发展。积极鼓励发展二氧化碳捕集利用与封存等低碳技术。促进大气污染物与温室气体协同控制。实施污染物和温室气体协同控制，实现减污降碳协同效应。强化污水、垃圾等集中处置设施环境管理，协同控制氢氟碳化物、甲烷、氧化亚氮等温室气体。加强节约能源与大气污染防治协同有效衔接，促进大气污染防治协同增效。〔A2.2-2〕实施重点行业氮氧化物等污染物深度治理。持续推进钢铁、水泥、焦化行业超低排放改造。推进玻璃、陶瓷、铸造、铁合金、有色、煤化和石化等行业采取清洁生产、提标改造、深度治理等综合措施。加强自备燃煤机组污染治理设施运行管控，确保按照超低排放标准运行。针对铸造、铁合金、焦化、水泥、砖瓦、石灰、耐火材料、金属冶炼以及煤化工、石油化工等行业，严格控制物料储存、输送及生产工艺过程无组织排放。重点涉气排放企业逐步取消烟气旁路，因安全生产无法取消的，安装在线监控系统。〔A2.2-3〕强化重点区域大气污染联防联控，合理确定产业布局，推动区域内统一产业准入和排放标准。实施水泥行业错峰生产，推进散煤整治、挥发性有机污染物综合治理、钢铁、水泥、焦化和燃煤工业锅炉行业超低排放改造、燃气锅炉低氮燃烧改造、工业园区内轨道运输（大宗货物“公转铁”）、柴油货车治理、锅炉炉窑综合治理等工程项目。全面推行绿色施工，持续推动城市建成区重污染企业搬迁或关闭退出。〔A2.2-4〕强化用水定额管理。推进地下水超采综合治理。开展河湖生态流量（水量）确定工作，强化生态用水保障。〔A2.2-5〕持续推进伊犁河、额尔齐斯河、额敏河、玛纳斯河、乌伦古湖、博斯腾湖等流域生态治理，加强生态修复。推动重点行业、重点企业绿色发展，严格落实水污染物排放标准。加强农副食品加工、化工、印染、棉浆粕、粘胶纤维等企业综合治理和清洁化改造。〔A2.2-6〕推进地表水与地下水协同防治。以傍河型地下水饮用水水源为重点，防范受污染河段侧渗和垂直补给对地下水污染。加强化学品生产企业、工业聚集区、矿山开采区等污染源的地表、地下协同防治与环境风险管控。加强工业污染防治。推动重点行业、重点企业绿色发展，严格落实水污染物排放标准和排污许可制度。加强农副食品加工、化工、印染、棉浆粕、粘胶纤维、制糖等企业综合治理和清洁化改造。支持企业积极实施节水技术改造，加强工业园区污水集中处理设施运行管理，加快再生水回用设施建设，提升园区水资源循环利用水平。〔A2.2-7〕强化重点区域地下水环境风险管控，对化学品生产企业、工业集聚区、尾矿库、矿山开采区、危险废物处置场、垃圾填埋场等地下水污染源及周边区域，逐步开展地下水环境状况调查评估，加强风险管控。〔A2.2-8〕严控土壤重金属污染，加强油（气）田开发土壤污染防治，以历史遗留工业企业污染场地为重点，开展土壤污染风险管控与修复工程。〔A2.2-9〕加强种植业污染防治。深入推进化肥农药减量增效，全面推广测土配方施肥，引导推动有机肥、绿肥替代化肥，集成推广化肥减量增效技术模式，加强农药包装废弃物管理。实施农膜回收行动，健全农田废旧地膜回收利用体系，提高废旧地膜回收率。推进农作物秸秆综合利用，不断完善秸秆收储运用体系，形成布局合理、多元利用的秸秆综合利用格局。</w:t>
                  </w:r>
                </w:p>
              </w:tc>
              <w:tc>
                <w:tcPr>
                  <w:tcW w:w="1476" w:type="pct"/>
                  <w:tcBorders>
                    <w:tl2br w:val="nil"/>
                    <w:tr2bl w:val="nil"/>
                  </w:tcBorders>
                  <w:noWrap w:val="0"/>
                  <w:vAlign w:val="center"/>
                </w:tcPr>
                <w:p w14:paraId="09D97DCB">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2.1-1</w:t>
                  </w:r>
                  <w:r>
                    <w:rPr>
                      <w:rFonts w:hint="default" w:ascii="Times New Roman" w:hAnsi="Times New Roman" w:eastAsia="宋体" w:cs="Times New Roman"/>
                      <w:b w:val="0"/>
                      <w:bCs w:val="0"/>
                      <w:color w:val="auto"/>
                      <w:sz w:val="21"/>
                      <w:szCs w:val="21"/>
                      <w:lang w:val="en-US" w:eastAsia="zh-CN"/>
                    </w:rPr>
                    <w:t>本项目为新建项目，项目的建设符合</w:t>
                  </w:r>
                  <w:r>
                    <w:rPr>
                      <w:rFonts w:hint="default" w:ascii="Times New Roman" w:hAnsi="Times New Roman" w:eastAsia="宋体" w:cs="Times New Roman"/>
                      <w:b w:val="0"/>
                      <w:bCs w:val="0"/>
                      <w:color w:val="auto"/>
                      <w:sz w:val="21"/>
                      <w:szCs w:val="21"/>
                    </w:rPr>
                    <w:t>“</w:t>
                  </w:r>
                  <w:r>
                    <w:rPr>
                      <w:rFonts w:hint="default" w:ascii="Times New Roman" w:hAnsi="Times New Roman" w:eastAsia="宋体" w:cs="Times New Roman"/>
                      <w:b w:val="0"/>
                      <w:bCs w:val="0"/>
                      <w:color w:val="auto"/>
                      <w:sz w:val="21"/>
                      <w:szCs w:val="21"/>
                      <w:lang w:val="en-US" w:eastAsia="zh-CN"/>
                    </w:rPr>
                    <w:t>生态环境分区管控方案要求</w:t>
                  </w:r>
                  <w:r>
                    <w:rPr>
                      <w:rFonts w:hint="default" w:ascii="Times New Roman" w:hAnsi="Times New Roman" w:eastAsia="宋体" w:cs="Times New Roman"/>
                      <w:b w:val="0"/>
                      <w:bCs w:val="0"/>
                      <w:color w:val="auto"/>
                      <w:sz w:val="21"/>
                      <w:szCs w:val="21"/>
                    </w:rPr>
                    <w:t>”、产业政策</w:t>
                  </w:r>
                  <w:r>
                    <w:rPr>
                      <w:rFonts w:hint="default" w:ascii="Times New Roman" w:hAnsi="Times New Roman" w:eastAsia="宋体" w:cs="Times New Roman"/>
                      <w:b w:val="0"/>
                      <w:bCs w:val="0"/>
                      <w:color w:val="auto"/>
                      <w:sz w:val="21"/>
                      <w:szCs w:val="21"/>
                      <w:lang w:val="en-US" w:eastAsia="zh-CN"/>
                    </w:rPr>
                    <w:t>等相关要求；2.1-2</w:t>
                  </w:r>
                  <w:r>
                    <w:rPr>
                      <w:rFonts w:hint="default" w:ascii="Times New Roman" w:hAnsi="Times New Roman" w:eastAsia="宋体" w:cs="Times New Roman"/>
                      <w:b w:val="0"/>
                      <w:bCs w:val="0"/>
                      <w:color w:val="auto"/>
                      <w:sz w:val="21"/>
                      <w:szCs w:val="21"/>
                    </w:rPr>
                    <w:t>-2.1-4、2.2-1-2.2-9项目不涉及</w:t>
                  </w:r>
                  <w:r>
                    <w:rPr>
                      <w:rFonts w:hint="eastAsia" w:ascii="Times New Roman" w:hAnsi="Times New Roman" w:eastAsia="宋体" w:cs="Times New Roman"/>
                      <w:b w:val="0"/>
                      <w:bCs w:val="0"/>
                      <w:color w:val="auto"/>
                      <w:sz w:val="21"/>
                      <w:szCs w:val="21"/>
                      <w:lang w:val="en-US" w:eastAsia="zh-CN"/>
                    </w:rPr>
                    <w:t>相关要求</w:t>
                  </w:r>
                  <w:r>
                    <w:rPr>
                      <w:rFonts w:hint="default" w:ascii="Times New Roman" w:hAnsi="Times New Roman" w:eastAsia="宋体" w:cs="Times New Roman"/>
                      <w:b w:val="0"/>
                      <w:bCs w:val="0"/>
                      <w:color w:val="auto"/>
                      <w:sz w:val="21"/>
                      <w:szCs w:val="21"/>
                    </w:rPr>
                    <w:t>；</w:t>
                  </w:r>
                </w:p>
              </w:tc>
              <w:tc>
                <w:tcPr>
                  <w:tcW w:w="372" w:type="pct"/>
                  <w:tcBorders>
                    <w:tl2br w:val="nil"/>
                    <w:tr2bl w:val="nil"/>
                  </w:tcBorders>
                  <w:noWrap w:val="0"/>
                  <w:vAlign w:val="center"/>
                </w:tcPr>
                <w:p w14:paraId="2575C9B4">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符合</w:t>
                  </w:r>
                </w:p>
              </w:tc>
            </w:tr>
            <w:tr w14:paraId="46BFDA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6" w:type="pct"/>
                  <w:tcBorders>
                    <w:tl2br w:val="nil"/>
                    <w:tr2bl w:val="nil"/>
                  </w:tcBorders>
                  <w:noWrap w:val="0"/>
                  <w:vAlign w:val="center"/>
                </w:tcPr>
                <w:p w14:paraId="1C8F30D0">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环境风险防控</w:t>
                  </w:r>
                </w:p>
              </w:tc>
              <w:tc>
                <w:tcPr>
                  <w:tcW w:w="2854" w:type="pct"/>
                  <w:tcBorders>
                    <w:tl2br w:val="nil"/>
                    <w:tr2bl w:val="nil"/>
                  </w:tcBorders>
                  <w:noWrap w:val="0"/>
                  <w:vAlign w:val="center"/>
                </w:tcPr>
                <w:p w14:paraId="61B31187">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A3.1-1〕建立和完善重污染天气兵地联合应急预案、预报预警应急机制和会商联动机制。“乌—昌—石”区域内可能影响相邻行政区域大气环境的项目，兵地间、城市间必须相互征求意见。〔A3.1-2〕对跨国境河流、涉及县级及以上集中式饮用水水源地的河流、其他重要环境敏感目标的河流，建立健全流域上下游突发水污染事件</w:t>
                  </w:r>
                  <w:r>
                    <w:rPr>
                      <w:rFonts w:hint="default" w:ascii="Times New Roman" w:hAnsi="Times New Roman" w:eastAsia="宋体" w:cs="Times New Roman"/>
                      <w:b w:val="0"/>
                      <w:bCs w:val="0"/>
                      <w:color w:val="auto"/>
                      <w:sz w:val="21"/>
                      <w:szCs w:val="21"/>
                      <w:lang w:eastAsia="zh-CN"/>
                    </w:rPr>
                    <w:t>联防联控机制</w:t>
                  </w:r>
                  <w:r>
                    <w:rPr>
                      <w:rFonts w:hint="default" w:ascii="Times New Roman" w:hAnsi="Times New Roman" w:eastAsia="宋体" w:cs="Times New Roman"/>
                      <w:b w:val="0"/>
                      <w:bCs w:val="0"/>
                      <w:color w:val="auto"/>
                      <w:sz w:val="21"/>
                      <w:szCs w:val="21"/>
                    </w:rPr>
                    <w:t>，建立流域环境应急基础信息动态更新长效机制，绘制全流域“一河一策一图”。建立健全跨部门、跨区域的环境应急协调联动处置机制，强化流域上下游、兵地各部门协调，实施联合监测、联合执法、应急联动、信息共享，形成“政府引导、多元联动、社会参与、专业救援”的环境应急处置机制，持续开展应急综合演练，实现从被动应对到主动防控的重大转变。加强流域突发水环境事件应急能力建设，提升应急响应水平，加强监测预警、拦污控污、信息通报、协同处置、基础保障等工作，防范重大生态环境风险，坚决守住生态环境安全底线。〔A3.1-3〕强化重污染天气监测预报预警能力，建立和完善重污染天气兵地联合应急预案、预警应急机制和会商联动机制，加强轻、中度污染天气管控。〔A3.2-1〕提升饮用水安全保障水平。以县级及以上集中式饮用水水源地为重点，推进饮用水水源保护区规范化建设，统筹推进备用水源或应急水源建设。单一水源供水的重点城市于2025年底前基本完成备用水源或应急水源建设，有条件的地区开展兵地互为备用水源建设。梯次推进农村集中式饮用水水源保护区划定，到2025年，完成乡镇级集中式饮用水水源保护区划定与勘界立标。开展“千吨万人”农村饮用水水源保护区环境风险排查整治，加强农村水源水质监测，依法清理饮用水水源保护区内违法建筑和排污口，实施从水源到水龙头全过程监管。强化饮用水水源保护区环境应急管理，完善重大突发环境事件的物资和技术储备。针对汇水区、补给区存在兵地跨界的，建立统一的饮用水水源应急和执法机制，共享应急物资。〔A3.2-2〕依法推行农用地分类管理制度，强化受污染耕地安全利用和风险管控。因地制宜制定实施安全利用方案，鼓励采取种植结构调整等措施，确保受污染耕地全部实现安全利用。〔A3.2-3〕加强新污染物多环境介质协同治理。排放重点管控新污染物的企事业单位应采取污染控制措施，达到相关污染物排放标准及环境质量目标要求；按照排污许可管理有关要求，依法申领排污许可证或填写排污登记表，并在其中载明执行的污染控制标准要求及采取的污染控制措施。排放重点管控新污染物的企事业单位和其他生产经营者应按照相关法律法规要求，对排放（污）口及其周边环境定期开展环境监测，评估环境风险，排查整治环境安全隐患，依法公开新污染物信息，采取措施防范环境风险。土壤污染重点监管单位应严格控制有毒有害物质排放，建立土壤污染隐患排查制度，防止有毒有害物质渗漏、流失、扬散。〔A3.2-4〕加强环境风险预警防控。加强涉危险废物企业、涉重金属企业、化工园区、集中式饮用水水源地及重点流域环境风险调查评估，实施分类分级风险管控，协同推进重点区域、流域生态环境污染综合防治、风险防控与生态修复。〔A3.2-5〕强化生态环境应急管理。实施企业突发生态环境应急预案电子化备案，完成县级以上政府突发环境事件应急预案修编。完善区域和企业应急处置物资储备系统，结合新疆各地特征污染物的特性加强应急物资储备及应急物资信息化建设，掌握社会应急物资储备动态信息，妥善应对各类突发生态环境事件。加强应急监测装备配置，定期开展应急演练，增强实战能力。〔A3.2-6〕强化兵地联防联控联治，落实兵地统一规划、统一政策、统一标准、统一要求、统一推进的防治管理措施，完善重大项目环境影响评价区域会商、重污染天气兵地联合应急联动机制。建立兵地生态环境联合执法和联合监测长效机制。</w:t>
                  </w:r>
                </w:p>
              </w:tc>
              <w:tc>
                <w:tcPr>
                  <w:tcW w:w="1476" w:type="pct"/>
                  <w:tcBorders>
                    <w:tl2br w:val="nil"/>
                    <w:tr2bl w:val="nil"/>
                  </w:tcBorders>
                  <w:noWrap w:val="0"/>
                  <w:vAlign w:val="center"/>
                </w:tcPr>
                <w:p w14:paraId="21A782AD">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3.1-1项目属于“乌—昌—石”联防联控区，按要求执行大气重</w:t>
                  </w:r>
                  <w:r>
                    <w:rPr>
                      <w:rFonts w:hint="default" w:ascii="Times New Roman" w:hAnsi="Times New Roman" w:eastAsia="宋体" w:cs="Times New Roman"/>
                      <w:b w:val="0"/>
                      <w:bCs w:val="0"/>
                      <w:color w:val="auto"/>
                      <w:sz w:val="21"/>
                      <w:szCs w:val="21"/>
                      <w:highlight w:val="none"/>
                    </w:rPr>
                    <w:t>点排放限值要求，项目废气排放量较小，不会影响相邻区域，不属于可能影响相邻行政区域大气环境的项目；3.1-2项目位于新</w:t>
                  </w:r>
                  <w:r>
                    <w:rPr>
                      <w:rFonts w:hint="default" w:ascii="Times New Roman" w:hAnsi="Times New Roman" w:eastAsia="宋体" w:cs="Times New Roman"/>
                      <w:b w:val="0"/>
                      <w:bCs w:val="0"/>
                      <w:color w:val="auto"/>
                      <w:sz w:val="21"/>
                      <w:szCs w:val="21"/>
                    </w:rPr>
                    <w:t>疆维吾尔自治区昌吉回族自治州昌吉市大西渠镇新戽村</w:t>
                  </w:r>
                  <w:r>
                    <w:rPr>
                      <w:rFonts w:hint="default" w:ascii="Times New Roman" w:hAnsi="Times New Roman" w:eastAsia="宋体" w:cs="Times New Roman"/>
                      <w:b w:val="0"/>
                      <w:bCs w:val="0"/>
                      <w:color w:val="auto"/>
                      <w:sz w:val="21"/>
                      <w:szCs w:val="21"/>
                      <w:lang w:val="en-US" w:eastAsia="zh-CN"/>
                    </w:rPr>
                    <w:t>昌吉市再生资源回收利用产业园内</w:t>
                  </w:r>
                  <w:r>
                    <w:rPr>
                      <w:rFonts w:hint="eastAsia" w:ascii="Times New Roman" w:hAnsi="Times New Roman" w:eastAsia="宋体" w:cs="Times New Roman"/>
                      <w:b w:val="0"/>
                      <w:bCs w:val="0"/>
                      <w:color w:val="auto"/>
                      <w:sz w:val="21"/>
                      <w:szCs w:val="21"/>
                      <w:lang w:eastAsia="zh-CN"/>
                    </w:rPr>
                    <w:t>，</w:t>
                  </w:r>
                  <w:r>
                    <w:rPr>
                      <w:rFonts w:hint="default" w:ascii="Times New Roman" w:hAnsi="Times New Roman" w:eastAsia="宋体" w:cs="Times New Roman"/>
                      <w:b w:val="0"/>
                      <w:bCs w:val="0"/>
                      <w:color w:val="auto"/>
                      <w:sz w:val="21"/>
                      <w:szCs w:val="21"/>
                    </w:rPr>
                    <w:t>不涉及饮用水水源地的河流及其他重要环境敏感目标的河流；3.1-3项目各项污染物均按要求合理合规处置，符合相关要求；</w:t>
                  </w:r>
                </w:p>
                <w:p w14:paraId="430C63E8">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rPr>
                  </w:pPr>
                </w:p>
              </w:tc>
              <w:tc>
                <w:tcPr>
                  <w:tcW w:w="372" w:type="pct"/>
                  <w:tcBorders>
                    <w:tl2br w:val="nil"/>
                    <w:tr2bl w:val="nil"/>
                  </w:tcBorders>
                  <w:noWrap w:val="0"/>
                  <w:vAlign w:val="center"/>
                </w:tcPr>
                <w:p w14:paraId="37EF98EC">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符合</w:t>
                  </w:r>
                </w:p>
              </w:tc>
            </w:tr>
            <w:tr w14:paraId="631D60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6" w:type="pct"/>
                  <w:tcBorders>
                    <w:tl2br w:val="nil"/>
                    <w:tr2bl w:val="nil"/>
                  </w:tcBorders>
                  <w:noWrap w:val="0"/>
                  <w:vAlign w:val="center"/>
                </w:tcPr>
                <w:p w14:paraId="4D9A711B">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资源开发效率</w:t>
                  </w:r>
                </w:p>
              </w:tc>
              <w:tc>
                <w:tcPr>
                  <w:tcW w:w="2854" w:type="pct"/>
                  <w:tcBorders>
                    <w:tl2br w:val="nil"/>
                    <w:tr2bl w:val="nil"/>
                  </w:tcBorders>
                  <w:noWrap w:val="0"/>
                  <w:vAlign w:val="center"/>
                </w:tcPr>
                <w:p w14:paraId="74746717">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A4.1-1〕自治区用水总量2025年、2030年控制在国家下达的指标内。〔A4.1-2〕加大城镇污水再生利用工程建设力度，推进区域再生水循环利用，到2025年，城市生活污水再生利用率力争达到60%。〔A4.1-3〕加强农村水利基础设施建设，推进农村供水保障工程，农村自来水普及率、集中供水率分别达到99.3%、99.7%。〔A4.1-4〕地下水资源利用实行总量控制和水位控制。取用地下水资源，应当按照国家和自治区有关规定申请取水许可。地下水利用应当以浅层地下水为主。〔A4.2-1〕土地资源</w:t>
                  </w:r>
                  <w:r>
                    <w:rPr>
                      <w:rFonts w:hint="default" w:ascii="Times New Roman" w:hAnsi="Times New Roman" w:eastAsia="宋体" w:cs="Times New Roman"/>
                      <w:b w:val="0"/>
                      <w:bCs w:val="0"/>
                      <w:color w:val="auto"/>
                      <w:sz w:val="21"/>
                      <w:szCs w:val="21"/>
                      <w:lang w:eastAsia="zh-CN"/>
                    </w:rPr>
                    <w:t>上限</w:t>
                  </w:r>
                  <w:r>
                    <w:rPr>
                      <w:rFonts w:hint="default" w:ascii="Times New Roman" w:hAnsi="Times New Roman" w:eastAsia="宋体" w:cs="Times New Roman"/>
                      <w:b w:val="0"/>
                      <w:bCs w:val="0"/>
                      <w:color w:val="auto"/>
                      <w:sz w:val="21"/>
                      <w:szCs w:val="21"/>
                    </w:rPr>
                    <w:t>指标控制在最终批复的国土空间规划控制指标内。〔A4.3-1〕单位地区生产总值二氧化碳排放降低水平完成国家下达指标。〔A4.3-2〕到2025年，自治区万元国内生产总值能耗比2020年下降14.5%。〔A4.3-3〕到2025年，非化石能源占一次能源消费比重达18%以上。〔A4.3-4〕鼓励使用清洁能源或电厂热力、工业余热等替代锅炉、炉窑燃料用煤。〔A4.3-5〕以碳达峰碳中和工作为引领，着力提高能源资源利用效率。引导重点行业深入实施清洁生产改造，钢铁、建材、石油化工等重点行业以及其他行业重点用能单位持续开展节能降耗。〔A4.3-6〕深入推进碳达峰碳中和行动。推动能源清洁低碳转型，加强能耗“双控”管理，优化能源消费结构。新增原料用能不纳入能源消费总量控制。持续推进散煤整治。〔A4.4-1〕在禁燃区内，禁止销售、燃用高污染燃料；禁止新建、扩建燃用高污染燃料的设施。已建成的，应当在规定期限内改用清洁能源。〔A4.5-1〕加强固体废物源头减量、资源化利用和无害化处置，最大限度减少填埋量。推进工业固体废物精细化、名录化环境管理，促进大宗工业固废综合利用、主要农业废弃物全量利用。加快构建废旧物资回收和循环利用体系，健全强制报废制度和废旧家电、消费电子等耐用消费品回收处理体系，推行生产企业“逆向回收”等模式。以尾矿和共伴生矿、煤矸石、炉渣、粉煤灰、脱硫石膏、冶炼渣、建筑垃圾等为重点，持续推进固体废物综合利用和环境整治，不断提高大宗固体废物资源化利用水平。推行生活垃圾分类，加快建设县（市）生活垃圾处理设施，到2025年，全疆城市生活垃圾无害化处理率达到99%以上。〔A4.5-2〕推动工业固废按元素价值综合开发利用，加快推进尾矿（共伴生矿）、粉煤灰、煤矸石、冶炼渣、工业副产石膏、赤泥、化工废渣等工业固废在有价组分提取、建材生产、市政设施建设、井下充填、生态修复、土壤治理等领域的规模化利用。着力提升工业固废在生产纤维材料、微晶玻璃、超细化填料、低碳水泥、固废基高性能混凝土、预制件、节能型建筑材料等领域的高值化利用水平。〔A4.5-3〕结合工业领域减污降碳要求，加快探索钢铁、有色、化工、建材等重点行业工业固体废物减量化路径，全面推行清洁生产。全面推进绿色矿山、“无废”矿区建设，推广尾矿等大宗工业固体废物环境友好型井下充填回填，减少尾矿库贮存量。推动大宗工业固体废物在提取</w:t>
                  </w:r>
                  <w:r>
                    <w:rPr>
                      <w:rFonts w:hint="default" w:ascii="Times New Roman" w:hAnsi="Times New Roman" w:eastAsia="宋体" w:cs="Times New Roman"/>
                      <w:b w:val="0"/>
                      <w:bCs w:val="0"/>
                      <w:color w:val="auto"/>
                      <w:sz w:val="21"/>
                      <w:szCs w:val="21"/>
                      <w:lang w:eastAsia="zh-CN"/>
                    </w:rPr>
                    <w:t>有机</w:t>
                  </w:r>
                  <w:r>
                    <w:rPr>
                      <w:rFonts w:hint="default" w:ascii="Times New Roman" w:hAnsi="Times New Roman" w:eastAsia="宋体" w:cs="Times New Roman"/>
                      <w:b w:val="0"/>
                      <w:bCs w:val="0"/>
                      <w:color w:val="auto"/>
                      <w:sz w:val="21"/>
                      <w:szCs w:val="21"/>
                    </w:rPr>
                    <w:t>组分、生产建材、筑路、生态修复、土壤治理等领域的规模化利用。〔A4.5-4〕发展生态种植、生态养殖，建立农业循环经济发展模式，促进农业固体废物综合利用。鼓励和引导农民采用增施有机肥秸秆还田、种植绿肥等技术，持续减少化肥农药使用比例。加大畜禽粪污和秸秆资源化利用先进技术和新型市场模式的集成推广，推动形成长效运行机制。</w:t>
                  </w:r>
                </w:p>
              </w:tc>
              <w:tc>
                <w:tcPr>
                  <w:tcW w:w="1476" w:type="pct"/>
                  <w:tcBorders>
                    <w:tl2br w:val="nil"/>
                    <w:tr2bl w:val="nil"/>
                  </w:tcBorders>
                  <w:noWrap w:val="0"/>
                  <w:vAlign w:val="center"/>
                </w:tcPr>
                <w:p w14:paraId="794BD9AC">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4.1-1~4.1-4本项目用水由市政管网提供，不涉及地下水开采。4.5-1本项目</w:t>
                  </w:r>
                  <w:r>
                    <w:rPr>
                      <w:rFonts w:hint="default" w:ascii="Times New Roman" w:hAnsi="Times New Roman" w:eastAsia="宋体" w:cs="Times New Roman"/>
                      <w:b w:val="0"/>
                      <w:bCs w:val="0"/>
                      <w:color w:val="auto"/>
                      <w:sz w:val="21"/>
                      <w:szCs w:val="21"/>
                      <w:lang w:val="en-US" w:eastAsia="zh-CN"/>
                    </w:rPr>
                    <w:t>为建筑垃圾</w:t>
                  </w:r>
                  <w:r>
                    <w:rPr>
                      <w:rFonts w:hint="eastAsia" w:ascii="Times New Roman" w:hAnsi="Times New Roman" w:eastAsia="宋体" w:cs="Times New Roman"/>
                      <w:b w:val="0"/>
                      <w:bCs w:val="0"/>
                      <w:color w:val="auto"/>
                      <w:sz w:val="21"/>
                      <w:szCs w:val="21"/>
                      <w:lang w:val="en-US" w:eastAsia="zh-CN"/>
                    </w:rPr>
                    <w:t>调配场</w:t>
                  </w:r>
                  <w:r>
                    <w:rPr>
                      <w:rFonts w:hint="default" w:ascii="Times New Roman" w:hAnsi="Times New Roman" w:eastAsia="宋体" w:cs="Times New Roman"/>
                      <w:b w:val="0"/>
                      <w:bCs w:val="0"/>
                      <w:color w:val="auto"/>
                      <w:sz w:val="21"/>
                      <w:szCs w:val="21"/>
                      <w:lang w:val="en-US" w:eastAsia="zh-CN"/>
                    </w:rPr>
                    <w:t>建设项目</w:t>
                  </w:r>
                  <w:r>
                    <w:rPr>
                      <w:rFonts w:hint="default" w:ascii="Times New Roman" w:hAnsi="Times New Roman" w:eastAsia="宋体" w:cs="Times New Roman"/>
                      <w:b w:val="0"/>
                      <w:bCs w:val="0"/>
                      <w:color w:val="auto"/>
                      <w:sz w:val="21"/>
                      <w:szCs w:val="21"/>
                    </w:rPr>
                    <w:t>。项目所在区域资源充足，有保障，不会突破总体资源利用上限。</w:t>
                  </w:r>
                </w:p>
                <w:p w14:paraId="41B26649">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color w:val="auto"/>
                      <w:sz w:val="21"/>
                      <w:szCs w:val="21"/>
                    </w:rPr>
                  </w:pPr>
                  <w:r>
                    <w:rPr>
                      <w:rFonts w:hint="default" w:ascii="Times New Roman" w:hAnsi="Times New Roman" w:eastAsia="宋体" w:cs="Times New Roman"/>
                      <w:b w:val="0"/>
                      <w:bCs w:val="0"/>
                      <w:color w:val="auto"/>
                      <w:sz w:val="21"/>
                      <w:szCs w:val="21"/>
                    </w:rPr>
                    <w:t>4.2-1、4.3-1~4.3-6</w:t>
                  </w:r>
                  <w:r>
                    <w:rPr>
                      <w:rFonts w:hint="default" w:ascii="Times New Roman" w:hAnsi="Times New Roman" w:eastAsia="宋体" w:cs="Times New Roman"/>
                      <w:b w:val="0"/>
                      <w:bCs w:val="0"/>
                      <w:color w:val="auto"/>
                      <w:sz w:val="21"/>
                      <w:szCs w:val="21"/>
                      <w:lang w:eastAsia="zh-CN"/>
                    </w:rPr>
                    <w:t>、</w:t>
                  </w:r>
                  <w:r>
                    <w:rPr>
                      <w:rFonts w:hint="default" w:ascii="Times New Roman" w:hAnsi="Times New Roman" w:eastAsia="宋体" w:cs="Times New Roman"/>
                      <w:b w:val="0"/>
                      <w:bCs w:val="0"/>
                      <w:color w:val="auto"/>
                      <w:sz w:val="21"/>
                      <w:szCs w:val="21"/>
                    </w:rPr>
                    <w:t>4.5-2~4.5-4本项目不涉及</w:t>
                  </w:r>
                  <w:r>
                    <w:rPr>
                      <w:rFonts w:hint="eastAsia" w:ascii="Times New Roman" w:hAnsi="Times New Roman" w:eastAsia="宋体" w:cs="Times New Roman"/>
                      <w:b w:val="0"/>
                      <w:bCs w:val="0"/>
                      <w:color w:val="auto"/>
                      <w:sz w:val="21"/>
                      <w:szCs w:val="21"/>
                      <w:lang w:val="en-US" w:eastAsia="zh-CN"/>
                    </w:rPr>
                    <w:t>相关要求</w:t>
                  </w:r>
                  <w:r>
                    <w:rPr>
                      <w:rFonts w:hint="default" w:ascii="Times New Roman" w:hAnsi="Times New Roman" w:eastAsia="宋体" w:cs="Times New Roman"/>
                      <w:b w:val="0"/>
                      <w:bCs w:val="0"/>
                      <w:color w:val="auto"/>
                      <w:sz w:val="21"/>
                      <w:szCs w:val="21"/>
                      <w:lang w:eastAsia="zh-CN"/>
                    </w:rPr>
                    <w:t>；</w:t>
                  </w:r>
                </w:p>
              </w:tc>
              <w:tc>
                <w:tcPr>
                  <w:tcW w:w="372" w:type="pct"/>
                  <w:tcBorders>
                    <w:tl2br w:val="nil"/>
                    <w:tr2bl w:val="nil"/>
                  </w:tcBorders>
                  <w:noWrap w:val="0"/>
                  <w:vAlign w:val="center"/>
                </w:tcPr>
                <w:p w14:paraId="315DF410">
                  <w:pPr>
                    <w:pStyle w:val="3"/>
                    <w:numPr>
                      <w:ilvl w:val="0"/>
                      <w:numId w:val="0"/>
                    </w:numPr>
                    <w:adjustRightInd w:val="0"/>
                    <w:snapToGrid w:val="0"/>
                    <w:spacing w:before="0" w:after="0" w:line="240" w:lineRule="auto"/>
                    <w:ind w:leftChars="0"/>
                    <w:jc w:val="both"/>
                    <w:rPr>
                      <w:rFonts w:hint="default" w:ascii="Times New Roman" w:hAnsi="Times New Roman" w:eastAsia="宋体" w:cs="Times New Roman"/>
                      <w:b w:val="0"/>
                      <w:bCs w:val="0"/>
                      <w:color w:val="auto"/>
                      <w:sz w:val="21"/>
                      <w:szCs w:val="21"/>
                    </w:rPr>
                  </w:pPr>
                  <w:r>
                    <w:rPr>
                      <w:rFonts w:hint="default" w:ascii="Times New Roman" w:hAnsi="Times New Roman" w:eastAsia="宋体" w:cs="Times New Roman"/>
                      <w:b w:val="0"/>
                      <w:bCs w:val="0"/>
                      <w:color w:val="auto"/>
                      <w:sz w:val="21"/>
                      <w:szCs w:val="21"/>
                    </w:rPr>
                    <w:t>符合</w:t>
                  </w:r>
                </w:p>
              </w:tc>
            </w:tr>
          </w:tbl>
          <w:p w14:paraId="5F1A00B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b w:val="0"/>
                <w:bCs w:val="0"/>
                <w:color w:val="auto"/>
                <w:kern w:val="0"/>
                <w:sz w:val="24"/>
                <w:szCs w:val="24"/>
                <w:lang w:val="en-US" w:eastAsia="zh-CN"/>
              </w:rPr>
            </w:pPr>
            <w:r>
              <w:rPr>
                <w:rFonts w:hint="eastAsia" w:ascii="Times New Roman" w:hAnsi="Times New Roman" w:eastAsia="宋体" w:cs="Times New Roman"/>
                <w:b w:val="0"/>
                <w:bCs w:val="0"/>
                <w:color w:val="auto"/>
                <w:kern w:val="0"/>
                <w:sz w:val="24"/>
                <w:szCs w:val="24"/>
                <w:lang w:val="en-US" w:eastAsia="zh-CN"/>
              </w:rPr>
              <w:t>综上所述，本项目建设</w:t>
            </w:r>
            <w:r>
              <w:rPr>
                <w:rFonts w:hint="eastAsia" w:ascii="Times New Roman" w:hAnsi="Times New Roman" w:eastAsia="宋体" w:cs="Times New Roman"/>
                <w:color w:val="auto"/>
                <w:kern w:val="0"/>
                <w:sz w:val="24"/>
                <w:szCs w:val="24"/>
                <w:lang w:val="en-US" w:eastAsia="zh-CN"/>
              </w:rPr>
              <w:t>符合</w:t>
            </w:r>
            <w:r>
              <w:rPr>
                <w:rFonts w:hint="eastAsia" w:ascii="Times New Roman" w:hAnsi="Times New Roman" w:eastAsia="宋体" w:cs="Times New Roman"/>
                <w:b w:val="0"/>
                <w:bCs w:val="0"/>
                <w:color w:val="auto"/>
                <w:kern w:val="0"/>
                <w:sz w:val="24"/>
                <w:szCs w:val="24"/>
                <w:lang w:val="en-US" w:eastAsia="zh-CN"/>
              </w:rPr>
              <w:t>《新疆维吾尔自治区生态环境分区管控动态更新成果》（新环环评发〔2024〕157号）中相关</w:t>
            </w:r>
            <w:r>
              <w:rPr>
                <w:rFonts w:hint="eastAsia" w:ascii="Times New Roman" w:hAnsi="Times New Roman" w:eastAsia="宋体" w:cs="Times New Roman"/>
                <w:color w:val="auto"/>
                <w:kern w:val="0"/>
                <w:sz w:val="24"/>
                <w:szCs w:val="24"/>
                <w:lang w:val="en-US" w:eastAsia="zh-CN"/>
              </w:rPr>
              <w:t>要求。</w:t>
            </w:r>
          </w:p>
          <w:p w14:paraId="0496A2EC">
            <w:pPr>
              <w:keepNext w:val="0"/>
              <w:keepLines w:val="0"/>
              <w:pageBreakBefore w:val="0"/>
              <w:widowControl w:val="0"/>
              <w:kinsoku/>
              <w:wordWrap/>
              <w:overflowPunct/>
              <w:topLinePunct w:val="0"/>
              <w:autoSpaceDE w:val="0"/>
              <w:autoSpaceDN w:val="0"/>
              <w:bidi w:val="0"/>
              <w:adjustRightInd w:val="0"/>
              <w:snapToGrid w:val="0"/>
              <w:spacing w:line="360" w:lineRule="auto"/>
              <w:jc w:val="both"/>
              <w:textAlignment w:val="auto"/>
              <w:rPr>
                <w:rFonts w:hint="eastAsia"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b/>
                <w:bCs/>
                <w:color w:val="auto"/>
                <w:kern w:val="0"/>
                <w:sz w:val="24"/>
                <w:szCs w:val="24"/>
                <w:lang w:val="en-US" w:eastAsia="zh-CN"/>
              </w:rPr>
              <w:t>2.2 与《昌吉回族自治州生态环境分区管控动态更新成果》的符合性分析</w:t>
            </w:r>
          </w:p>
          <w:p w14:paraId="3C127BEC">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color w:val="auto"/>
                <w:kern w:val="0"/>
                <w:sz w:val="24"/>
                <w:szCs w:val="24"/>
                <w:lang w:val="en-US" w:eastAsia="zh-CN"/>
              </w:rPr>
            </w:pPr>
            <w:r>
              <w:rPr>
                <w:rFonts w:hint="eastAsia" w:ascii="Times New Roman" w:hAnsi="Times New Roman" w:eastAsia="宋体" w:cs="Times New Roman"/>
                <w:b w:val="0"/>
                <w:bCs w:val="0"/>
                <w:color w:val="auto"/>
                <w:kern w:val="0"/>
                <w:sz w:val="24"/>
                <w:szCs w:val="24"/>
                <w:lang w:val="en-US" w:eastAsia="zh-CN"/>
              </w:rPr>
              <w:t>本项目位于昌吉市大西渠镇新戽村昌吉市再生资源回收利用产业园内，根据《昌吉回族自治州生态环境分区管控动态更新成果》，本项目处于昌吉市重点管控单元，环境管控单名称为昌吉州西部限采区，环境管控单元编码为ZH65230120008。</w:t>
            </w:r>
          </w:p>
          <w:p w14:paraId="57854042">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eastAsia="宋体" w:cs="Times New Roman"/>
                <w:b w:val="0"/>
                <w:bCs w:val="0"/>
                <w:color w:val="auto"/>
                <w:kern w:val="0"/>
                <w:sz w:val="24"/>
                <w:szCs w:val="24"/>
                <w:lang w:val="en-US" w:eastAsia="zh-CN"/>
              </w:rPr>
            </w:pPr>
            <w:r>
              <w:rPr>
                <w:color w:val="auto"/>
              </w:rPr>
              <w:drawing>
                <wp:inline distT="0" distB="0" distL="114300" distR="114300">
                  <wp:extent cx="4368800" cy="3614420"/>
                  <wp:effectExtent l="0" t="0" r="3175" b="5080"/>
                  <wp:docPr id="8"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2"/>
                          <pic:cNvPicPr>
                            <a:picLocks noChangeAspect="1"/>
                          </pic:cNvPicPr>
                        </pic:nvPicPr>
                        <pic:blipFill>
                          <a:blip r:embed="rId17"/>
                          <a:stretch>
                            <a:fillRect/>
                          </a:stretch>
                        </pic:blipFill>
                        <pic:spPr>
                          <a:xfrm>
                            <a:off x="0" y="0"/>
                            <a:ext cx="4368800" cy="3614420"/>
                          </a:xfrm>
                          <a:prstGeom prst="rect">
                            <a:avLst/>
                          </a:prstGeom>
                          <a:noFill/>
                          <a:ln>
                            <a:noFill/>
                          </a:ln>
                        </pic:spPr>
                      </pic:pic>
                    </a:graphicData>
                  </a:graphic>
                </wp:inline>
              </w:drawing>
            </w:r>
          </w:p>
          <w:p w14:paraId="336DB679">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kern w:val="0"/>
                <w:sz w:val="24"/>
                <w:szCs w:val="24"/>
                <w:lang w:val="en-US" w:eastAsia="zh-CN"/>
              </w:rPr>
            </w:pPr>
            <w:r>
              <w:rPr>
                <w:rFonts w:hint="eastAsia" w:ascii="Times New Roman" w:hAnsi="Times New Roman" w:eastAsia="宋体" w:cs="Times New Roman"/>
                <w:b/>
                <w:bCs/>
                <w:color w:val="auto"/>
                <w:kern w:val="0"/>
                <w:sz w:val="21"/>
                <w:szCs w:val="21"/>
                <w:lang w:val="en-US" w:eastAsia="zh-CN"/>
              </w:rPr>
              <w:t>附图1-2   项目与昌吉州西部限采区位置图</w:t>
            </w:r>
          </w:p>
          <w:p w14:paraId="5A60AC6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color w:val="auto"/>
                <w:kern w:val="0"/>
                <w:sz w:val="24"/>
                <w:szCs w:val="24"/>
                <w:lang w:val="en-US" w:eastAsia="zh-CN"/>
              </w:rPr>
            </w:pPr>
            <w:r>
              <w:rPr>
                <w:rFonts w:hint="eastAsia" w:ascii="Times New Roman" w:hAnsi="Times New Roman" w:eastAsia="宋体" w:cs="Times New Roman"/>
                <w:b w:val="0"/>
                <w:bCs w:val="0"/>
                <w:color w:val="auto"/>
                <w:kern w:val="0"/>
                <w:sz w:val="24"/>
                <w:szCs w:val="24"/>
                <w:lang w:val="en-US" w:eastAsia="zh-CN"/>
              </w:rPr>
              <w:t>本项目在昌吉州环境管控单元中的位置</w:t>
            </w:r>
            <w:r>
              <w:rPr>
                <w:rFonts w:hint="eastAsia" w:ascii="Times New Roman" w:hAnsi="Times New Roman" w:eastAsia="宋体" w:cs="Times New Roman"/>
                <w:b w:val="0"/>
                <w:bCs w:val="0"/>
                <w:color w:val="auto"/>
                <w:kern w:val="0"/>
                <w:sz w:val="24"/>
                <w:szCs w:val="24"/>
                <w:highlight w:val="none"/>
                <w:lang w:val="en-US" w:eastAsia="zh-CN"/>
              </w:rPr>
              <w:t>详见</w:t>
            </w:r>
            <w:r>
              <w:rPr>
                <w:rFonts w:hint="eastAsia" w:ascii="Times New Roman" w:hAnsi="Times New Roman" w:eastAsia="宋体" w:cs="Times New Roman"/>
                <w:b/>
                <w:bCs/>
                <w:color w:val="auto"/>
                <w:kern w:val="0"/>
                <w:sz w:val="24"/>
                <w:szCs w:val="24"/>
                <w:highlight w:val="none"/>
                <w:lang w:val="en-US" w:eastAsia="zh-CN"/>
              </w:rPr>
              <w:t>附图1-3</w:t>
            </w:r>
            <w:r>
              <w:rPr>
                <w:rFonts w:hint="eastAsia" w:ascii="Times New Roman" w:hAnsi="Times New Roman" w:eastAsia="宋体" w:cs="Times New Roman"/>
                <w:b w:val="0"/>
                <w:bCs w:val="0"/>
                <w:color w:val="auto"/>
                <w:kern w:val="0"/>
                <w:sz w:val="24"/>
                <w:szCs w:val="24"/>
                <w:highlight w:val="none"/>
                <w:lang w:val="en-US" w:eastAsia="zh-CN"/>
              </w:rPr>
              <w:t>，项目与</w:t>
            </w:r>
            <w:r>
              <w:rPr>
                <w:rFonts w:hint="eastAsia" w:ascii="Times New Roman" w:hAnsi="Times New Roman" w:eastAsia="宋体" w:cs="Times New Roman"/>
                <w:b w:val="0"/>
                <w:bCs w:val="0"/>
                <w:color w:val="auto"/>
                <w:kern w:val="0"/>
                <w:sz w:val="24"/>
                <w:szCs w:val="24"/>
                <w:lang w:val="en-US" w:eastAsia="zh-CN"/>
              </w:rPr>
              <w:t>《昌吉回族自治州生态环境分区管控动态更新成果》的符合性分析见表1-3。</w:t>
            </w:r>
          </w:p>
          <w:p w14:paraId="5329C109">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val="0"/>
                <w:bCs w:val="0"/>
                <w:color w:val="auto"/>
                <w:kern w:val="0"/>
                <w:sz w:val="24"/>
                <w:szCs w:val="24"/>
                <w:lang w:val="en-US" w:eastAsia="zh-CN"/>
              </w:rPr>
            </w:pPr>
            <w:r>
              <w:rPr>
                <w:rFonts w:hint="eastAsia" w:ascii="Times New Roman" w:hAnsi="Times New Roman" w:eastAsia="宋体" w:cs="Times New Roman"/>
                <w:b/>
                <w:bCs/>
                <w:color w:val="auto"/>
                <w:kern w:val="0"/>
                <w:sz w:val="21"/>
                <w:szCs w:val="21"/>
                <w:lang w:val="en-US" w:eastAsia="zh-CN"/>
              </w:rPr>
              <w:t>表1-3 项目与《昌吉回族自治州生态环境分区管控动态更新成果》符合性分析一览表</w:t>
            </w:r>
          </w:p>
          <w:tbl>
            <w:tblPr>
              <w:tblStyle w:val="28"/>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30"/>
              <w:gridCol w:w="3927"/>
              <w:gridCol w:w="2042"/>
              <w:gridCol w:w="708"/>
            </w:tblGrid>
            <w:tr w14:paraId="02754A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31" w:type="pct"/>
                  <w:tcBorders>
                    <w:bottom w:val="single" w:color="auto" w:sz="12" w:space="0"/>
                  </w:tcBorders>
                  <w:noWrap w:val="0"/>
                  <w:vAlign w:val="center"/>
                </w:tcPr>
                <w:p w14:paraId="4CA265D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rPr>
                    <w:t>管控名称</w:t>
                  </w:r>
                </w:p>
              </w:tc>
              <w:tc>
                <w:tcPr>
                  <w:tcW w:w="2686" w:type="pct"/>
                  <w:tcBorders>
                    <w:bottom w:val="single" w:color="auto" w:sz="12" w:space="0"/>
                  </w:tcBorders>
                  <w:noWrap w:val="0"/>
                  <w:vAlign w:val="center"/>
                </w:tcPr>
                <w:p w14:paraId="4516FAC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rPr>
                    <w:t>管控要求</w:t>
                  </w:r>
                </w:p>
              </w:tc>
              <w:tc>
                <w:tcPr>
                  <w:tcW w:w="1397" w:type="pct"/>
                  <w:tcBorders>
                    <w:bottom w:val="single" w:color="auto" w:sz="12" w:space="0"/>
                  </w:tcBorders>
                  <w:noWrap w:val="0"/>
                  <w:vAlign w:val="center"/>
                </w:tcPr>
                <w:p w14:paraId="09C4ECC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rPr>
                    <w:t>项目概况</w:t>
                  </w:r>
                </w:p>
              </w:tc>
              <w:tc>
                <w:tcPr>
                  <w:tcW w:w="484" w:type="pct"/>
                  <w:tcBorders>
                    <w:bottom w:val="single" w:color="auto" w:sz="12" w:space="0"/>
                  </w:tcBorders>
                  <w:noWrap w:val="0"/>
                  <w:vAlign w:val="center"/>
                </w:tcPr>
                <w:p w14:paraId="7148D73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符合性</w:t>
                  </w:r>
                </w:p>
              </w:tc>
            </w:tr>
            <w:tr w14:paraId="657714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31" w:type="pct"/>
                  <w:tcBorders>
                    <w:top w:val="single" w:color="auto" w:sz="12" w:space="0"/>
                    <w:tl2br w:val="nil"/>
                    <w:tr2bl w:val="nil"/>
                  </w:tcBorders>
                  <w:noWrap w:val="0"/>
                  <w:vAlign w:val="center"/>
                </w:tcPr>
                <w:p w14:paraId="7B5A87D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空间布局约束</w:t>
                  </w:r>
                </w:p>
              </w:tc>
              <w:tc>
                <w:tcPr>
                  <w:tcW w:w="2686" w:type="pct"/>
                  <w:tcBorders>
                    <w:top w:val="single" w:color="auto" w:sz="12" w:space="0"/>
                    <w:tl2br w:val="nil"/>
                    <w:tr2bl w:val="nil"/>
                  </w:tcBorders>
                  <w:noWrap w:val="0"/>
                  <w:vAlign w:val="center"/>
                </w:tcPr>
                <w:p w14:paraId="6D11955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1、严格控制缺水地区、水污染严重区域和敏感区域高耗水、高污染行业发展。</w:t>
                  </w:r>
                </w:p>
              </w:tc>
              <w:tc>
                <w:tcPr>
                  <w:tcW w:w="1397" w:type="pct"/>
                  <w:tcBorders>
                    <w:top w:val="single" w:color="auto" w:sz="12" w:space="0"/>
                    <w:tl2br w:val="nil"/>
                    <w:tr2bl w:val="nil"/>
                  </w:tcBorders>
                  <w:noWrap w:val="0"/>
                  <w:vAlign w:val="center"/>
                </w:tcPr>
                <w:p w14:paraId="04034223">
                  <w:pPr>
                    <w:pStyle w:val="58"/>
                    <w:keepNext w:val="0"/>
                    <w:keepLines w:val="0"/>
                    <w:pageBreakBefore w:val="0"/>
                    <w:widowControl w:val="0"/>
                    <w:kinsoku/>
                    <w:overflowPunct/>
                    <w:topLinePunct w:val="0"/>
                    <w:autoSpaceDE/>
                    <w:autoSpaceDN/>
                    <w:bidi w:val="0"/>
                    <w:spacing w:beforeLines="0" w:afterLines="0" w:line="240" w:lineRule="auto"/>
                    <w:ind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rPr>
                    <w:t>本项目</w:t>
                  </w:r>
                  <w:r>
                    <w:rPr>
                      <w:rFonts w:hint="eastAsia" w:ascii="Times New Roman" w:hAnsi="Times New Roman" w:cs="Times New Roman"/>
                      <w:color w:val="auto"/>
                      <w:lang w:val="en-US" w:eastAsia="zh-CN"/>
                    </w:rPr>
                    <w:t>属于建筑垃圾调配场建设项目，项目用水由市政供水管网提供，不属于</w:t>
                  </w:r>
                  <w:r>
                    <w:rPr>
                      <w:rFonts w:hint="eastAsia" w:ascii="Times New Roman" w:hAnsi="Times New Roman" w:eastAsia="宋体" w:cs="Times New Roman"/>
                      <w:color w:val="auto"/>
                      <w:lang w:val="en-US" w:eastAsia="zh-CN"/>
                    </w:rPr>
                    <w:t>高耗水、高污染项目</w:t>
                  </w:r>
                  <w:r>
                    <w:rPr>
                      <w:rFonts w:hint="default" w:ascii="Times New Roman" w:hAnsi="Times New Roman" w:cs="Times New Roman"/>
                      <w:color w:val="auto"/>
                    </w:rPr>
                    <w:t>。</w:t>
                  </w:r>
                </w:p>
              </w:tc>
              <w:tc>
                <w:tcPr>
                  <w:tcW w:w="484" w:type="pct"/>
                  <w:tcBorders>
                    <w:top w:val="single" w:color="auto" w:sz="12" w:space="0"/>
                    <w:tl2br w:val="nil"/>
                    <w:tr2bl w:val="nil"/>
                  </w:tcBorders>
                  <w:noWrap w:val="0"/>
                  <w:vAlign w:val="center"/>
                </w:tcPr>
                <w:p w14:paraId="13B1AA6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59EDD9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31" w:type="pct"/>
                  <w:tcBorders>
                    <w:tl2br w:val="nil"/>
                    <w:tr2bl w:val="nil"/>
                  </w:tcBorders>
                  <w:noWrap w:val="0"/>
                  <w:vAlign w:val="center"/>
                </w:tcPr>
                <w:p w14:paraId="72CEDFD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污染物排放管控</w:t>
                  </w:r>
                </w:p>
              </w:tc>
              <w:tc>
                <w:tcPr>
                  <w:tcW w:w="2686" w:type="pct"/>
                  <w:tcBorders>
                    <w:tl2br w:val="nil"/>
                    <w:tr2bl w:val="nil"/>
                  </w:tcBorders>
                  <w:noWrap w:val="0"/>
                  <w:vAlign w:val="center"/>
                </w:tcPr>
                <w:p w14:paraId="0557AED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推进地表水与地下水协同防治。以傍河型地下水饮用水水源为重点，防范受污染河段侧渗和垂直补给对地下水污染。加强化学品生产企业、工业聚集区、矿山开采区等污染源的地表、地下协同防治与环境风险管控。加强工业污染防治。推动重点行业、重点企业绿色发展，严格落实水污染物排放标准和排污许可制度。支持企业积极实施节水技术改造，加强工业园区污水集中处理设施运行管理，加快再生水回用设施建设，提升园区水资源循环利用水平。</w:t>
                  </w:r>
                </w:p>
              </w:tc>
              <w:tc>
                <w:tcPr>
                  <w:tcW w:w="1397" w:type="pct"/>
                  <w:tcBorders>
                    <w:tl2br w:val="nil"/>
                    <w:tr2bl w:val="nil"/>
                  </w:tcBorders>
                  <w:noWrap w:val="0"/>
                  <w:vAlign w:val="center"/>
                </w:tcPr>
                <w:p w14:paraId="7CC074BC">
                  <w:pPr>
                    <w:pStyle w:val="58"/>
                    <w:keepNext w:val="0"/>
                    <w:keepLines w:val="0"/>
                    <w:pageBreakBefore w:val="0"/>
                    <w:widowControl w:val="0"/>
                    <w:kinsoku/>
                    <w:overflowPunct/>
                    <w:topLinePunct w:val="0"/>
                    <w:autoSpaceDE/>
                    <w:autoSpaceDN/>
                    <w:bidi w:val="0"/>
                    <w:spacing w:beforeLines="0" w:afterLines="0" w:line="240" w:lineRule="auto"/>
                    <w:ind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rPr>
                    <w:t>本项目</w:t>
                  </w:r>
                  <w:r>
                    <w:rPr>
                      <w:rFonts w:hint="eastAsia" w:ascii="Times New Roman" w:hAnsi="Times New Roman" w:cs="Times New Roman"/>
                      <w:color w:val="auto"/>
                      <w:lang w:val="en-US" w:eastAsia="zh-CN"/>
                    </w:rPr>
                    <w:t>属于建筑垃圾调配场建设项目，</w:t>
                  </w:r>
                  <w:r>
                    <w:rPr>
                      <w:rFonts w:hint="default" w:ascii="Times New Roman" w:hAnsi="Times New Roman" w:cs="Times New Roman"/>
                      <w:bCs/>
                      <w:color w:val="auto"/>
                      <w:sz w:val="21"/>
                      <w:szCs w:val="21"/>
                      <w:vertAlign w:val="baseline"/>
                      <w:lang w:val="en-US" w:eastAsia="zh-CN"/>
                    </w:rPr>
                    <w:t>场区四周布设总长约725m的防风抑散网，并结合喷淋等抑尘设施</w:t>
                  </w:r>
                  <w:r>
                    <w:rPr>
                      <w:rFonts w:hint="default" w:ascii="Times New Roman" w:hAnsi="Times New Roman" w:cs="Times New Roman"/>
                      <w:bCs w:val="0"/>
                      <w:color w:val="auto"/>
                    </w:rPr>
                    <w:t>。</w:t>
                  </w:r>
                </w:p>
              </w:tc>
              <w:tc>
                <w:tcPr>
                  <w:tcW w:w="484" w:type="pct"/>
                  <w:tcBorders>
                    <w:tl2br w:val="nil"/>
                    <w:tr2bl w:val="nil"/>
                  </w:tcBorders>
                  <w:noWrap w:val="0"/>
                  <w:vAlign w:val="center"/>
                </w:tcPr>
                <w:p w14:paraId="2E44215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50D6C6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31" w:type="pct"/>
                  <w:tcBorders>
                    <w:tl2br w:val="nil"/>
                    <w:tr2bl w:val="nil"/>
                  </w:tcBorders>
                  <w:noWrap w:val="0"/>
                  <w:vAlign w:val="center"/>
                </w:tcPr>
                <w:p w14:paraId="17324A6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环境风险防控</w:t>
                  </w:r>
                </w:p>
              </w:tc>
              <w:tc>
                <w:tcPr>
                  <w:tcW w:w="2686" w:type="pct"/>
                  <w:tcBorders>
                    <w:tl2br w:val="nil"/>
                    <w:tr2bl w:val="nil"/>
                  </w:tcBorders>
                  <w:noWrap w:val="0"/>
                  <w:vAlign w:val="center"/>
                </w:tcPr>
                <w:p w14:paraId="3D67F4F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1、强化重点区域地下水环境风险管控。对化学品生产企业、工业集聚区、尾矿库、矿山开采区、危险废物处置场、垃圾填埋场等地下水污染源及周边区域，逐步开展地下水环境状况调查评估，加强风险管控。</w:t>
                  </w:r>
                </w:p>
              </w:tc>
              <w:tc>
                <w:tcPr>
                  <w:tcW w:w="1397" w:type="pct"/>
                  <w:tcBorders>
                    <w:tl2br w:val="nil"/>
                    <w:tr2bl w:val="nil"/>
                  </w:tcBorders>
                  <w:noWrap w:val="0"/>
                  <w:vAlign w:val="center"/>
                </w:tcPr>
                <w:p w14:paraId="5502A06B">
                  <w:pPr>
                    <w:keepNext w:val="0"/>
                    <w:keepLines w:val="0"/>
                    <w:pageBreakBefore w:val="0"/>
                    <w:widowControl w:val="0"/>
                    <w:kinsoku/>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本项目不涉及环境风险管控内容。</w:t>
                  </w:r>
                </w:p>
              </w:tc>
              <w:tc>
                <w:tcPr>
                  <w:tcW w:w="484" w:type="pct"/>
                  <w:tcBorders>
                    <w:tl2br w:val="nil"/>
                    <w:tr2bl w:val="nil"/>
                  </w:tcBorders>
                  <w:noWrap w:val="0"/>
                  <w:vAlign w:val="center"/>
                </w:tcPr>
                <w:p w14:paraId="78493C7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r w14:paraId="066D3B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31" w:type="pct"/>
                  <w:tcBorders>
                    <w:tl2br w:val="nil"/>
                    <w:tr2bl w:val="nil"/>
                  </w:tcBorders>
                  <w:noWrap w:val="0"/>
                  <w:vAlign w:val="center"/>
                </w:tcPr>
                <w:p w14:paraId="77E5C61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rPr>
                    <w:t>资源</w:t>
                  </w:r>
                  <w:r>
                    <w:rPr>
                      <w:rFonts w:hint="eastAsia" w:ascii="Times New Roman" w:hAnsi="Times New Roman" w:eastAsia="宋体" w:cs="Times New Roman"/>
                      <w:color w:val="auto"/>
                      <w:sz w:val="21"/>
                      <w:szCs w:val="21"/>
                      <w:lang w:val="en-US" w:eastAsia="zh-CN"/>
                    </w:rPr>
                    <w:t>开发</w:t>
                  </w:r>
                  <w:r>
                    <w:rPr>
                      <w:rFonts w:hint="default" w:ascii="Times New Roman" w:hAnsi="Times New Roman" w:eastAsia="宋体" w:cs="Times New Roman"/>
                      <w:color w:val="auto"/>
                      <w:sz w:val="21"/>
                      <w:szCs w:val="21"/>
                    </w:rPr>
                    <w:t>效率</w:t>
                  </w:r>
                </w:p>
              </w:tc>
              <w:tc>
                <w:tcPr>
                  <w:tcW w:w="2686" w:type="pct"/>
                  <w:tcBorders>
                    <w:tl2br w:val="nil"/>
                    <w:tr2bl w:val="nil"/>
                  </w:tcBorders>
                  <w:noWrap w:val="0"/>
                  <w:vAlign w:val="center"/>
                </w:tcPr>
                <w:p w14:paraId="4153A801">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1、县级以上人民政府水行政主管部门应当合理配置地表水、地下水，从严控制地下水取水总量。</w:t>
                  </w:r>
                </w:p>
                <w:p w14:paraId="4FAFE6A2">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2、严守水资源开发利用控制、用水效率控制和水功能区限制纳污“三条红线”，严格实行区域用水总量和强度控制，强化用水定额管理。推进地下水超采综合治理。</w:t>
                  </w:r>
                </w:p>
              </w:tc>
              <w:tc>
                <w:tcPr>
                  <w:tcW w:w="1397" w:type="pct"/>
                  <w:tcBorders>
                    <w:tl2br w:val="nil"/>
                    <w:tr2bl w:val="nil"/>
                  </w:tcBorders>
                  <w:noWrap w:val="0"/>
                  <w:vAlign w:val="center"/>
                </w:tcPr>
                <w:p w14:paraId="6576F32F">
                  <w:pPr>
                    <w:pStyle w:val="58"/>
                    <w:keepNext w:val="0"/>
                    <w:keepLines w:val="0"/>
                    <w:pageBreakBefore w:val="0"/>
                    <w:widowControl w:val="0"/>
                    <w:kinsoku/>
                    <w:overflowPunct/>
                    <w:topLinePunct w:val="0"/>
                    <w:autoSpaceDE/>
                    <w:autoSpaceDN/>
                    <w:bidi w:val="0"/>
                    <w:spacing w:beforeLines="0" w:afterLines="0" w:line="240" w:lineRule="auto"/>
                    <w:ind w:firstLine="0" w:firstLineChars="0"/>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rPr>
                    <w:t>本项目</w:t>
                  </w:r>
                  <w:r>
                    <w:rPr>
                      <w:rFonts w:hint="eastAsia" w:ascii="Times New Roman" w:hAnsi="Times New Roman" w:cs="Times New Roman"/>
                      <w:color w:val="auto"/>
                      <w:lang w:val="en-US" w:eastAsia="zh-CN"/>
                    </w:rPr>
                    <w:t>属于建筑垃圾调配场建设项目，</w:t>
                  </w:r>
                  <w:r>
                    <w:rPr>
                      <w:rFonts w:hint="default" w:ascii="Times New Roman" w:hAnsi="Times New Roman" w:eastAsia="宋体" w:cs="Times New Roman"/>
                      <w:color w:val="auto"/>
                      <w:sz w:val="21"/>
                      <w:szCs w:val="21"/>
                      <w:lang w:val="en-US" w:eastAsia="zh-CN"/>
                    </w:rPr>
                    <w:t>项目用水由市政供水管网提供，不属于高耗水项目</w:t>
                  </w:r>
                  <w:r>
                    <w:rPr>
                      <w:rFonts w:hint="eastAsia" w:ascii="Times New Roman" w:hAnsi="Times New Roman" w:eastAsia="宋体" w:cs="Times New Roman"/>
                      <w:color w:val="auto"/>
                      <w:sz w:val="21"/>
                      <w:szCs w:val="21"/>
                      <w:lang w:val="en-US" w:eastAsia="zh-CN"/>
                    </w:rPr>
                    <w:t>，不涉及地下水开采</w:t>
                  </w:r>
                  <w:r>
                    <w:rPr>
                      <w:rFonts w:hint="default" w:ascii="Times New Roman" w:hAnsi="Times New Roman" w:eastAsia="宋体" w:cs="Times New Roman"/>
                      <w:color w:val="auto"/>
                      <w:sz w:val="21"/>
                      <w:szCs w:val="21"/>
                      <w:lang w:val="en-US" w:eastAsia="zh-CN"/>
                    </w:rPr>
                    <w:t>。</w:t>
                  </w:r>
                </w:p>
              </w:tc>
              <w:tc>
                <w:tcPr>
                  <w:tcW w:w="484" w:type="pct"/>
                  <w:tcBorders>
                    <w:tl2br w:val="nil"/>
                    <w:tr2bl w:val="nil"/>
                  </w:tcBorders>
                  <w:noWrap w:val="0"/>
                  <w:vAlign w:val="center"/>
                </w:tcPr>
                <w:p w14:paraId="5294335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符合</w:t>
                  </w:r>
                </w:p>
              </w:tc>
            </w:tr>
          </w:tbl>
          <w:p w14:paraId="41A6023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b w:val="0"/>
                <w:bCs w:val="0"/>
                <w:color w:val="auto"/>
                <w:kern w:val="0"/>
                <w:sz w:val="24"/>
                <w:szCs w:val="24"/>
                <w:lang w:val="en-US" w:eastAsia="zh-CN"/>
              </w:rPr>
              <w:t>综上所述，本项目的建设符合《昌吉回族自治州生态环境分区管控动态更新成果》中的相关要求。</w:t>
            </w:r>
          </w:p>
          <w:p w14:paraId="08CD87E8">
            <w:pPr>
              <w:keepNext w:val="0"/>
              <w:keepLines w:val="0"/>
              <w:pageBreakBefore w:val="0"/>
              <w:widowControl w:val="0"/>
              <w:kinsoku/>
              <w:wordWrap/>
              <w:overflowPunct/>
              <w:topLinePunct w:val="0"/>
              <w:autoSpaceDE w:val="0"/>
              <w:autoSpaceDN w:val="0"/>
              <w:bidi w:val="0"/>
              <w:adjustRightInd w:val="0"/>
              <w:snapToGrid w:val="0"/>
              <w:spacing w:line="360" w:lineRule="auto"/>
              <w:jc w:val="both"/>
              <w:textAlignment w:val="auto"/>
              <w:rPr>
                <w:rFonts w:hint="eastAsia" w:ascii="Times New Roman" w:hAnsi="Times New Roman" w:eastAsia="宋体" w:cs="Times New Roman"/>
                <w:b/>
                <w:bCs/>
                <w:color w:val="auto"/>
                <w:kern w:val="0"/>
                <w:sz w:val="24"/>
                <w:szCs w:val="24"/>
                <w:lang w:val="en-US" w:eastAsia="zh-CN"/>
              </w:rPr>
            </w:pPr>
            <w:r>
              <w:rPr>
                <w:rFonts w:hint="eastAsia" w:ascii="Times New Roman" w:hAnsi="Times New Roman" w:eastAsia="宋体" w:cs="Times New Roman"/>
                <w:b/>
                <w:bCs/>
                <w:color w:val="auto"/>
                <w:kern w:val="0"/>
                <w:sz w:val="24"/>
                <w:szCs w:val="24"/>
                <w:lang w:val="en-US" w:eastAsia="zh-CN"/>
              </w:rPr>
              <w:t>3 相关规划的符合性分析</w:t>
            </w:r>
          </w:p>
          <w:p w14:paraId="2480778A">
            <w:pPr>
              <w:keepNext w:val="0"/>
              <w:keepLines w:val="0"/>
              <w:pageBreakBefore w:val="0"/>
              <w:widowControl w:val="0"/>
              <w:kinsoku/>
              <w:wordWrap/>
              <w:overflowPunct/>
              <w:topLinePunct w:val="0"/>
              <w:autoSpaceDE w:val="0"/>
              <w:autoSpaceDN w:val="0"/>
              <w:bidi w:val="0"/>
              <w:adjustRightInd w:val="0"/>
              <w:snapToGrid w:val="0"/>
              <w:spacing w:line="360" w:lineRule="auto"/>
              <w:jc w:val="both"/>
              <w:textAlignment w:val="auto"/>
              <w:rPr>
                <w:rFonts w:hint="default"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b/>
                <w:bCs/>
                <w:color w:val="auto"/>
                <w:kern w:val="0"/>
                <w:sz w:val="24"/>
                <w:szCs w:val="24"/>
                <w:lang w:val="en-US" w:eastAsia="zh-CN"/>
              </w:rPr>
              <w:t>3.1 与《新疆生态环境保护“十四五”规划》的符合性分析</w:t>
            </w:r>
          </w:p>
          <w:p w14:paraId="749F47A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color w:val="auto"/>
                <w:kern w:val="0"/>
                <w:sz w:val="24"/>
                <w:szCs w:val="24"/>
                <w:lang w:val="en-US" w:eastAsia="zh-CN"/>
              </w:rPr>
              <w:t>“规划”中指出推进固体废物源头减量和资源化利用。以尾矿和共伴生矿、煤矸石、炉渣、粉煤灰、脱硫石膏、冶炼渣、建筑垃圾等为重点，持续推进固体废物综合利用和环境整治，不断提高大宗固体废物资源化利用水平。持续开展固体废物非法转移和倾倒排查整治，持续保持打击洋垃圾走私高压态势。推行生活垃圾分类，加快建设县（市）生活垃圾处理设施，到2025年，全疆城市生活垃圾无害化处理率达到99%以上。</w:t>
            </w:r>
          </w:p>
          <w:p w14:paraId="4FD93FA1">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color w:val="auto"/>
                <w:kern w:val="0"/>
                <w:sz w:val="24"/>
                <w:szCs w:val="24"/>
                <w:lang w:val="en-US" w:eastAsia="zh-CN"/>
              </w:rPr>
              <w:t>本项目为昌吉市的环保基础设施工程，项目的建设能有效收集昌吉市范围内施工过程中产生的建筑垃圾，避免了施工过程中产生的建筑垃圾乱堆乱放而对环境产生的二次污染，降低了环境影响，保护了生态环境，符合《新疆生态环境保护“十四五”规划》要求。</w:t>
            </w:r>
          </w:p>
          <w:p w14:paraId="4D0DE0A1">
            <w:pPr>
              <w:keepNext w:val="0"/>
              <w:keepLines w:val="0"/>
              <w:pageBreakBefore w:val="0"/>
              <w:widowControl w:val="0"/>
              <w:kinsoku/>
              <w:wordWrap/>
              <w:overflowPunct/>
              <w:topLinePunct w:val="0"/>
              <w:autoSpaceDE w:val="0"/>
              <w:autoSpaceDN w:val="0"/>
              <w:bidi w:val="0"/>
              <w:adjustRightInd w:val="0"/>
              <w:snapToGrid w:val="0"/>
              <w:spacing w:line="360" w:lineRule="auto"/>
              <w:jc w:val="both"/>
              <w:textAlignment w:val="auto"/>
              <w:rPr>
                <w:rFonts w:hint="default" w:ascii="Times New Roman" w:hAnsi="Times New Roman" w:eastAsia="宋体" w:cs="Times New Roman"/>
                <w:b/>
                <w:bCs/>
                <w:color w:val="auto"/>
                <w:kern w:val="0"/>
                <w:sz w:val="24"/>
                <w:szCs w:val="24"/>
                <w:lang w:val="en-US" w:eastAsia="zh-CN"/>
              </w:rPr>
            </w:pPr>
            <w:r>
              <w:rPr>
                <w:rFonts w:hint="eastAsia" w:ascii="Times New Roman" w:hAnsi="Times New Roman" w:eastAsia="宋体" w:cs="Times New Roman"/>
                <w:b/>
                <w:bCs/>
                <w:color w:val="auto"/>
                <w:kern w:val="0"/>
                <w:sz w:val="24"/>
                <w:szCs w:val="24"/>
                <w:lang w:val="en-US" w:eastAsia="zh-CN"/>
              </w:rPr>
              <w:t>3.2 与《昌吉回族自治州生态环境保护与建设“十四五”规划》的符合性分析</w:t>
            </w:r>
          </w:p>
          <w:p w14:paraId="2F914F11">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color w:val="auto"/>
                <w:kern w:val="0"/>
                <w:sz w:val="24"/>
                <w:szCs w:val="24"/>
                <w:lang w:val="en-US" w:eastAsia="zh-CN"/>
              </w:rPr>
              <w:t>《规划》中指出：加强建筑垃圾、农业固体废物处理处置。加快推进建筑垃圾源头减量，推广绿色建筑，推行绿色建造方式，提倡绿色构造、绿色施工、绿色室内装修。加强农业废弃物资源化利用。大力推广标准地膜，稳步推进全生物降解地膜示范应用，健全农田废旧地膜回收加工体系。推广畜禽粪污全量收集还田、污水肥料化利用等模式。加强农作物秸秆、果树枝条、果壳等农业废弃物饲料化、肥料化利用，推广玉米全株青贮。加强农药包装废弃物回收处理，建立农药包装废弃物有偿分类回收试点。到2025年，当季农膜使用量回收率达到85%以上，养殖废弃物综合利用率达到80%以上，秸秆综合利用率达到98%以上。</w:t>
            </w:r>
          </w:p>
          <w:p w14:paraId="5EE0D403">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color w:val="auto"/>
                <w:kern w:val="0"/>
                <w:sz w:val="24"/>
                <w:szCs w:val="24"/>
                <w:lang w:val="en-US" w:eastAsia="zh-CN"/>
              </w:rPr>
              <w:t>本项目为昌吉市的环保基础设施工程，项目的建设能有效收集昌吉市范围内施工过程中产生的建筑垃圾，避免了施工过程中产生的建筑垃圾乱堆乱放而对环境产生的二次污染，降低了环境影响，保护了生态环境，符合《昌吉回族自治州生态环境保护与建设“十四五”规划》要求。</w:t>
            </w:r>
          </w:p>
          <w:p w14:paraId="7B4EA0B0">
            <w:pPr>
              <w:keepNext w:val="0"/>
              <w:keepLines w:val="0"/>
              <w:pageBreakBefore w:val="0"/>
              <w:widowControl w:val="0"/>
              <w:kinsoku/>
              <w:wordWrap/>
              <w:overflowPunct/>
              <w:topLinePunct w:val="0"/>
              <w:autoSpaceDE w:val="0"/>
              <w:autoSpaceDN w:val="0"/>
              <w:bidi w:val="0"/>
              <w:adjustRightInd w:val="0"/>
              <w:snapToGrid w:val="0"/>
              <w:spacing w:line="360" w:lineRule="auto"/>
              <w:jc w:val="both"/>
              <w:textAlignment w:val="auto"/>
              <w:rPr>
                <w:rFonts w:hint="default" w:ascii="Times New Roman" w:hAnsi="Times New Roman" w:eastAsia="宋体" w:cs="Times New Roman"/>
                <w:b/>
                <w:bCs/>
                <w:color w:val="auto"/>
                <w:kern w:val="0"/>
                <w:sz w:val="24"/>
                <w:szCs w:val="24"/>
                <w:lang w:val="en-US" w:eastAsia="zh-CN"/>
              </w:rPr>
            </w:pPr>
            <w:r>
              <w:rPr>
                <w:rFonts w:hint="eastAsia" w:cs="Times New Roman"/>
                <w:b/>
                <w:bCs/>
                <w:color w:val="auto"/>
                <w:kern w:val="0"/>
                <w:sz w:val="24"/>
                <w:szCs w:val="24"/>
                <w:lang w:val="en-US" w:eastAsia="zh-CN"/>
              </w:rPr>
              <w:t xml:space="preserve">3.3 </w:t>
            </w:r>
            <w:r>
              <w:rPr>
                <w:rFonts w:hint="eastAsia" w:ascii="Times New Roman" w:hAnsi="Times New Roman" w:eastAsia="宋体" w:cs="Times New Roman"/>
                <w:b/>
                <w:bCs/>
                <w:color w:val="auto"/>
                <w:kern w:val="0"/>
                <w:sz w:val="24"/>
                <w:szCs w:val="24"/>
                <w:lang w:val="en-US" w:eastAsia="zh-CN"/>
              </w:rPr>
              <w:t>与《昌吉市</w:t>
            </w:r>
            <w:r>
              <w:rPr>
                <w:rFonts w:hint="eastAsia" w:eastAsia="宋体" w:cs="Times New Roman"/>
                <w:b/>
                <w:bCs/>
                <w:color w:val="auto"/>
                <w:kern w:val="0"/>
                <w:sz w:val="24"/>
                <w:szCs w:val="24"/>
                <w:lang w:val="en-US" w:eastAsia="zh-CN"/>
              </w:rPr>
              <w:t>国土空间规划</w:t>
            </w:r>
            <w:r>
              <w:rPr>
                <w:rFonts w:hint="eastAsia" w:ascii="Times New Roman" w:hAnsi="Times New Roman" w:eastAsia="宋体" w:cs="Times New Roman"/>
                <w:b/>
                <w:bCs/>
                <w:color w:val="auto"/>
                <w:kern w:val="0"/>
                <w:sz w:val="24"/>
                <w:szCs w:val="24"/>
                <w:lang w:val="en-US" w:eastAsia="zh-CN"/>
              </w:rPr>
              <w:t>（2011-2030年）》的符合性分析</w:t>
            </w:r>
          </w:p>
          <w:p w14:paraId="1245AD5D">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ascii="宋体" w:hAnsi="宋体" w:eastAsia="宋体" w:cs="宋体"/>
                <w:color w:val="auto"/>
                <w:sz w:val="24"/>
                <w:szCs w:val="24"/>
              </w:rPr>
            </w:pPr>
            <w:r>
              <w:rPr>
                <w:rFonts w:hint="eastAsia" w:ascii="Times New Roman" w:hAnsi="Times New Roman" w:eastAsia="宋体" w:cs="Times New Roman"/>
                <w:b w:val="0"/>
                <w:bCs w:val="0"/>
                <w:color w:val="auto"/>
                <w:kern w:val="0"/>
                <w:sz w:val="24"/>
                <w:szCs w:val="24"/>
                <w:lang w:val="en-US" w:eastAsia="zh-CN"/>
              </w:rPr>
              <w:t>根据《昌吉市</w:t>
            </w:r>
            <w:r>
              <w:rPr>
                <w:rFonts w:hint="eastAsia" w:eastAsia="宋体" w:cs="Times New Roman"/>
                <w:b w:val="0"/>
                <w:bCs w:val="0"/>
                <w:color w:val="auto"/>
                <w:kern w:val="0"/>
                <w:sz w:val="24"/>
                <w:szCs w:val="24"/>
                <w:lang w:val="en-US" w:eastAsia="zh-CN"/>
              </w:rPr>
              <w:t>国土空间规划</w:t>
            </w:r>
            <w:r>
              <w:rPr>
                <w:rFonts w:hint="eastAsia" w:ascii="Times New Roman" w:hAnsi="Times New Roman" w:eastAsia="宋体" w:cs="Times New Roman"/>
                <w:b w:val="0"/>
                <w:bCs w:val="0"/>
                <w:color w:val="auto"/>
                <w:kern w:val="0"/>
                <w:sz w:val="24"/>
                <w:szCs w:val="24"/>
                <w:lang w:val="en-US" w:eastAsia="zh-CN"/>
              </w:rPr>
              <w:t>（2011-2030年）》中第</w:t>
            </w:r>
            <w:r>
              <w:rPr>
                <w:rFonts w:hint="eastAsia" w:eastAsia="宋体" w:cs="Times New Roman"/>
                <w:b w:val="0"/>
                <w:bCs w:val="0"/>
                <w:color w:val="auto"/>
                <w:kern w:val="0"/>
                <w:sz w:val="24"/>
                <w:szCs w:val="24"/>
                <w:lang w:val="en-US" w:eastAsia="zh-CN"/>
              </w:rPr>
              <w:t>76</w:t>
            </w:r>
            <w:r>
              <w:rPr>
                <w:rFonts w:hint="eastAsia" w:ascii="Times New Roman" w:hAnsi="Times New Roman" w:eastAsia="宋体" w:cs="Times New Roman"/>
                <w:b w:val="0"/>
                <w:bCs w:val="0"/>
                <w:color w:val="auto"/>
                <w:kern w:val="0"/>
                <w:sz w:val="24"/>
                <w:szCs w:val="24"/>
                <w:lang w:val="en-US" w:eastAsia="zh-CN"/>
              </w:rPr>
              <w:t>条：</w:t>
            </w:r>
            <w:r>
              <w:rPr>
                <w:rFonts w:ascii="宋体" w:hAnsi="宋体" w:eastAsia="宋体" w:cs="宋体"/>
                <w:color w:val="auto"/>
                <w:sz w:val="24"/>
                <w:szCs w:val="24"/>
              </w:rPr>
              <w:t>按照垃圾处理“无害化、资源化、减量化和产业化”要求，推行垃圾分类，推进建筑垃圾资源化利用，加强医疗、危险固废物源头控制，积极建设无废城市。健全垃圾分类处理体系，完善城乡环卫转运和处理处置基础设施建设。</w:t>
            </w:r>
          </w:p>
          <w:p w14:paraId="3A6301E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Segoe UI Emoji" w:cs="Times New Roman"/>
                <w:i w:val="0"/>
                <w:iCs w:val="0"/>
                <w:caps w:val="0"/>
                <w:color w:val="auto"/>
                <w:spacing w:val="0"/>
                <w:sz w:val="24"/>
                <w:szCs w:val="24"/>
                <w:lang w:val="zh-CN" w:eastAsia="zh-CN"/>
              </w:rPr>
            </w:pPr>
            <w:r>
              <w:rPr>
                <w:rFonts w:ascii="宋体" w:hAnsi="宋体" w:eastAsia="宋体" w:cs="宋体"/>
                <w:color w:val="auto"/>
                <w:sz w:val="24"/>
                <w:szCs w:val="24"/>
              </w:rPr>
              <w:t>本项目为大西渠闽昌产业园存量用地基础设施改造工程，建设范围位于昌吉市国土空间规划划定的城镇开发边界以内，不涉及生态保护红线、永久基本农田，不新增建设用地、不改变原有土地利用性质；</w:t>
            </w:r>
            <w:r>
              <w:rPr>
                <w:rFonts w:hint="default" w:ascii="Times New Roman" w:hAnsi="Times New Roman" w:eastAsia="Segoe UI Emoji" w:cs="Times New Roman"/>
                <w:i w:val="0"/>
                <w:iCs w:val="0"/>
                <w:caps w:val="0"/>
                <w:color w:val="auto"/>
                <w:spacing w:val="0"/>
                <w:sz w:val="24"/>
                <w:szCs w:val="24"/>
                <w:lang w:val="zh-CN" w:eastAsia="zh-CN"/>
              </w:rPr>
              <w:t>旨在补齐昌吉市建筑垃圾前端收集、暂存调配的设施短板，打造规范化、环保型建筑垃圾集中收纳中转枢纽，提升全市建筑垃圾规范化管理和环保管控水平</w:t>
            </w:r>
            <w:r>
              <w:rPr>
                <w:rFonts w:hint="eastAsia" w:ascii="Times New Roman" w:hAnsi="Times New Roman" w:eastAsia="Segoe UI Emoji" w:cs="Times New Roman"/>
                <w:i w:val="0"/>
                <w:iCs w:val="0"/>
                <w:caps w:val="0"/>
                <w:color w:val="auto"/>
                <w:spacing w:val="0"/>
                <w:sz w:val="24"/>
                <w:szCs w:val="24"/>
                <w:lang w:val="zh-CN" w:eastAsia="zh-CN"/>
              </w:rPr>
              <w:t>。</w:t>
            </w:r>
          </w:p>
          <w:p w14:paraId="43EEC864">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Times New Roman" w:hAnsi="Times New Roman" w:eastAsia="Segoe UI Emoji" w:cs="Times New Roman"/>
                <w:i w:val="0"/>
                <w:iCs w:val="0"/>
                <w:caps w:val="0"/>
                <w:color w:val="auto"/>
                <w:spacing w:val="0"/>
                <w:sz w:val="24"/>
                <w:szCs w:val="24"/>
                <w:lang w:val="en-US" w:eastAsia="zh-CN"/>
              </w:rPr>
            </w:pPr>
            <w:r>
              <w:rPr>
                <w:rFonts w:hint="eastAsia" w:ascii="Times New Roman" w:hAnsi="Times New Roman" w:eastAsia="宋体" w:cs="Times New Roman"/>
                <w:b/>
                <w:bCs/>
                <w:color w:val="auto"/>
                <w:kern w:val="0"/>
                <w:sz w:val="24"/>
                <w:szCs w:val="24"/>
                <w:lang w:val="en-US" w:eastAsia="zh-CN"/>
              </w:rPr>
              <w:t>4 与其他文件的符合性分析</w:t>
            </w:r>
          </w:p>
          <w:p w14:paraId="11693979">
            <w:pPr>
              <w:keepNext w:val="0"/>
              <w:keepLines w:val="0"/>
              <w:pageBreakBefore w:val="0"/>
              <w:widowControl w:val="0"/>
              <w:kinsoku/>
              <w:wordWrap/>
              <w:overflowPunct/>
              <w:topLinePunct w:val="0"/>
              <w:autoSpaceDE w:val="0"/>
              <w:autoSpaceDN w:val="0"/>
              <w:bidi w:val="0"/>
              <w:adjustRightInd w:val="0"/>
              <w:snapToGrid w:val="0"/>
              <w:spacing w:line="360" w:lineRule="auto"/>
              <w:jc w:val="both"/>
              <w:textAlignment w:val="auto"/>
              <w:rPr>
                <w:rFonts w:hint="eastAsia"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b/>
                <w:bCs/>
                <w:color w:val="auto"/>
                <w:kern w:val="0"/>
                <w:sz w:val="24"/>
                <w:szCs w:val="24"/>
                <w:lang w:val="en-US" w:eastAsia="zh-CN"/>
              </w:rPr>
              <w:t>4.1与《建筑垃圾处理技术标准》（CJJ/T134-2019）的符合性分析</w:t>
            </w:r>
          </w:p>
          <w:p w14:paraId="23BB5BA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color w:val="auto"/>
                <w:kern w:val="0"/>
                <w:sz w:val="24"/>
                <w:szCs w:val="24"/>
                <w:lang w:val="en-US" w:eastAsia="zh-CN"/>
              </w:rPr>
              <w:t>本项目</w:t>
            </w:r>
            <w:r>
              <w:rPr>
                <w:rFonts w:hint="default" w:ascii="Times New Roman" w:hAnsi="Times New Roman" w:eastAsia="宋体" w:cs="Times New Roman"/>
                <w:color w:val="auto"/>
                <w:kern w:val="0"/>
                <w:sz w:val="24"/>
                <w:szCs w:val="24"/>
                <w:lang w:val="en-US" w:eastAsia="zh-CN"/>
              </w:rPr>
              <w:t>建设符合《建筑垃圾处理技术标准》（CJJ/T</w:t>
            </w:r>
            <w:r>
              <w:rPr>
                <w:rFonts w:hint="eastAsia" w:ascii="Times New Roman" w:hAnsi="Times New Roman" w:eastAsia="宋体" w:cs="Times New Roman"/>
                <w:color w:val="auto"/>
                <w:kern w:val="0"/>
                <w:sz w:val="24"/>
                <w:szCs w:val="24"/>
                <w:lang w:val="en-US" w:eastAsia="zh-CN"/>
              </w:rPr>
              <w:t>1</w:t>
            </w:r>
            <w:r>
              <w:rPr>
                <w:rFonts w:hint="default" w:ascii="Times New Roman" w:hAnsi="Times New Roman" w:eastAsia="宋体" w:cs="Times New Roman"/>
                <w:color w:val="auto"/>
                <w:kern w:val="0"/>
                <w:sz w:val="24"/>
                <w:szCs w:val="24"/>
                <w:lang w:val="en-US" w:eastAsia="zh-CN"/>
              </w:rPr>
              <w:t>34-2019）中的处理</w:t>
            </w:r>
            <w:r>
              <w:rPr>
                <w:rFonts w:hint="eastAsia" w:ascii="Times New Roman" w:hAnsi="Times New Roman" w:eastAsia="宋体" w:cs="Times New Roman"/>
                <w:color w:val="auto"/>
                <w:kern w:val="0"/>
                <w:sz w:val="24"/>
                <w:szCs w:val="24"/>
                <w:lang w:val="en-US" w:eastAsia="zh-CN"/>
              </w:rPr>
              <w:t>技术</w:t>
            </w:r>
            <w:r>
              <w:rPr>
                <w:rFonts w:hint="default" w:ascii="Times New Roman" w:hAnsi="Times New Roman" w:eastAsia="宋体" w:cs="Times New Roman"/>
                <w:color w:val="auto"/>
                <w:kern w:val="0"/>
                <w:sz w:val="24"/>
                <w:szCs w:val="24"/>
                <w:lang w:val="en-US" w:eastAsia="zh-CN"/>
              </w:rPr>
              <w:t>要求，具体分析情况如下表所示。</w:t>
            </w:r>
          </w:p>
          <w:p w14:paraId="72C1758B">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b/>
                <w:bCs/>
                <w:color w:val="auto"/>
                <w:kern w:val="0"/>
                <w:sz w:val="21"/>
                <w:szCs w:val="21"/>
                <w:lang w:val="en-US" w:eastAsia="zh-CN"/>
              </w:rPr>
              <w:t>表1-4   与《建筑垃圾处理技术标准》符合性分析一览表</w:t>
            </w:r>
          </w:p>
          <w:tbl>
            <w:tblPr>
              <w:tblStyle w:val="28"/>
              <w:tblW w:w="4999"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683"/>
              <w:gridCol w:w="2709"/>
              <w:gridCol w:w="2965"/>
              <w:gridCol w:w="525"/>
            </w:tblGrid>
            <w:tr w14:paraId="31C34E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2" w:type="pct"/>
                  <w:tcBorders>
                    <w:bottom w:val="single" w:color="auto" w:sz="12" w:space="0"/>
                  </w:tcBorders>
                  <w:noWrap w:val="0"/>
                  <w:vAlign w:val="center"/>
                </w:tcPr>
                <w:p w14:paraId="7C9E4300">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vertAlign w:val="baseline"/>
                      <w:lang w:val="en-US" w:eastAsia="zh-CN"/>
                    </w:rPr>
                  </w:pPr>
                  <w:r>
                    <w:rPr>
                      <w:rFonts w:hint="eastAsia" w:ascii="Times New Roman" w:hAnsi="Times New Roman" w:eastAsia="宋体" w:cs="Times New Roman"/>
                      <w:b/>
                      <w:bCs/>
                      <w:color w:val="auto"/>
                      <w:kern w:val="0"/>
                      <w:sz w:val="21"/>
                      <w:szCs w:val="21"/>
                      <w:vertAlign w:val="baseline"/>
                      <w:lang w:val="en-US" w:eastAsia="zh-CN"/>
                    </w:rPr>
                    <w:t>序号</w:t>
                  </w:r>
                </w:p>
              </w:tc>
              <w:tc>
                <w:tcPr>
                  <w:tcW w:w="2320" w:type="pct"/>
                  <w:gridSpan w:val="2"/>
                  <w:tcBorders>
                    <w:bottom w:val="single" w:color="auto" w:sz="12" w:space="0"/>
                  </w:tcBorders>
                  <w:noWrap w:val="0"/>
                  <w:vAlign w:val="center"/>
                </w:tcPr>
                <w:p w14:paraId="3AA5D0D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vertAlign w:val="baseline"/>
                      <w:lang w:val="en-US" w:eastAsia="zh-CN"/>
                    </w:rPr>
                  </w:pPr>
                  <w:r>
                    <w:rPr>
                      <w:rFonts w:hint="eastAsia" w:ascii="Times New Roman" w:hAnsi="Times New Roman" w:eastAsia="宋体" w:cs="Times New Roman"/>
                      <w:b/>
                      <w:bCs/>
                      <w:color w:val="auto"/>
                      <w:kern w:val="0"/>
                      <w:sz w:val="21"/>
                      <w:szCs w:val="21"/>
                      <w:vertAlign w:val="baseline"/>
                      <w:lang w:val="en-US" w:eastAsia="zh-CN"/>
                    </w:rPr>
                    <w:t>要求</w:t>
                  </w:r>
                </w:p>
              </w:tc>
              <w:tc>
                <w:tcPr>
                  <w:tcW w:w="2028" w:type="pct"/>
                  <w:tcBorders>
                    <w:bottom w:val="single" w:color="auto" w:sz="12" w:space="0"/>
                  </w:tcBorders>
                  <w:noWrap w:val="0"/>
                  <w:vAlign w:val="center"/>
                </w:tcPr>
                <w:p w14:paraId="4853425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vertAlign w:val="baseline"/>
                      <w:lang w:val="en-US" w:eastAsia="zh-CN"/>
                    </w:rPr>
                  </w:pPr>
                  <w:r>
                    <w:rPr>
                      <w:rFonts w:hint="eastAsia" w:ascii="Times New Roman" w:hAnsi="Times New Roman" w:eastAsia="宋体" w:cs="Times New Roman"/>
                      <w:b/>
                      <w:bCs/>
                      <w:color w:val="auto"/>
                      <w:kern w:val="0"/>
                      <w:sz w:val="21"/>
                      <w:szCs w:val="21"/>
                      <w:vertAlign w:val="baseline"/>
                      <w:lang w:val="en-US" w:eastAsia="zh-CN"/>
                    </w:rPr>
                    <w:t>本项目情况</w:t>
                  </w:r>
                </w:p>
              </w:tc>
              <w:tc>
                <w:tcPr>
                  <w:tcW w:w="359" w:type="pct"/>
                  <w:tcBorders>
                    <w:bottom w:val="single" w:color="auto" w:sz="12" w:space="0"/>
                  </w:tcBorders>
                  <w:noWrap w:val="0"/>
                  <w:vAlign w:val="center"/>
                </w:tcPr>
                <w:p w14:paraId="599A909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vertAlign w:val="baseline"/>
                      <w:lang w:val="en-US" w:eastAsia="zh-CN"/>
                    </w:rPr>
                  </w:pPr>
                  <w:r>
                    <w:rPr>
                      <w:rFonts w:hint="eastAsia" w:ascii="Times New Roman" w:hAnsi="Times New Roman" w:eastAsia="宋体" w:cs="Times New Roman"/>
                      <w:b/>
                      <w:bCs/>
                      <w:color w:val="auto"/>
                      <w:kern w:val="0"/>
                      <w:sz w:val="21"/>
                      <w:szCs w:val="21"/>
                      <w:vertAlign w:val="baseline"/>
                      <w:lang w:val="en-US" w:eastAsia="zh-CN"/>
                    </w:rPr>
                    <w:t>符合性</w:t>
                  </w:r>
                </w:p>
              </w:tc>
            </w:tr>
            <w:tr w14:paraId="31316B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2" w:type="pct"/>
                  <w:tcBorders>
                    <w:top w:val="single" w:color="auto" w:sz="12" w:space="0"/>
                    <w:tl2br w:val="nil"/>
                    <w:tr2bl w:val="nil"/>
                  </w:tcBorders>
                  <w:noWrap w:val="0"/>
                  <w:vAlign w:val="center"/>
                </w:tcPr>
                <w:p w14:paraId="5131F82D">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1</w:t>
                  </w:r>
                </w:p>
              </w:tc>
              <w:tc>
                <w:tcPr>
                  <w:tcW w:w="467" w:type="pct"/>
                  <w:vMerge w:val="restart"/>
                  <w:tcBorders>
                    <w:top w:val="single" w:color="auto" w:sz="12" w:space="0"/>
                    <w:tl2br w:val="nil"/>
                    <w:tr2bl w:val="nil"/>
                  </w:tcBorders>
                  <w:noWrap w:val="0"/>
                  <w:vAlign w:val="center"/>
                </w:tcPr>
                <w:p w14:paraId="2181BA7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厂址选择</w:t>
                  </w:r>
                </w:p>
              </w:tc>
              <w:tc>
                <w:tcPr>
                  <w:tcW w:w="1853" w:type="pct"/>
                  <w:tcBorders>
                    <w:top w:val="single" w:color="auto" w:sz="12" w:space="0"/>
                    <w:tl2br w:val="nil"/>
                    <w:tr2bl w:val="nil"/>
                  </w:tcBorders>
                  <w:noWrap w:val="0"/>
                  <w:vAlign w:val="center"/>
                </w:tcPr>
                <w:p w14:paraId="213619F2">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转运调配场可选择临时用地，宜优先选择废弃的采坑</w:t>
                  </w:r>
                </w:p>
              </w:tc>
              <w:tc>
                <w:tcPr>
                  <w:tcW w:w="2028" w:type="pct"/>
                  <w:tcBorders>
                    <w:top w:val="single" w:color="auto" w:sz="12" w:space="0"/>
                    <w:tl2br w:val="nil"/>
                    <w:tr2bl w:val="nil"/>
                  </w:tcBorders>
                  <w:noWrap w:val="0"/>
                  <w:vAlign w:val="center"/>
                </w:tcPr>
                <w:p w14:paraId="3FB96BD2">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本项目选址位于昌吉市大西渠镇新戽村昌吉市再生资源回收利用产业园内</w:t>
                  </w:r>
                </w:p>
              </w:tc>
              <w:tc>
                <w:tcPr>
                  <w:tcW w:w="359" w:type="pct"/>
                  <w:tcBorders>
                    <w:top w:val="single" w:color="auto" w:sz="12" w:space="0"/>
                    <w:tl2br w:val="nil"/>
                    <w:tr2bl w:val="nil"/>
                  </w:tcBorders>
                  <w:noWrap w:val="0"/>
                  <w:vAlign w:val="center"/>
                </w:tcPr>
                <w:p w14:paraId="4BAFCBCB">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符合</w:t>
                  </w:r>
                </w:p>
              </w:tc>
            </w:tr>
            <w:tr w14:paraId="39F66D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2" w:type="pct"/>
                  <w:tcBorders>
                    <w:tl2br w:val="nil"/>
                    <w:tr2bl w:val="nil"/>
                  </w:tcBorders>
                  <w:noWrap w:val="0"/>
                  <w:vAlign w:val="center"/>
                </w:tcPr>
                <w:p w14:paraId="15628A3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2</w:t>
                  </w:r>
                </w:p>
              </w:tc>
              <w:tc>
                <w:tcPr>
                  <w:tcW w:w="467" w:type="pct"/>
                  <w:vMerge w:val="continue"/>
                  <w:tcBorders>
                    <w:tl2br w:val="nil"/>
                    <w:tr2bl w:val="nil"/>
                  </w:tcBorders>
                  <w:noWrap w:val="0"/>
                  <w:vAlign w:val="center"/>
                </w:tcPr>
                <w:p w14:paraId="6BFD6DA0">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vertAlign w:val="baseline"/>
                      <w:lang w:val="en-US" w:eastAsia="zh-CN"/>
                    </w:rPr>
                  </w:pPr>
                </w:p>
              </w:tc>
              <w:tc>
                <w:tcPr>
                  <w:tcW w:w="1853" w:type="pct"/>
                  <w:tcBorders>
                    <w:tl2br w:val="nil"/>
                    <w:tr2bl w:val="nil"/>
                  </w:tcBorders>
                  <w:noWrap w:val="0"/>
                  <w:vAlign w:val="center"/>
                </w:tcPr>
                <w:p w14:paraId="75D2924E">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转运调配、资源化利用、填埋处置工程宜与其他固体废物处理设施或建筑材料利用设施同址建设。</w:t>
                  </w:r>
                </w:p>
              </w:tc>
              <w:tc>
                <w:tcPr>
                  <w:tcW w:w="2028" w:type="pct"/>
                  <w:tcBorders>
                    <w:tl2br w:val="nil"/>
                    <w:tr2bl w:val="nil"/>
                  </w:tcBorders>
                  <w:noWrap w:val="0"/>
                  <w:vAlign w:val="center"/>
                </w:tcPr>
                <w:p w14:paraId="49EE761D">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本项目位于昌吉市大西渠镇新戽村昌吉市再生资源回收利用产业园内，昌吉市建筑垃圾填埋场位于昌吉市再生资源回收利用产业园内，建筑垃圾资源化利用项目后期也将在昌吉市再生资源回收利用产业园内建设，故昌吉市建筑垃圾转运调配、资源化利用、填埋处置工程属于同址建设，其位置关系图详见</w:t>
                  </w:r>
                  <w:r>
                    <w:rPr>
                      <w:rFonts w:hint="eastAsia" w:ascii="Times New Roman" w:hAnsi="Times New Roman" w:eastAsia="宋体" w:cs="Times New Roman"/>
                      <w:b/>
                      <w:bCs/>
                      <w:color w:val="auto"/>
                      <w:kern w:val="0"/>
                      <w:sz w:val="21"/>
                      <w:szCs w:val="21"/>
                      <w:vertAlign w:val="baseline"/>
                      <w:lang w:val="en-US" w:eastAsia="zh-CN"/>
                    </w:rPr>
                    <w:t>附图1-4</w:t>
                  </w:r>
                </w:p>
              </w:tc>
              <w:tc>
                <w:tcPr>
                  <w:tcW w:w="359" w:type="pct"/>
                  <w:tcBorders>
                    <w:tl2br w:val="nil"/>
                    <w:tr2bl w:val="nil"/>
                  </w:tcBorders>
                  <w:noWrap w:val="0"/>
                  <w:vAlign w:val="center"/>
                </w:tcPr>
                <w:p w14:paraId="00914DCB">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符合</w:t>
                  </w:r>
                </w:p>
              </w:tc>
            </w:tr>
            <w:tr w14:paraId="7748A1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2" w:type="pct"/>
                  <w:tcBorders>
                    <w:tl2br w:val="nil"/>
                    <w:tr2bl w:val="nil"/>
                  </w:tcBorders>
                  <w:noWrap w:val="0"/>
                  <w:vAlign w:val="center"/>
                </w:tcPr>
                <w:p w14:paraId="51F9FEF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3</w:t>
                  </w:r>
                </w:p>
              </w:tc>
              <w:tc>
                <w:tcPr>
                  <w:tcW w:w="467" w:type="pct"/>
                  <w:vMerge w:val="continue"/>
                  <w:tcBorders>
                    <w:tl2br w:val="nil"/>
                    <w:tr2bl w:val="nil"/>
                  </w:tcBorders>
                  <w:noWrap w:val="0"/>
                  <w:vAlign w:val="center"/>
                </w:tcPr>
                <w:p w14:paraId="1ED8148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vertAlign w:val="baseline"/>
                      <w:lang w:val="en-US" w:eastAsia="zh-CN"/>
                    </w:rPr>
                  </w:pPr>
                </w:p>
              </w:tc>
              <w:tc>
                <w:tcPr>
                  <w:tcW w:w="1853" w:type="pct"/>
                  <w:tcBorders>
                    <w:tl2br w:val="nil"/>
                    <w:tr2bl w:val="nil"/>
                  </w:tcBorders>
                  <w:noWrap w:val="0"/>
                  <w:vAlign w:val="center"/>
                </w:tcPr>
                <w:p w14:paraId="69F7157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5.0.6 转运调配、资源化利用、填埋处置工程选址应按下列顺序进行:</w:t>
                  </w:r>
                </w:p>
                <w:p w14:paraId="4BCEEC6C">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1 应在全面调查与分析的基础上，初定3个或3个以上候选厂(场)址，并应通过对候选厂(场)址进行踏勘，对场地的地形、地貌、植被、地质、水文、气象、供电、给排水、交通运输及场址周围人群居住情况等进行对比分析，推荐2个或2个以上预选厂(场)址;</w:t>
                  </w:r>
                </w:p>
                <w:p w14:paraId="42F9471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2应对预选厂(场)址方案进行技术、经济、社会及环境比较后，推荐一个拟定厂(场)址，并应再对拟定厂(场)址进行地形测量、初步勘察和初步工艺方案设计，完成选址报告或可行性研究报告，通过审查确定厂(场)址。</w:t>
                  </w:r>
                </w:p>
              </w:tc>
              <w:tc>
                <w:tcPr>
                  <w:tcW w:w="2028" w:type="pct"/>
                  <w:tcBorders>
                    <w:tl2br w:val="nil"/>
                    <w:tr2bl w:val="nil"/>
                  </w:tcBorders>
                  <w:noWrap w:val="0"/>
                  <w:vAlign w:val="center"/>
                </w:tcPr>
                <w:p w14:paraId="5C540F7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本项目已编制可行性报告，并通过审查</w:t>
                  </w:r>
                </w:p>
              </w:tc>
              <w:tc>
                <w:tcPr>
                  <w:tcW w:w="359" w:type="pct"/>
                  <w:tcBorders>
                    <w:tl2br w:val="nil"/>
                    <w:tr2bl w:val="nil"/>
                  </w:tcBorders>
                  <w:noWrap w:val="0"/>
                  <w:vAlign w:val="center"/>
                </w:tcPr>
                <w:p w14:paraId="7C168A6E">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符合</w:t>
                  </w:r>
                </w:p>
              </w:tc>
            </w:tr>
            <w:tr w14:paraId="3A60C8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2" w:type="pct"/>
                  <w:tcBorders>
                    <w:tl2br w:val="nil"/>
                    <w:tr2bl w:val="nil"/>
                  </w:tcBorders>
                  <w:noWrap w:val="0"/>
                  <w:vAlign w:val="center"/>
                </w:tcPr>
                <w:p w14:paraId="01572ECA">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4</w:t>
                  </w:r>
                </w:p>
              </w:tc>
              <w:tc>
                <w:tcPr>
                  <w:tcW w:w="467" w:type="pct"/>
                  <w:tcBorders>
                    <w:tl2br w:val="nil"/>
                    <w:tr2bl w:val="nil"/>
                  </w:tcBorders>
                  <w:noWrap w:val="0"/>
                  <w:vAlign w:val="center"/>
                </w:tcPr>
                <w:p w14:paraId="33DF3B2B">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ascii="Times New Roman" w:hAnsi="Times New Roman" w:eastAsia="宋体" w:cs="Times New Roman"/>
                      <w:color w:val="auto"/>
                      <w:kern w:val="0"/>
                      <w:sz w:val="21"/>
                      <w:szCs w:val="21"/>
                      <w:highlight w:val="none"/>
                      <w:vertAlign w:val="baseline"/>
                      <w:lang w:val="en-US" w:eastAsia="zh-CN"/>
                    </w:rPr>
                    <w:t>一般规定</w:t>
                  </w:r>
                </w:p>
              </w:tc>
              <w:tc>
                <w:tcPr>
                  <w:tcW w:w="1853" w:type="pct"/>
                  <w:tcBorders>
                    <w:tl2br w:val="nil"/>
                    <w:tr2bl w:val="nil"/>
                  </w:tcBorders>
                  <w:noWrap w:val="0"/>
                  <w:vAlign w:val="center"/>
                </w:tcPr>
                <w:p w14:paraId="75A37240">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rPr>
                  </w:pPr>
                  <w:r>
                    <w:rPr>
                      <w:rFonts w:hint="eastAsia" w:ascii="Times New Roman" w:hAnsi="Times New Roman" w:eastAsia="宋体" w:cs="Times New Roman"/>
                      <w:color w:val="auto"/>
                      <w:kern w:val="0"/>
                      <w:sz w:val="21"/>
                      <w:szCs w:val="21"/>
                      <w:highlight w:val="none"/>
                      <w:vertAlign w:val="baseline"/>
                      <w:lang w:val="en-US" w:eastAsia="zh-CN"/>
                    </w:rPr>
                    <w:t>转运调配场主体设施应包括围挡设施、分类堆放区、场区道路和地基处理等。</w:t>
                  </w:r>
                </w:p>
              </w:tc>
              <w:tc>
                <w:tcPr>
                  <w:tcW w:w="2028" w:type="pct"/>
                  <w:tcBorders>
                    <w:tl2br w:val="nil"/>
                    <w:tr2bl w:val="nil"/>
                  </w:tcBorders>
                  <w:noWrap w:val="0"/>
                  <w:vAlign w:val="center"/>
                </w:tcPr>
                <w:p w14:paraId="6AC022A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ascii="Times New Roman" w:hAnsi="Times New Roman" w:eastAsia="宋体" w:cs="Times New Roman"/>
                      <w:color w:val="auto"/>
                      <w:kern w:val="0"/>
                      <w:sz w:val="21"/>
                      <w:szCs w:val="21"/>
                      <w:highlight w:val="none"/>
                      <w:vertAlign w:val="baseline"/>
                      <w:lang w:val="en-US" w:eastAsia="zh-CN"/>
                    </w:rPr>
                    <w:t>本项目调配场</w:t>
                  </w:r>
                  <w:r>
                    <w:rPr>
                      <w:rFonts w:hint="eastAsia" w:ascii="Times New Roman" w:hAnsi="Times New Roman" w:eastAsia="宋体" w:cs="Times New Roman"/>
                      <w:bCs/>
                      <w:color w:val="auto"/>
                      <w:sz w:val="21"/>
                      <w:szCs w:val="21"/>
                      <w:vertAlign w:val="baseline"/>
                      <w:lang w:val="en-US" w:eastAsia="zh-CN"/>
                    </w:rPr>
                    <w:t>四周设置725m围挡，各区设置明显的分类堆放标志，厂区道路依托现有道路，场地采用C30钢筋混凝土面层、C20素混凝土垫层及原土压实加固的地坪</w:t>
                  </w:r>
                  <w:r>
                    <w:rPr>
                      <w:rFonts w:hint="eastAsia" w:ascii="Times New Roman" w:hAnsi="Times New Roman" w:eastAsia="宋体" w:cs="Times New Roman"/>
                      <w:color w:val="auto"/>
                      <w:kern w:val="0"/>
                      <w:sz w:val="21"/>
                      <w:szCs w:val="21"/>
                      <w:highlight w:val="none"/>
                      <w:vertAlign w:val="baseline"/>
                      <w:lang w:val="en-US" w:eastAsia="zh-CN"/>
                    </w:rPr>
                    <w:t>。</w:t>
                  </w:r>
                </w:p>
              </w:tc>
              <w:tc>
                <w:tcPr>
                  <w:tcW w:w="359" w:type="pct"/>
                  <w:tcBorders>
                    <w:tl2br w:val="nil"/>
                    <w:tr2bl w:val="nil"/>
                  </w:tcBorders>
                  <w:noWrap w:val="0"/>
                  <w:vAlign w:val="center"/>
                </w:tcPr>
                <w:p w14:paraId="07B92EE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符合</w:t>
                  </w:r>
                </w:p>
              </w:tc>
            </w:tr>
            <w:tr w14:paraId="0B4C1B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2" w:type="pct"/>
                  <w:tcBorders>
                    <w:tl2br w:val="nil"/>
                    <w:tr2bl w:val="nil"/>
                  </w:tcBorders>
                  <w:noWrap w:val="0"/>
                  <w:vAlign w:val="center"/>
                </w:tcPr>
                <w:p w14:paraId="6EF486D2">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5</w:t>
                  </w:r>
                </w:p>
              </w:tc>
              <w:tc>
                <w:tcPr>
                  <w:tcW w:w="467" w:type="pct"/>
                  <w:vMerge w:val="restart"/>
                  <w:tcBorders>
                    <w:tl2br w:val="nil"/>
                    <w:tr2bl w:val="nil"/>
                  </w:tcBorders>
                  <w:noWrap w:val="0"/>
                  <w:vAlign w:val="center"/>
                </w:tcPr>
                <w:p w14:paraId="26FC020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转运调配</w:t>
                  </w:r>
                </w:p>
              </w:tc>
              <w:tc>
                <w:tcPr>
                  <w:tcW w:w="1853" w:type="pct"/>
                  <w:tcBorders>
                    <w:tl2br w:val="nil"/>
                    <w:tr2bl w:val="nil"/>
                  </w:tcBorders>
                  <w:noWrap w:val="0"/>
                  <w:vAlign w:val="center"/>
                </w:tcPr>
                <w:p w14:paraId="1F82EA93">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yellow"/>
                      <w:vertAlign w:val="baseline"/>
                      <w:lang w:val="en-US" w:eastAsia="zh-CN"/>
                    </w:rPr>
                  </w:pPr>
                  <w:r>
                    <w:rPr>
                      <w:rFonts w:hint="eastAsia" w:ascii="Times New Roman" w:hAnsi="Times New Roman" w:eastAsia="宋体" w:cs="Times New Roman"/>
                      <w:color w:val="auto"/>
                      <w:kern w:val="0"/>
                      <w:sz w:val="21"/>
                      <w:szCs w:val="21"/>
                      <w:highlight w:val="none"/>
                      <w:vertAlign w:val="baseline"/>
                      <w:lang w:val="en-US" w:eastAsia="zh-CN"/>
                    </w:rPr>
                    <w:t>暂时不具备堆填处置条件，且具有回填利用或资源化再生价值的建筑垃圾可进入转运调配场。</w:t>
                  </w:r>
                </w:p>
              </w:tc>
              <w:tc>
                <w:tcPr>
                  <w:tcW w:w="2028" w:type="pct"/>
                  <w:tcBorders>
                    <w:tl2br w:val="nil"/>
                    <w:tr2bl w:val="nil"/>
                  </w:tcBorders>
                  <w:noWrap w:val="0"/>
                  <w:vAlign w:val="center"/>
                </w:tcPr>
                <w:p w14:paraId="527CA74E">
                  <w:pPr>
                    <w:keepNext w:val="0"/>
                    <w:keepLines w:val="0"/>
                    <w:pageBreakBefore w:val="0"/>
                    <w:widowControl w:val="0"/>
                    <w:kinsoku/>
                    <w:wordWrap/>
                    <w:overflowPunct/>
                    <w:topLinePunct w:val="0"/>
                    <w:autoSpaceDE w:val="0"/>
                    <w:autoSpaceDN w:val="0"/>
                    <w:bidi w:val="0"/>
                    <w:adjustRightInd w:val="0"/>
                    <w:snapToGrid w:val="0"/>
                    <w:spacing w:line="240" w:lineRule="auto"/>
                    <w:jc w:val="both"/>
                    <w:textAlignment w:val="auto"/>
                    <w:rPr>
                      <w:rFonts w:hint="default" w:ascii="Times New Roman" w:hAnsi="Times New Roman" w:eastAsia="宋体" w:cs="Times New Roman"/>
                      <w:color w:val="auto"/>
                      <w:kern w:val="0"/>
                      <w:sz w:val="21"/>
                      <w:szCs w:val="21"/>
                      <w:highlight w:val="yellow"/>
                      <w:vertAlign w:val="baseline"/>
                      <w:lang w:val="en-US" w:eastAsia="zh-CN"/>
                    </w:rPr>
                  </w:pPr>
                  <w:r>
                    <w:rPr>
                      <w:rFonts w:hint="eastAsia" w:ascii="Times New Roman" w:hAnsi="Times New Roman" w:eastAsia="宋体" w:cs="Times New Roman"/>
                      <w:color w:val="auto"/>
                      <w:kern w:val="0"/>
                      <w:sz w:val="21"/>
                      <w:szCs w:val="21"/>
                      <w:highlight w:val="none"/>
                      <w:vertAlign w:val="baseline"/>
                      <w:lang w:val="en-US" w:eastAsia="zh-CN"/>
                    </w:rPr>
                    <w:t>本项目调配场可以满足左列要求</w:t>
                  </w:r>
                </w:p>
              </w:tc>
              <w:tc>
                <w:tcPr>
                  <w:tcW w:w="359" w:type="pct"/>
                  <w:tcBorders>
                    <w:tl2br w:val="nil"/>
                    <w:tr2bl w:val="nil"/>
                  </w:tcBorders>
                  <w:noWrap w:val="0"/>
                  <w:vAlign w:val="center"/>
                </w:tcPr>
                <w:p w14:paraId="5A798B0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符合</w:t>
                  </w:r>
                </w:p>
              </w:tc>
            </w:tr>
            <w:tr w14:paraId="4654DB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2" w:type="pct"/>
                  <w:tcBorders>
                    <w:tl2br w:val="nil"/>
                    <w:tr2bl w:val="nil"/>
                  </w:tcBorders>
                  <w:noWrap w:val="0"/>
                  <w:vAlign w:val="center"/>
                </w:tcPr>
                <w:p w14:paraId="31E27EEE">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6</w:t>
                  </w:r>
                </w:p>
              </w:tc>
              <w:tc>
                <w:tcPr>
                  <w:tcW w:w="467" w:type="pct"/>
                  <w:vMerge w:val="continue"/>
                  <w:tcBorders>
                    <w:tl2br w:val="nil"/>
                    <w:tr2bl w:val="nil"/>
                  </w:tcBorders>
                  <w:noWrap w:val="0"/>
                  <w:vAlign w:val="center"/>
                </w:tcPr>
                <w:p w14:paraId="7CA6047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vertAlign w:val="baseline"/>
                      <w:lang w:val="en-US" w:eastAsia="zh-CN"/>
                    </w:rPr>
                  </w:pPr>
                </w:p>
              </w:tc>
              <w:tc>
                <w:tcPr>
                  <w:tcW w:w="1853" w:type="pct"/>
                  <w:tcBorders>
                    <w:tl2br w:val="nil"/>
                    <w:tr2bl w:val="nil"/>
                  </w:tcBorders>
                  <w:noWrap w:val="0"/>
                  <w:vAlign w:val="center"/>
                </w:tcPr>
                <w:p w14:paraId="5265F77B">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进场建筑垃圾应根据工程渣土、工程泥浆、工程垃圾、拆除垃圾和装修垃圾及其细分类堆放，并应设置明显的分类堆放标志。</w:t>
                  </w:r>
                </w:p>
              </w:tc>
              <w:tc>
                <w:tcPr>
                  <w:tcW w:w="2028" w:type="pct"/>
                  <w:tcBorders>
                    <w:tl2br w:val="nil"/>
                    <w:tr2bl w:val="nil"/>
                  </w:tcBorders>
                  <w:noWrap w:val="0"/>
                  <w:vAlign w:val="center"/>
                </w:tcPr>
                <w:p w14:paraId="04DF37AD">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本项目将工程渣土、工程垃圾、拆除垃圾和装修垃圾分类堆放，并应设置明显的分类堆放标志。</w:t>
                  </w:r>
                </w:p>
              </w:tc>
              <w:tc>
                <w:tcPr>
                  <w:tcW w:w="359" w:type="pct"/>
                  <w:tcBorders>
                    <w:tl2br w:val="nil"/>
                    <w:tr2bl w:val="nil"/>
                  </w:tcBorders>
                  <w:noWrap w:val="0"/>
                  <w:vAlign w:val="center"/>
                </w:tcPr>
                <w:p w14:paraId="1D659F43">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符合</w:t>
                  </w:r>
                </w:p>
              </w:tc>
            </w:tr>
            <w:tr w14:paraId="0A0AE3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2" w:type="pct"/>
                  <w:tcBorders>
                    <w:tl2br w:val="nil"/>
                    <w:tr2bl w:val="nil"/>
                  </w:tcBorders>
                  <w:noWrap w:val="0"/>
                  <w:vAlign w:val="center"/>
                </w:tcPr>
                <w:p w14:paraId="394569CE">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7</w:t>
                  </w:r>
                </w:p>
              </w:tc>
              <w:tc>
                <w:tcPr>
                  <w:tcW w:w="467" w:type="pct"/>
                  <w:vMerge w:val="continue"/>
                  <w:tcBorders>
                    <w:tl2br w:val="nil"/>
                    <w:tr2bl w:val="nil"/>
                  </w:tcBorders>
                  <w:noWrap w:val="0"/>
                  <w:vAlign w:val="center"/>
                </w:tcPr>
                <w:p w14:paraId="096DBAB2">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vertAlign w:val="baseline"/>
                      <w:lang w:val="en-US" w:eastAsia="zh-CN"/>
                    </w:rPr>
                  </w:pPr>
                </w:p>
              </w:tc>
              <w:tc>
                <w:tcPr>
                  <w:tcW w:w="1853" w:type="pct"/>
                  <w:tcBorders>
                    <w:tl2br w:val="nil"/>
                    <w:tr2bl w:val="nil"/>
                  </w:tcBorders>
                  <w:noWrap w:val="0"/>
                  <w:vAlign w:val="center"/>
                </w:tcPr>
                <w:p w14:paraId="6E7A8B1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转运调配场堆放区可采取室内或露天方式，并应采取有效的防尘、降噪措施。露天堆放的建筑垃圾应及时遮盖，堆放区地坪标高应高于周围场地至少0.15m，四周应设置排水沟，满足场地雨水导排要求。</w:t>
                  </w:r>
                </w:p>
              </w:tc>
              <w:tc>
                <w:tcPr>
                  <w:tcW w:w="2028" w:type="pct"/>
                  <w:tcBorders>
                    <w:tl2br w:val="nil"/>
                    <w:tr2bl w:val="nil"/>
                  </w:tcBorders>
                  <w:noWrap w:val="0"/>
                  <w:vAlign w:val="center"/>
                </w:tcPr>
                <w:p w14:paraId="20B05EC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本项目调配场采用露天堆放方式，</w:t>
                  </w:r>
                  <w:r>
                    <w:rPr>
                      <w:rFonts w:hint="default" w:ascii="Times New Roman" w:hAnsi="Times New Roman" w:cs="Times New Roman"/>
                      <w:bCs/>
                      <w:color w:val="auto"/>
                      <w:sz w:val="21"/>
                      <w:szCs w:val="21"/>
                      <w:vertAlign w:val="baseline"/>
                      <w:lang w:val="en-US" w:eastAsia="zh-CN"/>
                    </w:rPr>
                    <w:t>场区四周布设总长约725m的防风抑散网，并结合喷淋等抑尘设施</w:t>
                  </w:r>
                  <w:r>
                    <w:rPr>
                      <w:rFonts w:hint="eastAsia" w:ascii="Times New Roman" w:hAnsi="Times New Roman" w:cs="Times New Roman"/>
                      <w:bCs/>
                      <w:color w:val="auto"/>
                      <w:sz w:val="21"/>
                      <w:szCs w:val="21"/>
                      <w:vertAlign w:val="baseline"/>
                      <w:lang w:val="en-US" w:eastAsia="zh-CN"/>
                    </w:rPr>
                    <w:t>；调配场东侧、南侧和西侧均设置高20cm、宽15cm的反坎，北侧设置排水沟，满足场地雨水导排的要求。</w:t>
                  </w:r>
                </w:p>
              </w:tc>
              <w:tc>
                <w:tcPr>
                  <w:tcW w:w="359" w:type="pct"/>
                  <w:tcBorders>
                    <w:tl2br w:val="nil"/>
                    <w:tr2bl w:val="nil"/>
                  </w:tcBorders>
                  <w:noWrap w:val="0"/>
                  <w:vAlign w:val="center"/>
                </w:tcPr>
                <w:p w14:paraId="5B786783">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符合</w:t>
                  </w:r>
                </w:p>
              </w:tc>
            </w:tr>
            <w:tr w14:paraId="19CAB2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2" w:type="pct"/>
                  <w:tcBorders>
                    <w:tl2br w:val="nil"/>
                    <w:tr2bl w:val="nil"/>
                  </w:tcBorders>
                  <w:noWrap w:val="0"/>
                  <w:vAlign w:val="center"/>
                </w:tcPr>
                <w:p w14:paraId="1005461F">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8</w:t>
                  </w:r>
                </w:p>
              </w:tc>
              <w:tc>
                <w:tcPr>
                  <w:tcW w:w="467" w:type="pct"/>
                  <w:vMerge w:val="continue"/>
                  <w:tcBorders>
                    <w:tl2br w:val="nil"/>
                    <w:tr2bl w:val="nil"/>
                  </w:tcBorders>
                  <w:noWrap w:val="0"/>
                  <w:vAlign w:val="center"/>
                </w:tcPr>
                <w:p w14:paraId="24490A0F">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vertAlign w:val="baseline"/>
                      <w:lang w:val="en-US" w:eastAsia="zh-CN"/>
                    </w:rPr>
                  </w:pPr>
                </w:p>
              </w:tc>
              <w:tc>
                <w:tcPr>
                  <w:tcW w:w="1853" w:type="pct"/>
                  <w:tcBorders>
                    <w:tl2br w:val="nil"/>
                    <w:tr2bl w:val="nil"/>
                  </w:tcBorders>
                  <w:noWrap w:val="0"/>
                  <w:vAlign w:val="center"/>
                </w:tcPr>
                <w:p w14:paraId="4B62ACCC">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7.2.4 建筑垃圾堆放高度高出地坪不宜超过3m。当超过3m时，应进行堆体和地基稳定性验算，保证堆体和地基的稳定安全。当堆放场地附近有挖方工程时，应进行堆体和挖方边坡稳定性验算，保证挖方工程安全。</w:t>
                  </w:r>
                </w:p>
              </w:tc>
              <w:tc>
                <w:tcPr>
                  <w:tcW w:w="2028" w:type="pct"/>
                  <w:tcBorders>
                    <w:tl2br w:val="nil"/>
                    <w:tr2bl w:val="nil"/>
                  </w:tcBorders>
                  <w:noWrap w:val="0"/>
                  <w:vAlign w:val="center"/>
                </w:tcPr>
                <w:p w14:paraId="5019E143">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本项目堆放高度为3m。</w:t>
                  </w:r>
                </w:p>
              </w:tc>
              <w:tc>
                <w:tcPr>
                  <w:tcW w:w="359" w:type="pct"/>
                  <w:tcBorders>
                    <w:tl2br w:val="nil"/>
                    <w:tr2bl w:val="nil"/>
                  </w:tcBorders>
                  <w:noWrap w:val="0"/>
                  <w:vAlign w:val="center"/>
                </w:tcPr>
                <w:p w14:paraId="142ABF0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符合</w:t>
                  </w:r>
                </w:p>
              </w:tc>
            </w:tr>
            <w:tr w14:paraId="1042B4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2" w:type="pct"/>
                  <w:tcBorders>
                    <w:tl2br w:val="nil"/>
                    <w:tr2bl w:val="nil"/>
                  </w:tcBorders>
                  <w:noWrap w:val="0"/>
                  <w:vAlign w:val="center"/>
                </w:tcPr>
                <w:p w14:paraId="5E05449B">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9</w:t>
                  </w:r>
                </w:p>
              </w:tc>
              <w:tc>
                <w:tcPr>
                  <w:tcW w:w="467" w:type="pct"/>
                  <w:vMerge w:val="continue"/>
                  <w:tcBorders>
                    <w:tl2br w:val="nil"/>
                    <w:tr2bl w:val="nil"/>
                  </w:tcBorders>
                  <w:noWrap w:val="0"/>
                  <w:vAlign w:val="center"/>
                </w:tcPr>
                <w:p w14:paraId="31BC52E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vertAlign w:val="baseline"/>
                      <w:lang w:val="en-US" w:eastAsia="zh-CN"/>
                    </w:rPr>
                  </w:pPr>
                </w:p>
              </w:tc>
              <w:tc>
                <w:tcPr>
                  <w:tcW w:w="1853" w:type="pct"/>
                  <w:tcBorders>
                    <w:tl2br w:val="nil"/>
                    <w:tr2bl w:val="nil"/>
                  </w:tcBorders>
                  <w:noWrap w:val="0"/>
                  <w:vAlign w:val="center"/>
                </w:tcPr>
                <w:p w14:paraId="6DE86A3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7.2.5转运调配场应合理设置开挖空间及进出口</w:t>
                  </w:r>
                </w:p>
              </w:tc>
              <w:tc>
                <w:tcPr>
                  <w:tcW w:w="2028" w:type="pct"/>
                  <w:tcBorders>
                    <w:tl2br w:val="nil"/>
                    <w:tr2bl w:val="nil"/>
                  </w:tcBorders>
                  <w:noWrap w:val="0"/>
                  <w:vAlign w:val="center"/>
                </w:tcPr>
                <w:p w14:paraId="10A5C4B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本项目调配场设置进口和出口</w:t>
                  </w:r>
                </w:p>
              </w:tc>
              <w:tc>
                <w:tcPr>
                  <w:tcW w:w="359" w:type="pct"/>
                  <w:tcBorders>
                    <w:tl2br w:val="nil"/>
                    <w:tr2bl w:val="nil"/>
                  </w:tcBorders>
                  <w:noWrap w:val="0"/>
                  <w:vAlign w:val="center"/>
                </w:tcPr>
                <w:p w14:paraId="00637470">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符合</w:t>
                  </w:r>
                </w:p>
              </w:tc>
            </w:tr>
            <w:tr w14:paraId="60472D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2" w:type="pct"/>
                  <w:tcBorders>
                    <w:tl2br w:val="nil"/>
                    <w:tr2bl w:val="nil"/>
                  </w:tcBorders>
                  <w:noWrap w:val="0"/>
                  <w:vAlign w:val="center"/>
                </w:tcPr>
                <w:p w14:paraId="250589C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10</w:t>
                  </w:r>
                </w:p>
              </w:tc>
              <w:tc>
                <w:tcPr>
                  <w:tcW w:w="467" w:type="pct"/>
                  <w:vMerge w:val="continue"/>
                  <w:tcBorders>
                    <w:tl2br w:val="nil"/>
                    <w:tr2bl w:val="nil"/>
                  </w:tcBorders>
                  <w:noWrap w:val="0"/>
                  <w:vAlign w:val="center"/>
                </w:tcPr>
                <w:p w14:paraId="736E4B9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vertAlign w:val="baseline"/>
                      <w:lang w:val="en-US" w:eastAsia="zh-CN"/>
                    </w:rPr>
                  </w:pPr>
                </w:p>
              </w:tc>
              <w:tc>
                <w:tcPr>
                  <w:tcW w:w="1853" w:type="pct"/>
                  <w:tcBorders>
                    <w:tl2br w:val="nil"/>
                    <w:tr2bl w:val="nil"/>
                  </w:tcBorders>
                  <w:noWrap w:val="0"/>
                  <w:vAlign w:val="center"/>
                </w:tcPr>
                <w:p w14:paraId="43D5234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7.2.6转运调配场可根据后端处理处置设施的要求，配备相应的预处理设施，预处理设施宜设置在封闭车间内，并应采取有效的防尘、降噪措施。</w:t>
                  </w:r>
                </w:p>
              </w:tc>
              <w:tc>
                <w:tcPr>
                  <w:tcW w:w="2028" w:type="pct"/>
                  <w:tcBorders>
                    <w:tl2br w:val="nil"/>
                    <w:tr2bl w:val="nil"/>
                  </w:tcBorders>
                  <w:noWrap w:val="0"/>
                  <w:vAlign w:val="center"/>
                </w:tcPr>
                <w:p w14:paraId="510535D9">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昌吉市已在大西渠镇设置临时建筑垃圾资源化利用项目，该项目已建设完成，正在开展环境保护竣工验收</w:t>
                  </w:r>
                  <w:r>
                    <w:rPr>
                      <w:rFonts w:hint="eastAsia" w:cs="Times New Roman"/>
                      <w:color w:val="auto"/>
                      <w:kern w:val="0"/>
                      <w:sz w:val="21"/>
                      <w:szCs w:val="21"/>
                      <w:vertAlign w:val="baseline"/>
                      <w:lang w:val="en-US" w:eastAsia="zh-CN"/>
                    </w:rPr>
                    <w:t>工作</w:t>
                  </w:r>
                  <w:r>
                    <w:rPr>
                      <w:rFonts w:hint="default" w:ascii="Times New Roman" w:hAnsi="Times New Roman" w:eastAsia="宋体" w:cs="Times New Roman"/>
                      <w:color w:val="auto"/>
                      <w:kern w:val="0"/>
                      <w:sz w:val="21"/>
                      <w:szCs w:val="21"/>
                      <w:vertAlign w:val="baseline"/>
                      <w:lang w:val="en-US" w:eastAsia="zh-CN"/>
                    </w:rPr>
                    <w:t>，场区已配套建设分拣、破碎等完整的建筑垃圾预处理工艺单元。本项目定位为建筑垃圾中转调配功能，建筑垃圾转运后送至该资源化利用设施完成后续加工处置，后端处置主体已具备全套预处理能力，因此本转运调配场不再重复设置分拣、破碎等预处理设施，符合区域处置设施统筹布局要求。</w:t>
                  </w:r>
                </w:p>
              </w:tc>
              <w:tc>
                <w:tcPr>
                  <w:tcW w:w="359" w:type="pct"/>
                  <w:tcBorders>
                    <w:tl2br w:val="nil"/>
                    <w:tr2bl w:val="nil"/>
                  </w:tcBorders>
                  <w:noWrap w:val="0"/>
                  <w:vAlign w:val="center"/>
                </w:tcPr>
                <w:p w14:paraId="19D37DBA">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符合</w:t>
                  </w:r>
                </w:p>
              </w:tc>
            </w:tr>
            <w:tr w14:paraId="79C5CE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2" w:type="pct"/>
                  <w:tcBorders>
                    <w:tl2br w:val="nil"/>
                    <w:tr2bl w:val="nil"/>
                  </w:tcBorders>
                  <w:noWrap w:val="0"/>
                  <w:vAlign w:val="center"/>
                </w:tcPr>
                <w:p w14:paraId="5CDEA4FD">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11</w:t>
                  </w:r>
                </w:p>
              </w:tc>
              <w:tc>
                <w:tcPr>
                  <w:tcW w:w="467" w:type="pct"/>
                  <w:vMerge w:val="continue"/>
                  <w:tcBorders>
                    <w:tl2br w:val="nil"/>
                    <w:tr2bl w:val="nil"/>
                  </w:tcBorders>
                  <w:noWrap w:val="0"/>
                  <w:vAlign w:val="center"/>
                </w:tcPr>
                <w:p w14:paraId="62CB4240">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vertAlign w:val="baseline"/>
                      <w:lang w:val="en-US" w:eastAsia="zh-CN"/>
                    </w:rPr>
                  </w:pPr>
                </w:p>
              </w:tc>
              <w:tc>
                <w:tcPr>
                  <w:tcW w:w="1853" w:type="pct"/>
                  <w:tcBorders>
                    <w:tl2br w:val="nil"/>
                    <w:tr2bl w:val="nil"/>
                  </w:tcBorders>
                  <w:noWrap w:val="0"/>
                  <w:vAlign w:val="center"/>
                </w:tcPr>
                <w:p w14:paraId="25DEA1A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7.2.7 转运调配场应配备装载机、推土机等作业机械，配备机械数量应与作业需求相适应。</w:t>
                  </w:r>
                </w:p>
              </w:tc>
              <w:tc>
                <w:tcPr>
                  <w:tcW w:w="2028" w:type="pct"/>
                  <w:tcBorders>
                    <w:tl2br w:val="nil"/>
                    <w:tr2bl w:val="nil"/>
                  </w:tcBorders>
                  <w:noWrap w:val="0"/>
                  <w:vAlign w:val="center"/>
                </w:tcPr>
                <w:p w14:paraId="49CEF9C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本项目已配备装载机、挖机等作业机械</w:t>
                  </w:r>
                </w:p>
              </w:tc>
              <w:tc>
                <w:tcPr>
                  <w:tcW w:w="359" w:type="pct"/>
                  <w:tcBorders>
                    <w:tl2br w:val="nil"/>
                    <w:tr2bl w:val="nil"/>
                  </w:tcBorders>
                  <w:noWrap w:val="0"/>
                  <w:vAlign w:val="center"/>
                </w:tcPr>
                <w:p w14:paraId="55FFFB2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符合</w:t>
                  </w:r>
                </w:p>
              </w:tc>
            </w:tr>
            <w:tr w14:paraId="7D2212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2" w:type="pct"/>
                  <w:tcBorders>
                    <w:tl2br w:val="nil"/>
                    <w:tr2bl w:val="nil"/>
                  </w:tcBorders>
                  <w:noWrap w:val="0"/>
                  <w:vAlign w:val="center"/>
                </w:tcPr>
                <w:p w14:paraId="4361F18E">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12</w:t>
                  </w:r>
                </w:p>
              </w:tc>
              <w:tc>
                <w:tcPr>
                  <w:tcW w:w="467" w:type="pct"/>
                  <w:vMerge w:val="continue"/>
                  <w:tcBorders>
                    <w:tl2br w:val="nil"/>
                    <w:tr2bl w:val="nil"/>
                  </w:tcBorders>
                  <w:noWrap w:val="0"/>
                  <w:vAlign w:val="center"/>
                </w:tcPr>
                <w:p w14:paraId="443E9600">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vertAlign w:val="baseline"/>
                      <w:lang w:val="en-US" w:eastAsia="zh-CN"/>
                    </w:rPr>
                  </w:pPr>
                </w:p>
              </w:tc>
              <w:tc>
                <w:tcPr>
                  <w:tcW w:w="1853" w:type="pct"/>
                  <w:tcBorders>
                    <w:tl2br w:val="nil"/>
                    <w:tr2bl w:val="nil"/>
                  </w:tcBorders>
                  <w:noWrap w:val="0"/>
                  <w:vAlign w:val="center"/>
                </w:tcPr>
                <w:p w14:paraId="7A504DE2">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7.2.8 生产管理区应布置在转运调配区的上风向，并宜设置办公用房等设施。总调配量在50000m</w:t>
                  </w:r>
                  <w:r>
                    <w:rPr>
                      <w:rFonts w:hint="eastAsia" w:ascii="Times New Roman" w:hAnsi="Times New Roman" w:eastAsia="宋体" w:cs="Times New Roman"/>
                      <w:color w:val="auto"/>
                      <w:kern w:val="0"/>
                      <w:sz w:val="21"/>
                      <w:szCs w:val="21"/>
                      <w:vertAlign w:val="superscript"/>
                      <w:lang w:val="en-US" w:eastAsia="zh-CN"/>
                    </w:rPr>
                    <w:t>3</w:t>
                  </w:r>
                  <w:r>
                    <w:rPr>
                      <w:rFonts w:hint="eastAsia" w:ascii="Times New Roman" w:hAnsi="Times New Roman" w:eastAsia="宋体" w:cs="Times New Roman"/>
                      <w:color w:val="auto"/>
                      <w:kern w:val="0"/>
                      <w:sz w:val="21"/>
                      <w:szCs w:val="21"/>
                      <w:vertAlign w:val="baseline"/>
                      <w:lang w:val="en-US" w:eastAsia="zh-CN"/>
                    </w:rPr>
                    <w:t>以上的转运调配场宜设置维修车间等设施。</w:t>
                  </w:r>
                </w:p>
              </w:tc>
              <w:tc>
                <w:tcPr>
                  <w:tcW w:w="2028" w:type="pct"/>
                  <w:tcBorders>
                    <w:tl2br w:val="nil"/>
                    <w:tr2bl w:val="nil"/>
                  </w:tcBorders>
                  <w:noWrap w:val="0"/>
                  <w:vAlign w:val="center"/>
                </w:tcPr>
                <w:p w14:paraId="5BE68AB0">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本项目管理用房依托项目区现有建筑物，本项目调配量为100000m</w:t>
                  </w:r>
                  <w:r>
                    <w:rPr>
                      <w:rFonts w:hint="eastAsia" w:ascii="Times New Roman" w:hAnsi="Times New Roman" w:eastAsia="宋体" w:cs="Times New Roman"/>
                      <w:color w:val="auto"/>
                      <w:kern w:val="0"/>
                      <w:sz w:val="21"/>
                      <w:szCs w:val="21"/>
                      <w:vertAlign w:val="superscript"/>
                      <w:lang w:val="en-US" w:eastAsia="zh-CN"/>
                    </w:rPr>
                    <w:t>3</w:t>
                  </w:r>
                  <w:r>
                    <w:rPr>
                      <w:rFonts w:hint="eastAsia" w:ascii="Times New Roman" w:hAnsi="Times New Roman" w:eastAsia="宋体" w:cs="Times New Roman"/>
                      <w:color w:val="auto"/>
                      <w:kern w:val="0"/>
                      <w:sz w:val="21"/>
                      <w:szCs w:val="21"/>
                      <w:vertAlign w:val="baseline"/>
                      <w:lang w:val="en-US" w:eastAsia="zh-CN"/>
                    </w:rPr>
                    <w:t>，机械维修依托社会力量，不再另设维修车间。</w:t>
                  </w:r>
                </w:p>
              </w:tc>
              <w:tc>
                <w:tcPr>
                  <w:tcW w:w="359" w:type="pct"/>
                  <w:tcBorders>
                    <w:tl2br w:val="nil"/>
                    <w:tr2bl w:val="nil"/>
                  </w:tcBorders>
                  <w:noWrap w:val="0"/>
                  <w:vAlign w:val="center"/>
                </w:tcPr>
                <w:p w14:paraId="55CECDB3">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符合</w:t>
                  </w:r>
                </w:p>
              </w:tc>
            </w:tr>
          </w:tbl>
          <w:p w14:paraId="729AE3F1">
            <w:pPr>
              <w:keepNext w:val="0"/>
              <w:keepLines w:val="0"/>
              <w:pageBreakBefore w:val="0"/>
              <w:widowControl w:val="0"/>
              <w:kinsoku/>
              <w:wordWrap/>
              <w:overflowPunct/>
              <w:topLinePunct w:val="0"/>
              <w:autoSpaceDE w:val="0"/>
              <w:autoSpaceDN w:val="0"/>
              <w:bidi w:val="0"/>
              <w:adjustRightInd w:val="0"/>
              <w:snapToGrid w:val="0"/>
              <w:spacing w:line="360" w:lineRule="auto"/>
              <w:jc w:val="both"/>
              <w:textAlignment w:val="auto"/>
              <w:rPr>
                <w:rFonts w:hint="eastAsia"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b/>
                <w:bCs/>
                <w:color w:val="auto"/>
                <w:kern w:val="0"/>
                <w:sz w:val="24"/>
                <w:szCs w:val="24"/>
                <w:lang w:val="en-US" w:eastAsia="zh-CN"/>
              </w:rPr>
              <w:t>4.2 与《建筑垃圾污染控制技术规范》（HJ1462-2026）的符合性分析</w:t>
            </w:r>
          </w:p>
          <w:p w14:paraId="757B0B7A">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b/>
                <w:bCs/>
                <w:color w:val="auto"/>
                <w:kern w:val="0"/>
                <w:sz w:val="21"/>
                <w:szCs w:val="21"/>
                <w:lang w:val="en-US" w:eastAsia="zh-CN"/>
              </w:rPr>
            </w:pPr>
            <w:r>
              <w:rPr>
                <w:rFonts w:hint="eastAsia" w:ascii="Times New Roman" w:hAnsi="Times New Roman" w:eastAsia="宋体" w:cs="Times New Roman"/>
                <w:color w:val="auto"/>
                <w:kern w:val="0"/>
                <w:sz w:val="24"/>
                <w:szCs w:val="24"/>
                <w:lang w:val="en-US" w:eastAsia="zh-CN"/>
              </w:rPr>
              <w:t>本项目</w:t>
            </w:r>
            <w:r>
              <w:rPr>
                <w:rFonts w:hint="default" w:ascii="Times New Roman" w:hAnsi="Times New Roman" w:eastAsia="宋体" w:cs="Times New Roman"/>
                <w:color w:val="auto"/>
                <w:kern w:val="0"/>
                <w:sz w:val="24"/>
                <w:szCs w:val="24"/>
                <w:lang w:val="en-US" w:eastAsia="zh-CN"/>
              </w:rPr>
              <w:t>建设符合《建筑垃圾污染控制技术规范》（HJ1462-2026）中的处理</w:t>
            </w:r>
            <w:r>
              <w:rPr>
                <w:rFonts w:hint="eastAsia" w:ascii="Times New Roman" w:hAnsi="Times New Roman" w:eastAsia="宋体" w:cs="Times New Roman"/>
                <w:color w:val="auto"/>
                <w:kern w:val="0"/>
                <w:sz w:val="24"/>
                <w:szCs w:val="24"/>
                <w:lang w:val="en-US" w:eastAsia="zh-CN"/>
              </w:rPr>
              <w:t>技术</w:t>
            </w:r>
            <w:r>
              <w:rPr>
                <w:rFonts w:hint="default" w:ascii="Times New Roman" w:hAnsi="Times New Roman" w:eastAsia="宋体" w:cs="Times New Roman"/>
                <w:color w:val="auto"/>
                <w:kern w:val="0"/>
                <w:sz w:val="24"/>
                <w:szCs w:val="24"/>
                <w:lang w:val="en-US" w:eastAsia="zh-CN"/>
              </w:rPr>
              <w:t>要求，具体分析情况如下表所示。</w:t>
            </w:r>
          </w:p>
          <w:p w14:paraId="65F4581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b/>
                <w:bCs/>
                <w:color w:val="auto"/>
                <w:kern w:val="0"/>
                <w:sz w:val="21"/>
                <w:szCs w:val="21"/>
                <w:lang w:val="en-US" w:eastAsia="zh-CN"/>
              </w:rPr>
              <w:t>表1-5   项目处理技术情况分析一览表</w:t>
            </w:r>
          </w:p>
          <w:tbl>
            <w:tblPr>
              <w:tblStyle w:val="28"/>
              <w:tblW w:w="4997"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3134"/>
              <w:gridCol w:w="3223"/>
              <w:gridCol w:w="522"/>
            </w:tblGrid>
            <w:tr w14:paraId="41A92F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2" w:type="pct"/>
                  <w:tcBorders>
                    <w:bottom w:val="single" w:color="auto" w:sz="12" w:space="0"/>
                  </w:tcBorders>
                  <w:noWrap w:val="0"/>
                  <w:vAlign w:val="center"/>
                </w:tcPr>
                <w:p w14:paraId="336F9D7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vertAlign w:val="baseline"/>
                      <w:lang w:val="en-US" w:eastAsia="zh-CN"/>
                    </w:rPr>
                  </w:pPr>
                  <w:r>
                    <w:rPr>
                      <w:rFonts w:hint="eastAsia" w:ascii="Times New Roman" w:hAnsi="Times New Roman" w:eastAsia="宋体" w:cs="Times New Roman"/>
                      <w:b/>
                      <w:bCs/>
                      <w:color w:val="auto"/>
                      <w:kern w:val="0"/>
                      <w:sz w:val="21"/>
                      <w:szCs w:val="21"/>
                      <w:vertAlign w:val="baseline"/>
                      <w:lang w:val="en-US" w:eastAsia="zh-CN"/>
                    </w:rPr>
                    <w:t>序号</w:t>
                  </w:r>
                </w:p>
              </w:tc>
              <w:tc>
                <w:tcPr>
                  <w:tcW w:w="2144" w:type="pct"/>
                  <w:tcBorders>
                    <w:bottom w:val="single" w:color="auto" w:sz="12" w:space="0"/>
                  </w:tcBorders>
                  <w:noWrap w:val="0"/>
                  <w:vAlign w:val="center"/>
                </w:tcPr>
                <w:p w14:paraId="72A55FC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vertAlign w:val="baseline"/>
                      <w:lang w:val="en-US" w:eastAsia="zh-CN"/>
                    </w:rPr>
                  </w:pPr>
                  <w:r>
                    <w:rPr>
                      <w:rFonts w:hint="eastAsia" w:ascii="Times New Roman" w:hAnsi="Times New Roman" w:eastAsia="宋体" w:cs="Times New Roman"/>
                      <w:b/>
                      <w:bCs/>
                      <w:color w:val="auto"/>
                      <w:kern w:val="0"/>
                      <w:sz w:val="21"/>
                      <w:szCs w:val="21"/>
                      <w:vertAlign w:val="baseline"/>
                      <w:lang w:val="en-US" w:eastAsia="zh-CN"/>
                    </w:rPr>
                    <w:t>要求</w:t>
                  </w:r>
                </w:p>
              </w:tc>
              <w:tc>
                <w:tcPr>
                  <w:tcW w:w="2205" w:type="pct"/>
                  <w:tcBorders>
                    <w:bottom w:val="single" w:color="auto" w:sz="12" w:space="0"/>
                  </w:tcBorders>
                  <w:noWrap w:val="0"/>
                  <w:vAlign w:val="center"/>
                </w:tcPr>
                <w:p w14:paraId="4ED63FB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vertAlign w:val="baseline"/>
                      <w:lang w:val="en-US" w:eastAsia="zh-CN"/>
                    </w:rPr>
                  </w:pPr>
                  <w:r>
                    <w:rPr>
                      <w:rFonts w:hint="eastAsia" w:ascii="Times New Roman" w:hAnsi="Times New Roman" w:eastAsia="宋体" w:cs="Times New Roman"/>
                      <w:b/>
                      <w:bCs/>
                      <w:color w:val="auto"/>
                      <w:kern w:val="0"/>
                      <w:sz w:val="21"/>
                      <w:szCs w:val="21"/>
                      <w:vertAlign w:val="baseline"/>
                      <w:lang w:val="en-US" w:eastAsia="zh-CN"/>
                    </w:rPr>
                    <w:t>本项目情况</w:t>
                  </w:r>
                </w:p>
              </w:tc>
              <w:tc>
                <w:tcPr>
                  <w:tcW w:w="357" w:type="pct"/>
                  <w:tcBorders>
                    <w:bottom w:val="single" w:color="auto" w:sz="12" w:space="0"/>
                  </w:tcBorders>
                  <w:noWrap w:val="0"/>
                  <w:vAlign w:val="center"/>
                </w:tcPr>
                <w:p w14:paraId="3A706D6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vertAlign w:val="baseline"/>
                      <w:lang w:val="en-US" w:eastAsia="zh-CN"/>
                    </w:rPr>
                  </w:pPr>
                  <w:r>
                    <w:rPr>
                      <w:rFonts w:hint="eastAsia" w:ascii="Times New Roman" w:hAnsi="Times New Roman" w:eastAsia="宋体" w:cs="Times New Roman"/>
                      <w:b/>
                      <w:bCs/>
                      <w:color w:val="auto"/>
                      <w:kern w:val="0"/>
                      <w:sz w:val="21"/>
                      <w:szCs w:val="21"/>
                      <w:vertAlign w:val="baseline"/>
                      <w:lang w:val="en-US" w:eastAsia="zh-CN"/>
                    </w:rPr>
                    <w:t>符合性</w:t>
                  </w:r>
                </w:p>
              </w:tc>
            </w:tr>
            <w:tr w14:paraId="72763A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2" w:type="pct"/>
                  <w:tcBorders>
                    <w:top w:val="single" w:color="auto" w:sz="12" w:space="0"/>
                    <w:tl2br w:val="nil"/>
                    <w:tr2bl w:val="nil"/>
                  </w:tcBorders>
                  <w:noWrap w:val="0"/>
                  <w:vAlign w:val="center"/>
                </w:tcPr>
                <w:p w14:paraId="0C29797C">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1</w:t>
                  </w:r>
                </w:p>
              </w:tc>
              <w:tc>
                <w:tcPr>
                  <w:tcW w:w="2144" w:type="pct"/>
                  <w:tcBorders>
                    <w:top w:val="single" w:color="auto" w:sz="12" w:space="0"/>
                    <w:tl2br w:val="nil"/>
                    <w:tr2bl w:val="nil"/>
                  </w:tcBorders>
                  <w:noWrap w:val="0"/>
                  <w:vAlign w:val="center"/>
                </w:tcPr>
                <w:p w14:paraId="03F0BC2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6.1 贮存设施或场所可接收4.2b)、4.2c)、工程渣土、脱水后工程泥浆，并进行分区堆放与管理，根据需求进行中转、调配。</w:t>
                  </w:r>
                </w:p>
              </w:tc>
              <w:tc>
                <w:tcPr>
                  <w:tcW w:w="2205" w:type="pct"/>
                  <w:tcBorders>
                    <w:top w:val="single" w:color="auto" w:sz="12" w:space="0"/>
                    <w:tl2br w:val="nil"/>
                    <w:tr2bl w:val="nil"/>
                  </w:tcBorders>
                  <w:noWrap w:val="0"/>
                  <w:vAlign w:val="center"/>
                </w:tcPr>
                <w:p w14:paraId="3688A4AA">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本项目将工程渣土、工程垃圾、拆除垃圾和装修垃圾分类堆放，并设置明显的分类堆放标志，根据需求进行中转、调配。</w:t>
                  </w:r>
                </w:p>
              </w:tc>
              <w:tc>
                <w:tcPr>
                  <w:tcW w:w="357" w:type="pct"/>
                  <w:tcBorders>
                    <w:top w:val="single" w:color="auto" w:sz="12" w:space="0"/>
                    <w:tl2br w:val="nil"/>
                    <w:tr2bl w:val="nil"/>
                  </w:tcBorders>
                  <w:noWrap w:val="0"/>
                  <w:vAlign w:val="center"/>
                </w:tcPr>
                <w:p w14:paraId="5DE1D452">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符合</w:t>
                  </w:r>
                </w:p>
              </w:tc>
            </w:tr>
            <w:tr w14:paraId="6E0B20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2" w:type="pct"/>
                  <w:tcBorders>
                    <w:tl2br w:val="nil"/>
                    <w:tr2bl w:val="nil"/>
                  </w:tcBorders>
                  <w:noWrap w:val="0"/>
                  <w:vAlign w:val="center"/>
                </w:tcPr>
                <w:p w14:paraId="04CF587A">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2</w:t>
                  </w:r>
                </w:p>
              </w:tc>
              <w:tc>
                <w:tcPr>
                  <w:tcW w:w="2144" w:type="pct"/>
                  <w:tcBorders>
                    <w:tl2br w:val="nil"/>
                    <w:tr2bl w:val="nil"/>
                  </w:tcBorders>
                  <w:noWrap w:val="0"/>
                  <w:vAlign w:val="center"/>
                </w:tcPr>
                <w:p w14:paraId="4465835A">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6.2 贮存设施或场所的基础设施应参照CJJ/T134进行建设和配备，场区内不存有积水，4.2c)堆放区应采取防雨淋措施。</w:t>
                  </w:r>
                </w:p>
              </w:tc>
              <w:tc>
                <w:tcPr>
                  <w:tcW w:w="2205" w:type="pct"/>
                  <w:tcBorders>
                    <w:tl2br w:val="nil"/>
                    <w:tr2bl w:val="nil"/>
                  </w:tcBorders>
                  <w:noWrap w:val="0"/>
                  <w:vAlign w:val="center"/>
                </w:tcPr>
                <w:p w14:paraId="40CD83B0">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本项目调配场的地坪符合</w:t>
                  </w:r>
                  <w:r>
                    <w:rPr>
                      <w:rFonts w:hint="default" w:ascii="Times New Roman" w:hAnsi="Times New Roman" w:eastAsia="宋体" w:cs="Times New Roman"/>
                      <w:color w:val="auto"/>
                      <w:kern w:val="0"/>
                      <w:sz w:val="21"/>
                      <w:szCs w:val="21"/>
                      <w:vertAlign w:val="baseline"/>
                      <w:lang w:val="en-US" w:eastAsia="zh-CN"/>
                    </w:rPr>
                    <w:t>CJJ/T134</w:t>
                  </w:r>
                  <w:r>
                    <w:rPr>
                      <w:rFonts w:hint="eastAsia" w:ascii="Times New Roman" w:hAnsi="Times New Roman" w:eastAsia="宋体" w:cs="Times New Roman"/>
                      <w:color w:val="auto"/>
                      <w:kern w:val="0"/>
                      <w:sz w:val="21"/>
                      <w:szCs w:val="21"/>
                      <w:vertAlign w:val="baseline"/>
                      <w:lang w:val="en-US" w:eastAsia="zh-CN"/>
                    </w:rPr>
                    <w:t>的要求，并设置有排水设施，本项目接收的垃圾为分类的建筑垃圾，进场垃圾经过检查合格后才能进入调配场，确保接收的建筑垃圾中不混入生活垃圾/危险废物等，不属于4.2c所列内容，故不需要采取防雨淋措施。</w:t>
                  </w:r>
                </w:p>
              </w:tc>
              <w:tc>
                <w:tcPr>
                  <w:tcW w:w="357" w:type="pct"/>
                  <w:tcBorders>
                    <w:tl2br w:val="nil"/>
                    <w:tr2bl w:val="nil"/>
                  </w:tcBorders>
                  <w:noWrap w:val="0"/>
                  <w:vAlign w:val="center"/>
                </w:tcPr>
                <w:p w14:paraId="61FE606F">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符合</w:t>
                  </w:r>
                </w:p>
              </w:tc>
            </w:tr>
            <w:tr w14:paraId="68CE70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2" w:type="pct"/>
                  <w:tcBorders>
                    <w:tl2br w:val="nil"/>
                    <w:tr2bl w:val="nil"/>
                  </w:tcBorders>
                  <w:noWrap w:val="0"/>
                  <w:vAlign w:val="center"/>
                </w:tcPr>
                <w:p w14:paraId="3CEBA16D">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3</w:t>
                  </w:r>
                </w:p>
              </w:tc>
              <w:tc>
                <w:tcPr>
                  <w:tcW w:w="2144" w:type="pct"/>
                  <w:tcBorders>
                    <w:tl2br w:val="nil"/>
                    <w:tr2bl w:val="nil"/>
                  </w:tcBorders>
                  <w:noWrap w:val="0"/>
                  <w:vAlign w:val="center"/>
                </w:tcPr>
                <w:p w14:paraId="3B128CAF">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6.3 贮存设施或场所应对场内物料倒运、上料、卸料等环节采取降噪措施，并采取喷雾、</w:t>
                  </w:r>
                  <w:r>
                    <w:rPr>
                      <w:rFonts w:hint="eastAsia" w:ascii="Times New Roman" w:hAnsi="Times New Roman" w:eastAsia="宋体" w:cs="Times New Roman"/>
                      <w:color w:val="auto"/>
                      <w:kern w:val="0"/>
                      <w:sz w:val="21"/>
                      <w:szCs w:val="21"/>
                      <w:vertAlign w:val="baseline"/>
                      <w:lang w:val="en-US" w:eastAsia="zh-CN"/>
                    </w:rPr>
                    <w:t>洒水</w:t>
                  </w:r>
                  <w:r>
                    <w:rPr>
                      <w:rFonts w:hint="default" w:ascii="Times New Roman" w:hAnsi="Times New Roman" w:eastAsia="宋体" w:cs="Times New Roman"/>
                      <w:color w:val="auto"/>
                      <w:kern w:val="0"/>
                      <w:sz w:val="21"/>
                      <w:szCs w:val="21"/>
                      <w:vertAlign w:val="baseline"/>
                      <w:lang w:val="en-US" w:eastAsia="zh-CN"/>
                    </w:rPr>
                    <w:t>、苫盖等措施进行抑尘。</w:t>
                  </w:r>
                </w:p>
              </w:tc>
              <w:tc>
                <w:tcPr>
                  <w:tcW w:w="2205" w:type="pct"/>
                  <w:tcBorders>
                    <w:tl2br w:val="nil"/>
                    <w:tr2bl w:val="nil"/>
                  </w:tcBorders>
                  <w:noWrap w:val="0"/>
                  <w:vAlign w:val="center"/>
                </w:tcPr>
                <w:p w14:paraId="4756C2BA">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本项目物料倒运、装卸料环节进行洒水降尘，</w:t>
                  </w:r>
                  <w:r>
                    <w:rPr>
                      <w:rFonts w:hint="default" w:ascii="Times New Roman" w:hAnsi="Times New Roman" w:cs="Times New Roman"/>
                      <w:bCs/>
                      <w:color w:val="auto"/>
                      <w:sz w:val="21"/>
                      <w:szCs w:val="21"/>
                      <w:vertAlign w:val="baseline"/>
                      <w:lang w:val="en-US" w:eastAsia="zh-CN"/>
                    </w:rPr>
                    <w:t>场区四周布设总长约725m的防风抑散网，并结合喷淋等抑尘设施</w:t>
                  </w:r>
                  <w:r>
                    <w:rPr>
                      <w:rFonts w:hint="eastAsia" w:ascii="Times New Roman" w:hAnsi="Times New Roman" w:cs="Times New Roman"/>
                      <w:bCs/>
                      <w:color w:val="auto"/>
                      <w:sz w:val="21"/>
                      <w:szCs w:val="21"/>
                      <w:vertAlign w:val="baseline"/>
                      <w:lang w:val="en-US" w:eastAsia="zh-CN"/>
                    </w:rPr>
                    <w:t>；</w:t>
                  </w:r>
                </w:p>
              </w:tc>
              <w:tc>
                <w:tcPr>
                  <w:tcW w:w="357" w:type="pct"/>
                  <w:tcBorders>
                    <w:tl2br w:val="nil"/>
                    <w:tr2bl w:val="nil"/>
                  </w:tcBorders>
                  <w:noWrap w:val="0"/>
                  <w:vAlign w:val="center"/>
                </w:tcPr>
                <w:p w14:paraId="4ACE0FB8">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符合</w:t>
                  </w:r>
                </w:p>
              </w:tc>
            </w:tr>
            <w:tr w14:paraId="2BDDA3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2" w:type="pct"/>
                  <w:tcBorders>
                    <w:tl2br w:val="nil"/>
                    <w:tr2bl w:val="nil"/>
                  </w:tcBorders>
                  <w:noWrap w:val="0"/>
                  <w:vAlign w:val="center"/>
                </w:tcPr>
                <w:p w14:paraId="254ABD43">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4</w:t>
                  </w:r>
                </w:p>
              </w:tc>
              <w:tc>
                <w:tcPr>
                  <w:tcW w:w="2144" w:type="pct"/>
                  <w:tcBorders>
                    <w:tl2br w:val="nil"/>
                    <w:tr2bl w:val="nil"/>
                  </w:tcBorders>
                  <w:noWrap w:val="0"/>
                  <w:vAlign w:val="center"/>
                </w:tcPr>
                <w:p w14:paraId="68D6ED3D">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6.4 建筑垃圾在装运过程中应避免混合，运输过程中应采取必要的防扬散、防遗撒、防渗漏、防噪声措施。</w:t>
                  </w:r>
                </w:p>
              </w:tc>
              <w:tc>
                <w:tcPr>
                  <w:tcW w:w="2205" w:type="pct"/>
                  <w:tcBorders>
                    <w:tl2br w:val="nil"/>
                    <w:tr2bl w:val="nil"/>
                  </w:tcBorders>
                  <w:noWrap w:val="0"/>
                  <w:vAlign w:val="center"/>
                </w:tcPr>
                <w:p w14:paraId="00296B22">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本项目已设置分区，已制定相关的作业制度，可避免建筑垃圾在装运过程中混合</w:t>
                  </w:r>
                </w:p>
              </w:tc>
              <w:tc>
                <w:tcPr>
                  <w:tcW w:w="357" w:type="pct"/>
                  <w:tcBorders>
                    <w:tl2br w:val="nil"/>
                    <w:tr2bl w:val="nil"/>
                  </w:tcBorders>
                  <w:noWrap w:val="0"/>
                  <w:vAlign w:val="center"/>
                </w:tcPr>
                <w:p w14:paraId="25E422F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符合</w:t>
                  </w:r>
                </w:p>
              </w:tc>
            </w:tr>
            <w:tr w14:paraId="4CBA3F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2" w:type="pct"/>
                  <w:tcBorders>
                    <w:tl2br w:val="nil"/>
                    <w:tr2bl w:val="nil"/>
                  </w:tcBorders>
                  <w:noWrap w:val="0"/>
                  <w:vAlign w:val="center"/>
                </w:tcPr>
                <w:p w14:paraId="2A1C990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5</w:t>
                  </w:r>
                </w:p>
              </w:tc>
              <w:tc>
                <w:tcPr>
                  <w:tcW w:w="2144" w:type="pct"/>
                  <w:tcBorders>
                    <w:tl2br w:val="nil"/>
                    <w:tr2bl w:val="nil"/>
                  </w:tcBorders>
                  <w:noWrap w:val="0"/>
                  <w:vAlign w:val="center"/>
                </w:tcPr>
                <w:p w14:paraId="0EADB82E">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highlight w:val="none"/>
                      <w:vertAlign w:val="baseline"/>
                      <w:lang w:val="en-US" w:eastAsia="zh-CN"/>
                    </w:rPr>
                  </w:pPr>
                  <w:r>
                    <w:rPr>
                      <w:rFonts w:hint="default" w:ascii="Times New Roman" w:hAnsi="Times New Roman" w:eastAsia="宋体" w:cs="Times New Roman"/>
                      <w:color w:val="auto"/>
                      <w:kern w:val="0"/>
                      <w:sz w:val="21"/>
                      <w:szCs w:val="21"/>
                      <w:vertAlign w:val="baseline"/>
                      <w:lang w:val="en-US" w:eastAsia="zh-CN"/>
                    </w:rPr>
                    <w:t>6.5 贮存与运输过程中宜使用新能源车和机械。</w:t>
                  </w:r>
                </w:p>
              </w:tc>
              <w:tc>
                <w:tcPr>
                  <w:tcW w:w="2205" w:type="pct"/>
                  <w:tcBorders>
                    <w:tl2br w:val="nil"/>
                    <w:tr2bl w:val="nil"/>
                  </w:tcBorders>
                  <w:noWrap w:val="0"/>
                  <w:vAlign w:val="center"/>
                </w:tcPr>
                <w:p w14:paraId="6A791AB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highlight w:val="none"/>
                      <w:vertAlign w:val="baseline"/>
                      <w:lang w:val="en-US" w:eastAsia="zh-CN"/>
                    </w:rPr>
                  </w:pPr>
                  <w:r>
                    <w:rPr>
                      <w:rFonts w:hint="eastAsia" w:ascii="Times New Roman" w:hAnsi="Times New Roman" w:eastAsia="宋体" w:cs="Times New Roman"/>
                      <w:color w:val="auto"/>
                      <w:kern w:val="0"/>
                      <w:sz w:val="21"/>
                      <w:szCs w:val="21"/>
                      <w:highlight w:val="none"/>
                      <w:vertAlign w:val="baseline"/>
                      <w:lang w:val="en-US" w:eastAsia="zh-CN"/>
                    </w:rPr>
                    <w:t>本环评建议使用新能源车辆</w:t>
                  </w:r>
                </w:p>
              </w:tc>
              <w:tc>
                <w:tcPr>
                  <w:tcW w:w="357" w:type="pct"/>
                  <w:tcBorders>
                    <w:tl2br w:val="nil"/>
                    <w:tr2bl w:val="nil"/>
                  </w:tcBorders>
                  <w:noWrap w:val="0"/>
                  <w:vAlign w:val="center"/>
                </w:tcPr>
                <w:p w14:paraId="23F5125F">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符合</w:t>
                  </w:r>
                </w:p>
              </w:tc>
            </w:tr>
          </w:tbl>
          <w:p w14:paraId="71533864">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both"/>
              <w:textAlignment w:val="auto"/>
              <w:rPr>
                <w:rFonts w:hint="eastAsia" w:ascii="Times New Roman" w:hAnsi="Times New Roman" w:eastAsia="宋体" w:cs="Times New Roman"/>
                <w:b/>
                <w:bCs/>
                <w:color w:val="auto"/>
                <w:kern w:val="0"/>
                <w:sz w:val="24"/>
                <w:szCs w:val="24"/>
                <w:lang w:val="en-US" w:eastAsia="zh-CN"/>
              </w:rPr>
            </w:pPr>
            <w:r>
              <w:rPr>
                <w:rFonts w:hint="eastAsia" w:ascii="Times New Roman" w:hAnsi="Times New Roman" w:eastAsia="宋体" w:cs="Times New Roman"/>
                <w:b/>
                <w:bCs/>
                <w:color w:val="auto"/>
                <w:kern w:val="0"/>
                <w:sz w:val="24"/>
                <w:szCs w:val="24"/>
                <w:lang w:val="en-US" w:eastAsia="zh-CN"/>
              </w:rPr>
              <w:t>4.3与《城市建筑垃圾管理规定》的符合性分析</w:t>
            </w:r>
          </w:p>
          <w:p w14:paraId="6AF4BF43">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cs="Times New Roman"/>
                <w:b/>
                <w:bCs/>
                <w:color w:val="auto"/>
                <w:spacing w:val="-4"/>
                <w:sz w:val="21"/>
                <w:szCs w:val="21"/>
              </w:rPr>
            </w:pPr>
            <w:r>
              <w:rPr>
                <w:rFonts w:hint="eastAsia" w:ascii="Times New Roman" w:hAnsi="Times New Roman" w:cs="Times New Roman"/>
                <w:b/>
                <w:bCs/>
                <w:color w:val="auto"/>
                <w:spacing w:val="-4"/>
                <w:sz w:val="21"/>
                <w:szCs w:val="21"/>
              </w:rPr>
              <w:t>表</w:t>
            </w:r>
            <w:r>
              <w:rPr>
                <w:rFonts w:hint="eastAsia" w:ascii="Times New Roman" w:hAnsi="Times New Roman" w:cs="Times New Roman"/>
                <w:b/>
                <w:bCs/>
                <w:color w:val="auto"/>
                <w:spacing w:val="-4"/>
                <w:sz w:val="21"/>
                <w:szCs w:val="21"/>
                <w:lang w:val="en-US" w:eastAsia="zh-CN"/>
              </w:rPr>
              <w:t>1-6</w:t>
            </w:r>
            <w:r>
              <w:rPr>
                <w:rFonts w:ascii="Times New Roman" w:hAnsi="Times New Roman" w:cs="Times New Roman"/>
                <w:b/>
                <w:bCs/>
                <w:color w:val="auto"/>
                <w:spacing w:val="-4"/>
                <w:sz w:val="21"/>
                <w:szCs w:val="21"/>
              </w:rPr>
              <w:t xml:space="preserve">   </w:t>
            </w:r>
            <w:r>
              <w:rPr>
                <w:rFonts w:hint="eastAsia" w:ascii="Times New Roman" w:hAnsi="Times New Roman" w:cs="Times New Roman"/>
                <w:b/>
                <w:bCs/>
                <w:color w:val="auto"/>
                <w:spacing w:val="-4"/>
                <w:sz w:val="21"/>
                <w:szCs w:val="21"/>
              </w:rPr>
              <w:t>与“</w:t>
            </w:r>
            <w:r>
              <w:rPr>
                <w:rFonts w:hint="eastAsia" w:ascii="Times New Roman" w:hAnsi="Times New Roman" w:cs="Times New Roman"/>
                <w:b/>
                <w:bCs/>
                <w:color w:val="auto"/>
                <w:spacing w:val="-4"/>
                <w:sz w:val="21"/>
                <w:szCs w:val="21"/>
                <w:lang w:val="en-US" w:eastAsia="zh-CN"/>
              </w:rPr>
              <w:t>城市建筑垃圾管理规定</w:t>
            </w:r>
            <w:r>
              <w:rPr>
                <w:rFonts w:hint="eastAsia" w:ascii="Times New Roman" w:hAnsi="Times New Roman" w:cs="Times New Roman"/>
                <w:b/>
                <w:bCs/>
                <w:color w:val="auto"/>
                <w:spacing w:val="-4"/>
                <w:sz w:val="21"/>
                <w:szCs w:val="21"/>
              </w:rPr>
              <w:t>”符合性分析</w:t>
            </w:r>
          </w:p>
          <w:tbl>
            <w:tblPr>
              <w:tblStyle w:val="28"/>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222"/>
              <w:gridCol w:w="2657"/>
              <w:gridCol w:w="428"/>
            </w:tblGrid>
            <w:tr w14:paraId="2E6C69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897" w:type="pct"/>
                  <w:tcBorders>
                    <w:bottom w:val="single" w:color="auto" w:sz="12" w:space="0"/>
                  </w:tcBorders>
                  <w:noWrap w:val="0"/>
                  <w:vAlign w:val="center"/>
                </w:tcPr>
                <w:p w14:paraId="671AE07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eastAsia" w:ascii="Times New Roman" w:hAnsi="Times New Roman" w:cs="Times New Roman"/>
                      <w:b/>
                      <w:bCs/>
                      <w:color w:val="auto"/>
                      <w:sz w:val="21"/>
                      <w:szCs w:val="21"/>
                      <w:lang w:val="en-US" w:eastAsia="zh-CN"/>
                    </w:rPr>
                    <w:t>管理规定内容</w:t>
                  </w:r>
                </w:p>
              </w:tc>
              <w:tc>
                <w:tcPr>
                  <w:tcW w:w="1826" w:type="pct"/>
                  <w:tcBorders>
                    <w:bottom w:val="single" w:color="auto" w:sz="12" w:space="0"/>
                  </w:tcBorders>
                  <w:noWrap w:val="0"/>
                  <w:vAlign w:val="center"/>
                </w:tcPr>
                <w:p w14:paraId="1097685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eastAsia" w:ascii="Times New Roman" w:hAnsi="Times New Roman" w:cs="Times New Roman"/>
                      <w:b/>
                      <w:bCs/>
                      <w:color w:val="auto"/>
                      <w:sz w:val="21"/>
                      <w:szCs w:val="21"/>
                      <w:lang w:val="en-US" w:eastAsia="zh-CN"/>
                    </w:rPr>
                    <w:t>本项目情况</w:t>
                  </w:r>
                </w:p>
              </w:tc>
              <w:tc>
                <w:tcPr>
                  <w:tcW w:w="276" w:type="pct"/>
                  <w:tcBorders>
                    <w:bottom w:val="single" w:color="auto" w:sz="12" w:space="0"/>
                  </w:tcBorders>
                  <w:noWrap w:val="0"/>
                  <w:vAlign w:val="center"/>
                </w:tcPr>
                <w:p w14:paraId="6AC189C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sz w:val="21"/>
                      <w:szCs w:val="21"/>
                      <w:lang w:val="en-US" w:eastAsia="zh-CN"/>
                    </w:rPr>
                  </w:pPr>
                  <w:r>
                    <w:rPr>
                      <w:rFonts w:hint="eastAsia" w:ascii="Times New Roman" w:hAnsi="Times New Roman" w:cs="Times New Roman"/>
                      <w:b/>
                      <w:bCs/>
                      <w:color w:val="auto"/>
                      <w:sz w:val="21"/>
                      <w:szCs w:val="21"/>
                      <w:lang w:val="en-US" w:eastAsia="zh-CN"/>
                    </w:rPr>
                    <w:t>符合性</w:t>
                  </w:r>
                </w:p>
              </w:tc>
            </w:tr>
            <w:tr w14:paraId="666B9A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897" w:type="pct"/>
                  <w:tcBorders>
                    <w:top w:val="single" w:color="auto" w:sz="12" w:space="0"/>
                    <w:tl2br w:val="nil"/>
                    <w:tr2bl w:val="nil"/>
                  </w:tcBorders>
                  <w:noWrap w:val="0"/>
                  <w:vAlign w:val="center"/>
                </w:tcPr>
                <w:p w14:paraId="4A883CF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rPr>
                    <w:t>第五条 建筑垃圾消纳、综合利用等设施的设置，应当纳入城市市容环境卫生专业规</w:t>
                  </w:r>
                  <w:r>
                    <w:rPr>
                      <w:rFonts w:hint="eastAsia" w:ascii="Times New Roman" w:hAnsi="Times New Roman" w:cs="Times New Roman"/>
                      <w:color w:val="auto"/>
                      <w:sz w:val="21"/>
                      <w:szCs w:val="21"/>
                      <w:lang w:val="en-US" w:eastAsia="zh-CN"/>
                    </w:rPr>
                    <w:t>划</w:t>
                  </w:r>
                </w:p>
              </w:tc>
              <w:tc>
                <w:tcPr>
                  <w:tcW w:w="1826" w:type="pct"/>
                  <w:tcBorders>
                    <w:top w:val="single" w:color="auto" w:sz="12" w:space="0"/>
                    <w:tl2br w:val="nil"/>
                    <w:tr2bl w:val="nil"/>
                  </w:tcBorders>
                  <w:noWrap w:val="0"/>
                  <w:vAlign w:val="center"/>
                </w:tcPr>
                <w:p w14:paraId="2359014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本项目已纳入《昌吉市“一市两区”建筑垃圾污染环境防治工作规划（2025-2030年）》</w:t>
                  </w:r>
                </w:p>
              </w:tc>
              <w:tc>
                <w:tcPr>
                  <w:tcW w:w="276" w:type="pct"/>
                  <w:tcBorders>
                    <w:top w:val="single" w:color="auto" w:sz="12" w:space="0"/>
                    <w:tl2br w:val="nil"/>
                    <w:tr2bl w:val="nil"/>
                  </w:tcBorders>
                  <w:noWrap w:val="0"/>
                  <w:vAlign w:val="center"/>
                </w:tcPr>
                <w:p w14:paraId="2EB8A9F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符合</w:t>
                  </w:r>
                </w:p>
              </w:tc>
            </w:tr>
            <w:tr w14:paraId="4D3677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897" w:type="pct"/>
                  <w:tcBorders>
                    <w:tl2br w:val="nil"/>
                    <w:tr2bl w:val="nil"/>
                  </w:tcBorders>
                  <w:noWrap w:val="0"/>
                  <w:vAlign w:val="center"/>
                </w:tcPr>
                <w:p w14:paraId="10A8AFE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ascii="Times New Roman" w:hAnsi="Times New Roman" w:cs="Times New Roman"/>
                      <w:color w:val="auto"/>
                      <w:sz w:val="21"/>
                      <w:szCs w:val="21"/>
                    </w:rPr>
                  </w:pPr>
                  <w:r>
                    <w:rPr>
                      <w:rFonts w:hint="eastAsia" w:ascii="Times New Roman" w:hAnsi="Times New Roman" w:cs="Times New Roman"/>
                      <w:color w:val="auto"/>
                      <w:sz w:val="21"/>
                      <w:szCs w:val="21"/>
                    </w:rPr>
                    <w:t>第九条 任何单位和个人不得将建筑垃圾混入生活垃圾，不得将危险废物混入建筑垃圾，不得擅自设立弃置场受纳建筑垃圾。</w:t>
                  </w:r>
                </w:p>
              </w:tc>
              <w:tc>
                <w:tcPr>
                  <w:tcW w:w="1826" w:type="pct"/>
                  <w:vMerge w:val="restart"/>
                  <w:tcBorders>
                    <w:tl2br w:val="nil"/>
                    <w:tr2bl w:val="nil"/>
                  </w:tcBorders>
                  <w:noWrap w:val="0"/>
                  <w:vAlign w:val="center"/>
                </w:tcPr>
                <w:p w14:paraId="46F06C4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本项目</w:t>
                  </w:r>
                  <w:r>
                    <w:rPr>
                      <w:rFonts w:hint="default" w:ascii="Times New Roman" w:hAnsi="Times New Roman" w:eastAsia="宋体" w:cs="Times New Roman"/>
                      <w:color w:val="auto"/>
                      <w:sz w:val="21"/>
                      <w:szCs w:val="21"/>
                      <w:lang w:val="en-US" w:eastAsia="zh-CN"/>
                    </w:rPr>
                    <w:t>主要为建筑施工废弃物（严禁</w:t>
                  </w:r>
                  <w:r>
                    <w:rPr>
                      <w:rFonts w:hint="eastAsia" w:ascii="Times New Roman" w:hAnsi="Times New Roman" w:eastAsia="宋体" w:cs="Times New Roman"/>
                      <w:color w:val="auto"/>
                      <w:sz w:val="21"/>
                      <w:szCs w:val="21"/>
                      <w:lang w:val="en-US" w:eastAsia="zh-CN"/>
                    </w:rPr>
                    <w:t>混入</w:t>
                  </w:r>
                  <w:r>
                    <w:rPr>
                      <w:rFonts w:hint="default" w:ascii="Times New Roman" w:hAnsi="Times New Roman" w:eastAsia="宋体" w:cs="Times New Roman"/>
                      <w:color w:val="auto"/>
                      <w:sz w:val="21"/>
                      <w:szCs w:val="21"/>
                      <w:lang w:val="en-US" w:eastAsia="zh-CN"/>
                    </w:rPr>
                    <w:t>生活垃圾、工业固体废物、危险废物、污水处理厂污泥及有机固废）</w:t>
                  </w:r>
                  <w:r>
                    <w:rPr>
                      <w:rFonts w:hint="eastAsia" w:ascii="Times New Roman" w:hAnsi="Times New Roman" w:eastAsia="宋体" w:cs="Times New Roman"/>
                      <w:color w:val="auto"/>
                      <w:sz w:val="21"/>
                      <w:szCs w:val="21"/>
                      <w:lang w:val="en-US" w:eastAsia="zh-CN"/>
                    </w:rPr>
                    <w:t>入场</w:t>
                  </w:r>
                </w:p>
              </w:tc>
              <w:tc>
                <w:tcPr>
                  <w:tcW w:w="276" w:type="pct"/>
                  <w:tcBorders>
                    <w:tl2br w:val="nil"/>
                    <w:tr2bl w:val="nil"/>
                  </w:tcBorders>
                  <w:noWrap w:val="0"/>
                  <w:vAlign w:val="center"/>
                </w:tcPr>
                <w:p w14:paraId="634443B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符合</w:t>
                  </w:r>
                </w:p>
              </w:tc>
            </w:tr>
            <w:tr w14:paraId="3CAF34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897" w:type="pct"/>
                  <w:tcBorders>
                    <w:tl2br w:val="nil"/>
                    <w:tr2bl w:val="nil"/>
                  </w:tcBorders>
                  <w:noWrap w:val="0"/>
                  <w:vAlign w:val="center"/>
                </w:tcPr>
                <w:p w14:paraId="6F04821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hint="eastAsia" w:ascii="Times New Roman" w:hAnsi="Times New Roman" w:cs="Times New Roman"/>
                      <w:color w:val="auto"/>
                      <w:sz w:val="21"/>
                      <w:szCs w:val="21"/>
                    </w:rPr>
                  </w:pPr>
                  <w:r>
                    <w:rPr>
                      <w:rFonts w:hint="eastAsia" w:ascii="Times New Roman" w:hAnsi="Times New Roman" w:cs="Times New Roman"/>
                      <w:color w:val="auto"/>
                      <w:sz w:val="21"/>
                      <w:szCs w:val="21"/>
                    </w:rPr>
                    <w:t>第十条 建筑垃圾储运消纳场不得受纳工业垃圾、生活垃圾和有毒有害垃圾。</w:t>
                  </w:r>
                </w:p>
              </w:tc>
              <w:tc>
                <w:tcPr>
                  <w:tcW w:w="1826" w:type="pct"/>
                  <w:vMerge w:val="continue"/>
                  <w:tcBorders>
                    <w:tl2br w:val="nil"/>
                    <w:tr2bl w:val="nil"/>
                  </w:tcBorders>
                  <w:noWrap w:val="0"/>
                  <w:vAlign w:val="center"/>
                </w:tcPr>
                <w:p w14:paraId="3E74953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textAlignment w:val="auto"/>
                    <w:rPr>
                      <w:rFonts w:ascii="Times New Roman" w:hAnsi="Times New Roman" w:cs="Times New Roman"/>
                      <w:color w:val="auto"/>
                      <w:sz w:val="21"/>
                      <w:szCs w:val="21"/>
                    </w:rPr>
                  </w:pPr>
                </w:p>
              </w:tc>
              <w:tc>
                <w:tcPr>
                  <w:tcW w:w="276" w:type="pct"/>
                  <w:tcBorders>
                    <w:tl2br w:val="nil"/>
                    <w:tr2bl w:val="nil"/>
                  </w:tcBorders>
                  <w:noWrap w:val="0"/>
                  <w:vAlign w:val="center"/>
                </w:tcPr>
                <w:p w14:paraId="75183EA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符合</w:t>
                  </w:r>
                </w:p>
              </w:tc>
            </w:tr>
          </w:tbl>
          <w:p w14:paraId="7DB1BA5B">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both"/>
              <w:textAlignment w:val="auto"/>
              <w:rPr>
                <w:rFonts w:hint="eastAsia" w:ascii="Times New Roman" w:hAnsi="Times New Roman" w:eastAsia="宋体" w:cs="Times New Roman"/>
                <w:b/>
                <w:bCs/>
                <w:color w:val="auto"/>
                <w:kern w:val="0"/>
                <w:sz w:val="24"/>
                <w:szCs w:val="24"/>
                <w:lang w:val="en-US" w:eastAsia="zh-CN"/>
              </w:rPr>
            </w:pPr>
            <w:r>
              <w:rPr>
                <w:rFonts w:hint="eastAsia" w:ascii="Times New Roman" w:hAnsi="Times New Roman" w:eastAsia="宋体" w:cs="Times New Roman"/>
                <w:b/>
                <w:bCs/>
                <w:color w:val="auto"/>
                <w:kern w:val="0"/>
                <w:sz w:val="24"/>
                <w:szCs w:val="24"/>
                <w:lang w:val="en-US" w:eastAsia="zh-CN"/>
              </w:rPr>
              <w:t>4.4 与《空气质量持续改善行动计划》（国发〔2023〕24号）符合性分析</w:t>
            </w:r>
          </w:p>
          <w:p w14:paraId="78D2247A">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rPr>
              <w:t>本项目为建筑垃圾中转调配场，针对堆存、装卸、转运环节无组织扬尘采取系统性防控措施：场区围挡封闭</w:t>
            </w:r>
            <w:r>
              <w:rPr>
                <w:rFonts w:hint="default" w:ascii="Times New Roman" w:hAnsi="Times New Roman" w:eastAsia="宋体" w:cs="Times New Roman"/>
                <w:b w:val="0"/>
                <w:bCs w:val="0"/>
                <w:color w:val="auto"/>
                <w:sz w:val="24"/>
                <w:szCs w:val="24"/>
                <w:lang w:val="en-US" w:eastAsia="zh-CN"/>
              </w:rPr>
              <w:t>并</w:t>
            </w:r>
            <w:r>
              <w:rPr>
                <w:rFonts w:hint="default" w:ascii="Times New Roman" w:hAnsi="Times New Roman" w:eastAsia="宋体" w:cs="Times New Roman"/>
                <w:b w:val="0"/>
                <w:bCs w:val="0"/>
                <w:color w:val="auto"/>
                <w:sz w:val="24"/>
                <w:szCs w:val="24"/>
              </w:rPr>
              <w:t>设置喷淋抑尘系统；物料分区堆放场</w:t>
            </w:r>
            <w:r>
              <w:rPr>
                <w:rFonts w:hint="default" w:ascii="Times New Roman" w:hAnsi="Times New Roman" w:eastAsia="宋体" w:cs="Times New Roman"/>
                <w:b w:val="0"/>
                <w:bCs w:val="0"/>
                <w:color w:val="auto"/>
                <w:sz w:val="24"/>
                <w:szCs w:val="24"/>
                <w:lang w:val="en-US" w:eastAsia="zh-CN"/>
              </w:rPr>
              <w:t>并采取苫盖措施，厂内</w:t>
            </w:r>
            <w:r>
              <w:rPr>
                <w:rFonts w:hint="default" w:ascii="Times New Roman" w:hAnsi="Times New Roman" w:eastAsia="宋体" w:cs="Times New Roman"/>
                <w:b w:val="0"/>
                <w:bCs w:val="0"/>
                <w:color w:val="auto"/>
                <w:sz w:val="24"/>
                <w:szCs w:val="24"/>
              </w:rPr>
              <w:t>道路全部硬化，配套车辆冲洗平台；建筑垃圾转运车辆密闭运输，从源头控制扬尘排放；项目作为城市建筑垃圾规范化中转设施，替代随意露天堆存、无序倾倒的散乱堆放点，符合文件</w:t>
            </w:r>
            <w:r>
              <w:rPr>
                <w:rFonts w:hint="default" w:ascii="Times New Roman" w:hAnsi="Times New Roman" w:eastAsia="宋体" w:cs="Times New Roman"/>
                <w:b w:val="0"/>
                <w:bCs w:val="0"/>
                <w:color w:val="auto"/>
                <w:sz w:val="24"/>
                <w:szCs w:val="24"/>
                <w:lang w:val="en-US" w:eastAsia="zh-CN"/>
              </w:rPr>
              <w:t>中</w:t>
            </w:r>
            <w:r>
              <w:rPr>
                <w:rStyle w:val="30"/>
                <w:rFonts w:hint="default" w:ascii="Times New Roman" w:hAnsi="Times New Roman" w:eastAsia="宋体" w:cs="Times New Roman"/>
                <w:b w:val="0"/>
                <w:bCs w:val="0"/>
                <w:color w:val="auto"/>
                <w:sz w:val="24"/>
                <w:szCs w:val="24"/>
              </w:rPr>
              <w:t>扬尘综合治理、堆场规范化管控、城市面源精细化治理</w:t>
            </w:r>
            <w:r>
              <w:rPr>
                <w:rFonts w:hint="default" w:ascii="Times New Roman" w:hAnsi="Times New Roman" w:eastAsia="宋体" w:cs="Times New Roman"/>
                <w:b w:val="0"/>
                <w:bCs w:val="0"/>
                <w:color w:val="auto"/>
                <w:sz w:val="24"/>
                <w:szCs w:val="24"/>
              </w:rPr>
              <w:t>的总体要求，项目建设与《空气质量持续改善行动计划》（国发〔2023〕24号）管控要求相符。</w:t>
            </w:r>
          </w:p>
          <w:p w14:paraId="17C51801">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both"/>
              <w:textAlignment w:val="auto"/>
              <w:rPr>
                <w:rFonts w:hint="eastAsia" w:ascii="Times New Roman" w:hAnsi="Times New Roman" w:eastAsia="宋体" w:cs="Times New Roman"/>
                <w:b/>
                <w:bCs/>
                <w:color w:val="auto"/>
                <w:kern w:val="0"/>
                <w:sz w:val="24"/>
                <w:szCs w:val="24"/>
                <w:lang w:val="en-US" w:eastAsia="zh-CN"/>
              </w:rPr>
            </w:pPr>
            <w:r>
              <w:rPr>
                <w:rFonts w:hint="eastAsia" w:ascii="Times New Roman" w:hAnsi="Times New Roman" w:eastAsia="宋体" w:cs="Times New Roman"/>
                <w:b/>
                <w:bCs/>
                <w:color w:val="auto"/>
                <w:kern w:val="0"/>
                <w:sz w:val="24"/>
                <w:szCs w:val="24"/>
                <w:lang w:val="en-US" w:eastAsia="zh-CN"/>
              </w:rPr>
              <w:t>4.5 与《新疆维吾尔自治区 2025 年空气质量持续改善行动实施方案》（新政办发〔2024〕58 号）符合性分析</w:t>
            </w:r>
          </w:p>
          <w:p w14:paraId="438C8FB2">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ascii="宋体" w:hAnsi="宋体" w:eastAsia="宋体" w:cs="宋体"/>
                <w:b w:val="0"/>
                <w:bCs w:val="0"/>
                <w:color w:val="auto"/>
                <w:sz w:val="24"/>
                <w:szCs w:val="24"/>
              </w:rPr>
            </w:pPr>
            <w:r>
              <w:rPr>
                <w:rFonts w:ascii="宋体" w:hAnsi="宋体" w:eastAsia="宋体" w:cs="宋体"/>
                <w:b w:val="0"/>
                <w:bCs w:val="0"/>
                <w:color w:val="auto"/>
                <w:sz w:val="24"/>
                <w:szCs w:val="24"/>
              </w:rPr>
              <w:t>自治区方案承接国家行动计划，重点推进乌</w:t>
            </w:r>
            <w:r>
              <w:rPr>
                <w:rFonts w:hint="eastAsia" w:ascii="宋体" w:hAnsi="宋体" w:cs="宋体"/>
                <w:b w:val="0"/>
                <w:bCs w:val="0"/>
                <w:color w:val="auto"/>
                <w:sz w:val="24"/>
                <w:szCs w:val="24"/>
                <w:lang w:val="en-US" w:eastAsia="zh-CN"/>
              </w:rPr>
              <w:t>-</w:t>
            </w:r>
            <w:r>
              <w:rPr>
                <w:rFonts w:ascii="宋体" w:hAnsi="宋体" w:eastAsia="宋体" w:cs="宋体"/>
                <w:b w:val="0"/>
                <w:bCs w:val="0"/>
                <w:color w:val="auto"/>
                <w:sz w:val="24"/>
                <w:szCs w:val="24"/>
              </w:rPr>
              <w:t>昌</w:t>
            </w:r>
            <w:r>
              <w:rPr>
                <w:rFonts w:hint="eastAsia" w:ascii="宋体" w:hAnsi="宋体" w:cs="宋体"/>
                <w:b w:val="0"/>
                <w:bCs w:val="0"/>
                <w:color w:val="auto"/>
                <w:sz w:val="24"/>
                <w:szCs w:val="24"/>
                <w:lang w:val="en-US" w:eastAsia="zh-CN"/>
              </w:rPr>
              <w:t>-</w:t>
            </w:r>
            <w:r>
              <w:rPr>
                <w:rFonts w:ascii="宋体" w:hAnsi="宋体" w:eastAsia="宋体" w:cs="宋体"/>
                <w:b w:val="0"/>
                <w:bCs w:val="0"/>
                <w:color w:val="auto"/>
                <w:sz w:val="24"/>
                <w:szCs w:val="24"/>
              </w:rPr>
              <w:t>石区域大气联防联控，严格落实施工及建筑垃圾堆场扬尘管控，规范建筑垃圾收运处置全过程管理，强化堆场、渣土运输扬尘治理，完善城市建筑垃圾收运处置基础设施建设，降低区域颗粒物排放，持续改善区域空气质量。</w:t>
            </w:r>
          </w:p>
          <w:p w14:paraId="1A4B3015">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宋体" w:hAnsi="宋体" w:eastAsia="宋体" w:cs="宋体"/>
                <w:b w:val="0"/>
                <w:bCs w:val="0"/>
                <w:color w:val="auto"/>
                <w:sz w:val="24"/>
                <w:szCs w:val="24"/>
                <w:lang w:val="en-US" w:eastAsia="zh-CN"/>
              </w:rPr>
            </w:pPr>
            <w:r>
              <w:rPr>
                <w:rFonts w:ascii="宋体" w:hAnsi="宋体" w:eastAsia="宋体" w:cs="宋体"/>
                <w:b w:val="0"/>
                <w:bCs w:val="0"/>
                <w:color w:val="auto"/>
                <w:sz w:val="24"/>
                <w:szCs w:val="24"/>
              </w:rPr>
              <w:t>本项目位于昌吉市（乌</w:t>
            </w:r>
            <w:r>
              <w:rPr>
                <w:rFonts w:hint="eastAsia" w:ascii="宋体" w:hAnsi="宋体" w:cs="宋体"/>
                <w:b w:val="0"/>
                <w:bCs w:val="0"/>
                <w:color w:val="auto"/>
                <w:sz w:val="24"/>
                <w:szCs w:val="24"/>
                <w:lang w:val="en-US" w:eastAsia="zh-CN"/>
              </w:rPr>
              <w:t>-</w:t>
            </w:r>
            <w:r>
              <w:rPr>
                <w:rFonts w:ascii="宋体" w:hAnsi="宋体" w:eastAsia="宋体" w:cs="宋体"/>
                <w:b w:val="0"/>
                <w:bCs w:val="0"/>
                <w:color w:val="auto"/>
                <w:sz w:val="24"/>
                <w:szCs w:val="24"/>
              </w:rPr>
              <w:t>昌</w:t>
            </w:r>
            <w:r>
              <w:rPr>
                <w:rFonts w:hint="eastAsia" w:ascii="宋体" w:hAnsi="宋体" w:cs="宋体"/>
                <w:b w:val="0"/>
                <w:bCs w:val="0"/>
                <w:color w:val="auto"/>
                <w:sz w:val="24"/>
                <w:szCs w:val="24"/>
                <w:lang w:val="en-US" w:eastAsia="zh-CN"/>
              </w:rPr>
              <w:t>-</w:t>
            </w:r>
            <w:r>
              <w:rPr>
                <w:rFonts w:ascii="宋体" w:hAnsi="宋体" w:eastAsia="宋体" w:cs="宋体"/>
                <w:b w:val="0"/>
                <w:bCs w:val="0"/>
                <w:color w:val="auto"/>
                <w:sz w:val="24"/>
                <w:szCs w:val="24"/>
              </w:rPr>
              <w:t>石区域），定位为区域规范化建筑垃圾中转调配设施，补齐昌吉市建筑垃圾中转配套短板；场区落实硬化、密闭围挡、洒水喷淋、车辆冲洗等全套扬尘防治措施，对建筑垃圾实施分类分区管控，收运后的建筑垃圾转运至后端资源化及填埋设施处置，杜绝建筑垃圾随意堆放造成的扬尘污染。</w:t>
            </w:r>
            <w:r>
              <w:rPr>
                <w:rFonts w:hint="default" w:ascii="Times New Roman" w:hAnsi="Times New Roman" w:eastAsia="宋体" w:cs="Times New Roman"/>
                <w:b w:val="0"/>
                <w:bCs w:val="0"/>
                <w:color w:val="auto"/>
                <w:sz w:val="24"/>
                <w:szCs w:val="24"/>
              </w:rPr>
              <w:t>项目建设内容、污染防控措施均满足《新疆维吾尔自治区2025年空气质量持续改善行动实施方案》（新政办发〔2024〕58号）相关管控要求，政策符合性良好</w:t>
            </w:r>
            <w:r>
              <w:rPr>
                <w:rFonts w:ascii="宋体" w:hAnsi="宋体" w:eastAsia="宋体" w:cs="宋体"/>
                <w:b w:val="0"/>
                <w:bCs w:val="0"/>
                <w:color w:val="auto"/>
                <w:sz w:val="24"/>
                <w:szCs w:val="24"/>
              </w:rPr>
              <w:t>。</w:t>
            </w:r>
          </w:p>
          <w:p w14:paraId="49737906">
            <w:pPr>
              <w:keepNext w:val="0"/>
              <w:keepLines w:val="0"/>
              <w:pageBreakBefore w:val="0"/>
              <w:widowControl w:val="0"/>
              <w:kinsoku/>
              <w:wordWrap/>
              <w:overflowPunct/>
              <w:topLinePunct w:val="0"/>
              <w:autoSpaceDE w:val="0"/>
              <w:autoSpaceDN w:val="0"/>
              <w:bidi w:val="0"/>
              <w:adjustRightInd w:val="0"/>
              <w:snapToGrid w:val="0"/>
              <w:spacing w:line="360" w:lineRule="auto"/>
              <w:jc w:val="both"/>
              <w:textAlignment w:val="auto"/>
              <w:rPr>
                <w:rFonts w:hint="default" w:ascii="Times New Roman" w:hAnsi="Times New Roman" w:eastAsia="宋体" w:cs="Times New Roman"/>
                <w:b/>
                <w:bCs/>
                <w:color w:val="auto"/>
                <w:kern w:val="0"/>
                <w:sz w:val="24"/>
                <w:szCs w:val="24"/>
                <w:lang w:val="en-US" w:eastAsia="zh-CN"/>
              </w:rPr>
            </w:pPr>
            <w:r>
              <w:rPr>
                <w:rFonts w:hint="eastAsia" w:ascii="Times New Roman" w:hAnsi="Times New Roman" w:eastAsia="宋体" w:cs="Times New Roman"/>
                <w:b/>
                <w:bCs/>
                <w:color w:val="auto"/>
                <w:kern w:val="0"/>
                <w:sz w:val="24"/>
                <w:szCs w:val="24"/>
                <w:lang w:val="en-US" w:eastAsia="zh-CN"/>
              </w:rPr>
              <w:t>4.6 与《新疆维吾尔自治区大气污染防治行动计划实施方案》的符合性分析</w:t>
            </w:r>
          </w:p>
          <w:p w14:paraId="764303F5">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ascii="Times New Roman" w:hAnsi="Times New Roman" w:cs="Times New Roman"/>
                <w:b/>
                <w:bCs/>
                <w:color w:val="auto"/>
                <w:spacing w:val="-4"/>
                <w:sz w:val="21"/>
                <w:szCs w:val="21"/>
              </w:rPr>
            </w:pPr>
            <w:r>
              <w:rPr>
                <w:rFonts w:ascii="Times New Roman" w:hAnsi="Times New Roman" w:cs="Times New Roman"/>
                <w:b/>
                <w:bCs/>
                <w:color w:val="auto"/>
                <w:spacing w:val="-4"/>
                <w:sz w:val="21"/>
                <w:szCs w:val="21"/>
              </w:rPr>
              <w:t>表</w:t>
            </w:r>
            <w:r>
              <w:rPr>
                <w:rFonts w:hint="eastAsia" w:ascii="Times New Roman" w:hAnsi="Times New Roman" w:cs="Times New Roman"/>
                <w:b/>
                <w:bCs/>
                <w:color w:val="auto"/>
                <w:spacing w:val="-4"/>
                <w:sz w:val="21"/>
                <w:szCs w:val="21"/>
                <w:lang w:val="en-US" w:eastAsia="zh-CN"/>
              </w:rPr>
              <w:t>1-7</w:t>
            </w:r>
            <w:r>
              <w:rPr>
                <w:rFonts w:ascii="Times New Roman" w:hAnsi="Times New Roman" w:cs="Times New Roman"/>
                <w:b/>
                <w:bCs/>
                <w:color w:val="auto"/>
                <w:spacing w:val="-4"/>
                <w:sz w:val="21"/>
                <w:szCs w:val="21"/>
              </w:rPr>
              <w:t xml:space="preserve">    本项目与自治区“</w:t>
            </w:r>
            <w:r>
              <w:rPr>
                <w:rFonts w:hint="eastAsia" w:ascii="Times New Roman" w:hAnsi="Times New Roman" w:cs="Times New Roman"/>
                <w:b/>
                <w:bCs/>
                <w:color w:val="auto"/>
                <w:spacing w:val="-4"/>
                <w:sz w:val="21"/>
                <w:szCs w:val="21"/>
              </w:rPr>
              <w:t>实施方案内容</w:t>
            </w:r>
            <w:r>
              <w:rPr>
                <w:rFonts w:ascii="Times New Roman" w:hAnsi="Times New Roman" w:cs="Times New Roman"/>
                <w:b/>
                <w:bCs/>
                <w:color w:val="auto"/>
                <w:spacing w:val="-4"/>
                <w:sz w:val="21"/>
                <w:szCs w:val="21"/>
              </w:rPr>
              <w:t>”符合性分析</w:t>
            </w:r>
          </w:p>
          <w:tbl>
            <w:tblPr>
              <w:tblStyle w:val="28"/>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465"/>
              <w:gridCol w:w="2299"/>
              <w:gridCol w:w="543"/>
            </w:tblGrid>
            <w:tr w14:paraId="3F7B69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3055" w:type="pct"/>
                  <w:tcBorders>
                    <w:bottom w:val="single" w:color="auto" w:sz="12" w:space="0"/>
                  </w:tcBorders>
                  <w:noWrap w:val="0"/>
                  <w:vAlign w:val="center"/>
                </w:tcPr>
                <w:p w14:paraId="490D11B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eastAsia" w:ascii="Times New Roman" w:hAnsi="Times New Roman" w:cs="Times New Roman"/>
                      <w:b/>
                      <w:bCs/>
                      <w:color w:val="auto"/>
                      <w:sz w:val="21"/>
                      <w:szCs w:val="21"/>
                      <w:lang w:val="en-US" w:eastAsia="zh-CN"/>
                    </w:rPr>
                    <w:t>实施方案内容</w:t>
                  </w:r>
                </w:p>
              </w:tc>
              <w:tc>
                <w:tcPr>
                  <w:tcW w:w="1573" w:type="pct"/>
                  <w:tcBorders>
                    <w:bottom w:val="single" w:color="auto" w:sz="12" w:space="0"/>
                  </w:tcBorders>
                  <w:noWrap w:val="0"/>
                  <w:vAlign w:val="center"/>
                </w:tcPr>
                <w:p w14:paraId="4520D56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b/>
                      <w:bCs/>
                      <w:color w:val="auto"/>
                      <w:sz w:val="21"/>
                      <w:szCs w:val="21"/>
                      <w:lang w:val="en-US" w:eastAsia="zh-CN"/>
                    </w:rPr>
                  </w:pPr>
                  <w:r>
                    <w:rPr>
                      <w:rFonts w:hint="eastAsia" w:ascii="Times New Roman" w:hAnsi="Times New Roman" w:cs="Times New Roman"/>
                      <w:b/>
                      <w:bCs/>
                      <w:color w:val="auto"/>
                      <w:sz w:val="21"/>
                      <w:szCs w:val="21"/>
                      <w:lang w:val="en-US" w:eastAsia="zh-CN"/>
                    </w:rPr>
                    <w:t>本项目情况</w:t>
                  </w:r>
                </w:p>
              </w:tc>
              <w:tc>
                <w:tcPr>
                  <w:tcW w:w="371" w:type="pct"/>
                  <w:tcBorders>
                    <w:bottom w:val="single" w:color="auto" w:sz="12" w:space="0"/>
                  </w:tcBorders>
                  <w:noWrap w:val="0"/>
                  <w:vAlign w:val="center"/>
                </w:tcPr>
                <w:p w14:paraId="1C5A59C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b/>
                      <w:bCs/>
                      <w:color w:val="auto"/>
                      <w:sz w:val="21"/>
                      <w:szCs w:val="21"/>
                      <w:lang w:val="en-US" w:eastAsia="zh-CN"/>
                    </w:rPr>
                  </w:pPr>
                  <w:r>
                    <w:rPr>
                      <w:rFonts w:hint="eastAsia" w:ascii="Times New Roman" w:hAnsi="Times New Roman" w:cs="Times New Roman"/>
                      <w:b/>
                      <w:bCs/>
                      <w:color w:val="auto"/>
                      <w:sz w:val="21"/>
                      <w:szCs w:val="21"/>
                      <w:lang w:val="en-US" w:eastAsia="zh-CN"/>
                    </w:rPr>
                    <w:t>符合性</w:t>
                  </w:r>
                </w:p>
              </w:tc>
            </w:tr>
            <w:tr w14:paraId="4B06F2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3055" w:type="pct"/>
                  <w:tcBorders>
                    <w:top w:val="single" w:color="auto" w:sz="12" w:space="0"/>
                    <w:tl2br w:val="nil"/>
                    <w:tr2bl w:val="nil"/>
                  </w:tcBorders>
                  <w:noWrap w:val="0"/>
                  <w:vAlign w:val="center"/>
                </w:tcPr>
                <w:p w14:paraId="41FDF51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sz w:val="21"/>
                      <w:szCs w:val="21"/>
                    </w:rPr>
                  </w:pPr>
                  <w:r>
                    <w:rPr>
                      <w:rFonts w:ascii="Times New Roman" w:hAnsi="Times New Roman" w:cs="Times New Roman"/>
                      <w:color w:val="auto"/>
                      <w:sz w:val="21"/>
                      <w:szCs w:val="21"/>
                    </w:rPr>
                    <w:t>1、加大综合治理力度，减少污染物排放。</w:t>
                  </w:r>
                </w:p>
                <w:p w14:paraId="5D807D1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sz w:val="21"/>
                      <w:szCs w:val="21"/>
                    </w:rPr>
                  </w:pPr>
                  <w:r>
                    <w:rPr>
                      <w:rFonts w:hint="eastAsia" w:ascii="Times New Roman" w:hAnsi="Times New Roman" w:cs="Times New Roman"/>
                      <w:color w:val="auto"/>
                      <w:sz w:val="21"/>
                      <w:szCs w:val="21"/>
                    </w:rPr>
                    <w:t>（</w:t>
                  </w:r>
                  <w:r>
                    <w:rPr>
                      <w:rFonts w:ascii="Times New Roman" w:hAnsi="Times New Roman" w:cs="Times New Roman"/>
                      <w:color w:val="auto"/>
                      <w:sz w:val="21"/>
                      <w:szCs w:val="21"/>
                    </w:rPr>
                    <w:t>1）实施燃煤锅炉整治。…2017年底前，在化工、造纸、印染、制革、制药等产业集聚区，通过集中建设热电联产机组逐步淘汰分散燃煤锅炉。在有条件的地区，因地制宜推行地源热泵供暖。在供热供气管网不能覆盖的地区，改用电、新能源或洁净煤，推广应用高效节能环保型锅炉。新建冶金、建材、化工等项目按要求实现余热余压综合利用。</w:t>
                  </w:r>
                </w:p>
              </w:tc>
              <w:tc>
                <w:tcPr>
                  <w:tcW w:w="1573" w:type="pct"/>
                  <w:tcBorders>
                    <w:top w:val="single" w:color="auto" w:sz="12" w:space="0"/>
                    <w:tl2br w:val="nil"/>
                    <w:tr2bl w:val="nil"/>
                  </w:tcBorders>
                  <w:noWrap w:val="0"/>
                  <w:vAlign w:val="center"/>
                </w:tcPr>
                <w:p w14:paraId="335A71F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sz w:val="21"/>
                      <w:szCs w:val="21"/>
                    </w:rPr>
                  </w:pPr>
                  <w:r>
                    <w:rPr>
                      <w:rFonts w:ascii="Times New Roman" w:hAnsi="Times New Roman" w:cs="Times New Roman"/>
                      <w:color w:val="auto"/>
                      <w:sz w:val="21"/>
                      <w:szCs w:val="21"/>
                    </w:rPr>
                    <w:t>本项目为</w:t>
                  </w:r>
                  <w:r>
                    <w:rPr>
                      <w:rFonts w:hint="eastAsia" w:ascii="Times New Roman" w:hAnsi="Times New Roman" w:cs="Times New Roman"/>
                      <w:color w:val="auto"/>
                      <w:sz w:val="21"/>
                      <w:szCs w:val="21"/>
                      <w:lang w:val="en-US" w:eastAsia="zh-CN"/>
                    </w:rPr>
                    <w:t>建筑垃圾调配场建设项目</w:t>
                  </w:r>
                  <w:r>
                    <w:rPr>
                      <w:rFonts w:hint="eastAsia" w:ascii="Times New Roman" w:hAnsi="Times New Roman" w:cs="Times New Roman"/>
                      <w:color w:val="auto"/>
                      <w:sz w:val="21"/>
                      <w:szCs w:val="21"/>
                    </w:rPr>
                    <w:t>，</w:t>
                  </w:r>
                  <w:r>
                    <w:rPr>
                      <w:rFonts w:hint="eastAsia" w:ascii="Times New Roman" w:hAnsi="Times New Roman" w:cs="Times New Roman"/>
                      <w:color w:val="auto"/>
                      <w:spacing w:val="-4"/>
                      <w:sz w:val="21"/>
                      <w:szCs w:val="21"/>
                    </w:rPr>
                    <w:t>项目</w:t>
                  </w:r>
                  <w:r>
                    <w:rPr>
                      <w:rFonts w:hint="eastAsia" w:ascii="Times New Roman" w:hAnsi="Times New Roman" w:cs="Times New Roman"/>
                      <w:color w:val="auto"/>
                      <w:spacing w:val="-4"/>
                      <w:sz w:val="21"/>
                      <w:szCs w:val="21"/>
                      <w:lang w:val="en-US" w:eastAsia="zh-CN"/>
                    </w:rPr>
                    <w:t>运营期</w:t>
                  </w:r>
                  <w:r>
                    <w:rPr>
                      <w:rFonts w:hint="eastAsia" w:ascii="Times New Roman" w:hAnsi="Times New Roman" w:cs="Times New Roman"/>
                      <w:color w:val="auto"/>
                      <w:spacing w:val="-4"/>
                      <w:sz w:val="21"/>
                      <w:szCs w:val="21"/>
                    </w:rPr>
                    <w:t>采暖用电，不涉及燃煤的使用，满足要求。</w:t>
                  </w:r>
                </w:p>
              </w:tc>
              <w:tc>
                <w:tcPr>
                  <w:tcW w:w="371" w:type="pct"/>
                  <w:tcBorders>
                    <w:top w:val="single" w:color="auto" w:sz="12" w:space="0"/>
                    <w:tl2br w:val="nil"/>
                    <w:tr2bl w:val="nil"/>
                  </w:tcBorders>
                  <w:noWrap w:val="0"/>
                  <w:vAlign w:val="center"/>
                </w:tcPr>
                <w:p w14:paraId="2DE3702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符合</w:t>
                  </w:r>
                </w:p>
              </w:tc>
            </w:tr>
            <w:tr w14:paraId="12F060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3055" w:type="pct"/>
                  <w:tcBorders>
                    <w:tl2br w:val="nil"/>
                    <w:tr2bl w:val="nil"/>
                  </w:tcBorders>
                  <w:noWrap w:val="0"/>
                  <w:vAlign w:val="center"/>
                </w:tcPr>
                <w:p w14:paraId="74CFCE9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sz w:val="21"/>
                      <w:szCs w:val="21"/>
                    </w:rPr>
                  </w:pPr>
                  <w:r>
                    <w:rPr>
                      <w:rFonts w:hint="eastAsia" w:ascii="Times New Roman" w:hAnsi="Times New Roman" w:cs="Times New Roman"/>
                      <w:color w:val="auto"/>
                      <w:sz w:val="21"/>
                      <w:szCs w:val="21"/>
                    </w:rPr>
                    <w:t>（</w:t>
                  </w:r>
                  <w:r>
                    <w:rPr>
                      <w:rFonts w:ascii="Times New Roman" w:hAnsi="Times New Roman" w:cs="Times New Roman"/>
                      <w:color w:val="auto"/>
                      <w:sz w:val="21"/>
                      <w:szCs w:val="21"/>
                    </w:rPr>
                    <w:t>2）加快脱硫脱硝除尘改造。…现有规模在每小时20蒸吨及以上的燃煤锅炉实施脱硫和低氮燃烧改造。除循环流化床锅炉以外的所有燃煤机组均应安装脱硝设施，日产熟料2000吨及以上新型干法水泥窑实施低氮燃烧技术改造并安装脱硝设施。燃煤锅炉和工业窑炉现有除尘设施要实施升级改造，2015年底实现稳定达标排放。</w:t>
                  </w:r>
                </w:p>
              </w:tc>
              <w:tc>
                <w:tcPr>
                  <w:tcW w:w="1573" w:type="pct"/>
                  <w:tcBorders>
                    <w:tl2br w:val="nil"/>
                    <w:tr2bl w:val="nil"/>
                  </w:tcBorders>
                  <w:noWrap w:val="0"/>
                  <w:vAlign w:val="center"/>
                </w:tcPr>
                <w:p w14:paraId="41B402C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Times New Roman" w:hAnsi="Times New Roman" w:eastAsia="宋体" w:cs="Times New Roman"/>
                      <w:color w:val="auto"/>
                      <w:sz w:val="21"/>
                      <w:szCs w:val="21"/>
                      <w:lang w:eastAsia="zh-CN"/>
                    </w:rPr>
                  </w:pPr>
                  <w:r>
                    <w:rPr>
                      <w:rFonts w:ascii="Times New Roman" w:hAnsi="Times New Roman" w:cs="Times New Roman"/>
                      <w:color w:val="auto"/>
                      <w:sz w:val="21"/>
                      <w:szCs w:val="21"/>
                    </w:rPr>
                    <w:t>本项目为</w:t>
                  </w:r>
                  <w:r>
                    <w:rPr>
                      <w:rFonts w:hint="eastAsia" w:ascii="Times New Roman" w:hAnsi="Times New Roman" w:cs="Times New Roman"/>
                      <w:color w:val="auto"/>
                      <w:sz w:val="21"/>
                      <w:szCs w:val="21"/>
                      <w:lang w:val="en-US" w:eastAsia="zh-CN"/>
                    </w:rPr>
                    <w:t>建筑垃圾调配场项目</w:t>
                  </w:r>
                  <w:r>
                    <w:rPr>
                      <w:rFonts w:hint="eastAsia" w:ascii="Times New Roman" w:hAnsi="Times New Roman" w:cs="Times New Roman"/>
                      <w:color w:val="auto"/>
                      <w:sz w:val="21"/>
                      <w:szCs w:val="21"/>
                    </w:rPr>
                    <w:t>，项目不涉及锅炉使用，满足要求</w:t>
                  </w:r>
                  <w:r>
                    <w:rPr>
                      <w:rFonts w:hint="eastAsia" w:ascii="Times New Roman" w:hAnsi="Times New Roman" w:cs="Times New Roman"/>
                      <w:color w:val="auto"/>
                      <w:sz w:val="21"/>
                      <w:szCs w:val="21"/>
                      <w:lang w:eastAsia="zh-CN"/>
                    </w:rPr>
                    <w:t>。</w:t>
                  </w:r>
                </w:p>
              </w:tc>
              <w:tc>
                <w:tcPr>
                  <w:tcW w:w="371" w:type="pct"/>
                  <w:tcBorders>
                    <w:tl2br w:val="nil"/>
                    <w:tr2bl w:val="nil"/>
                  </w:tcBorders>
                  <w:noWrap w:val="0"/>
                  <w:vAlign w:val="center"/>
                </w:tcPr>
                <w:p w14:paraId="1660D9B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color w:val="auto"/>
                      <w:sz w:val="21"/>
                      <w:szCs w:val="21"/>
                    </w:rPr>
                  </w:pPr>
                  <w:r>
                    <w:rPr>
                      <w:rFonts w:hint="eastAsia" w:ascii="Times New Roman" w:hAnsi="Times New Roman" w:cs="Times New Roman"/>
                      <w:color w:val="auto"/>
                      <w:sz w:val="21"/>
                      <w:szCs w:val="21"/>
                      <w:lang w:val="en-US" w:eastAsia="zh-CN"/>
                    </w:rPr>
                    <w:t>符合</w:t>
                  </w:r>
                </w:p>
              </w:tc>
            </w:tr>
            <w:tr w14:paraId="0FF958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3055" w:type="pct"/>
                  <w:tcBorders>
                    <w:tl2br w:val="nil"/>
                    <w:tr2bl w:val="nil"/>
                  </w:tcBorders>
                  <w:noWrap w:val="0"/>
                  <w:vAlign w:val="center"/>
                </w:tcPr>
                <w:p w14:paraId="3CFEF25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sz w:val="21"/>
                      <w:szCs w:val="21"/>
                    </w:rPr>
                  </w:pPr>
                  <w:r>
                    <w:rPr>
                      <w:rFonts w:hint="eastAsia" w:ascii="Times New Roman" w:hAnsi="Times New Roman" w:cs="Times New Roman"/>
                      <w:color w:val="auto"/>
                      <w:sz w:val="21"/>
                      <w:szCs w:val="21"/>
                    </w:rPr>
                    <w:t>（</w:t>
                  </w:r>
                  <w:r>
                    <w:rPr>
                      <w:rFonts w:ascii="Times New Roman" w:hAnsi="Times New Roman" w:cs="Times New Roman"/>
                      <w:color w:val="auto"/>
                      <w:sz w:val="21"/>
                      <w:szCs w:val="21"/>
                    </w:rPr>
                    <w:t>3）推进挥发性有机物污染治理。在煤化工、石化、有机化工、表面涂装、包装印刷等重点行业开展挥发性有机物综合治理，在煤化工、石化行业开展“泄漏检测与修复”技术改造。</w:t>
                  </w:r>
                </w:p>
              </w:tc>
              <w:tc>
                <w:tcPr>
                  <w:tcW w:w="1573" w:type="pct"/>
                  <w:tcBorders>
                    <w:tl2br w:val="nil"/>
                    <w:tr2bl w:val="nil"/>
                  </w:tcBorders>
                  <w:noWrap w:val="0"/>
                  <w:vAlign w:val="center"/>
                </w:tcPr>
                <w:p w14:paraId="2217B23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sz w:val="21"/>
                      <w:szCs w:val="21"/>
                    </w:rPr>
                  </w:pPr>
                  <w:r>
                    <w:rPr>
                      <w:rFonts w:ascii="Times New Roman" w:hAnsi="Times New Roman" w:cs="Times New Roman"/>
                      <w:color w:val="auto"/>
                      <w:sz w:val="21"/>
                      <w:szCs w:val="21"/>
                    </w:rPr>
                    <w:t>本项目为</w:t>
                  </w:r>
                  <w:r>
                    <w:rPr>
                      <w:rFonts w:hint="eastAsia" w:ascii="Times New Roman" w:hAnsi="Times New Roman" w:cs="Times New Roman"/>
                      <w:color w:val="auto"/>
                      <w:sz w:val="21"/>
                      <w:szCs w:val="21"/>
                      <w:lang w:val="en-US" w:eastAsia="zh-CN"/>
                    </w:rPr>
                    <w:t>建筑垃圾调配场项目</w:t>
                  </w:r>
                  <w:r>
                    <w:rPr>
                      <w:rFonts w:hint="eastAsia" w:ascii="Times New Roman" w:hAnsi="Times New Roman" w:cs="Times New Roman"/>
                      <w:color w:val="auto"/>
                      <w:sz w:val="21"/>
                      <w:szCs w:val="21"/>
                    </w:rPr>
                    <w:t>，不</w:t>
                  </w:r>
                  <w:r>
                    <w:rPr>
                      <w:rFonts w:hint="eastAsia" w:ascii="Times New Roman" w:hAnsi="Times New Roman" w:cs="Times New Roman"/>
                      <w:color w:val="auto"/>
                      <w:sz w:val="21"/>
                      <w:szCs w:val="21"/>
                      <w:lang w:val="en-US" w:eastAsia="zh-CN"/>
                    </w:rPr>
                    <w:t>排放</w:t>
                  </w:r>
                  <w:r>
                    <w:rPr>
                      <w:rFonts w:hint="eastAsia" w:ascii="Times New Roman" w:hAnsi="Times New Roman" w:cs="Times New Roman"/>
                      <w:color w:val="auto"/>
                      <w:sz w:val="21"/>
                      <w:szCs w:val="21"/>
                    </w:rPr>
                    <w:t>有机废气，</w:t>
                  </w:r>
                  <w:r>
                    <w:rPr>
                      <w:rFonts w:ascii="Times New Roman" w:hAnsi="Times New Roman" w:cs="Times New Roman"/>
                      <w:color w:val="auto"/>
                      <w:sz w:val="21"/>
                      <w:szCs w:val="21"/>
                    </w:rPr>
                    <w:t>项目排放</w:t>
                  </w:r>
                  <w:r>
                    <w:rPr>
                      <w:rFonts w:hint="eastAsia" w:ascii="Times New Roman" w:hAnsi="Times New Roman" w:cs="Times New Roman"/>
                      <w:color w:val="auto"/>
                      <w:sz w:val="21"/>
                      <w:szCs w:val="21"/>
                    </w:rPr>
                    <w:t>废气</w:t>
                  </w:r>
                  <w:r>
                    <w:rPr>
                      <w:rFonts w:ascii="Times New Roman" w:hAnsi="Times New Roman" w:cs="Times New Roman"/>
                      <w:color w:val="auto"/>
                      <w:sz w:val="21"/>
                      <w:szCs w:val="21"/>
                    </w:rPr>
                    <w:t>污染物</w:t>
                  </w:r>
                  <w:r>
                    <w:rPr>
                      <w:rFonts w:hint="eastAsia" w:ascii="Times New Roman" w:hAnsi="Times New Roman" w:cs="Times New Roman"/>
                      <w:color w:val="auto"/>
                      <w:sz w:val="21"/>
                      <w:szCs w:val="21"/>
                    </w:rPr>
                    <w:t>主要</w:t>
                  </w:r>
                  <w:r>
                    <w:rPr>
                      <w:rFonts w:ascii="Times New Roman" w:hAnsi="Times New Roman" w:cs="Times New Roman"/>
                      <w:color w:val="auto"/>
                      <w:sz w:val="21"/>
                      <w:szCs w:val="21"/>
                    </w:rPr>
                    <w:t>为颗粒物</w:t>
                  </w:r>
                  <w:r>
                    <w:rPr>
                      <w:rFonts w:hint="eastAsia" w:ascii="Times New Roman" w:hAnsi="Times New Roman" w:cs="Times New Roman"/>
                      <w:color w:val="auto"/>
                      <w:sz w:val="21"/>
                      <w:szCs w:val="21"/>
                      <w:lang w:eastAsia="zh-CN"/>
                    </w:rPr>
                    <w:t>，</w:t>
                  </w:r>
                  <w:r>
                    <w:rPr>
                      <w:rFonts w:hint="default" w:ascii="Times New Roman" w:hAnsi="Times New Roman" w:cs="Times New Roman"/>
                      <w:color w:val="auto"/>
                      <w:sz w:val="21"/>
                      <w:szCs w:val="21"/>
                      <w:lang w:val="en-US" w:eastAsia="zh-CN"/>
                    </w:rPr>
                    <w:t>现场采取</w:t>
                  </w:r>
                  <w:r>
                    <w:rPr>
                      <w:rFonts w:hint="eastAsia" w:ascii="Times New Roman" w:hAnsi="Times New Roman" w:cs="Times New Roman"/>
                      <w:color w:val="auto"/>
                      <w:sz w:val="21"/>
                      <w:szCs w:val="21"/>
                      <w:lang w:val="en-US" w:eastAsia="zh-CN"/>
                    </w:rPr>
                    <w:t>喷雾</w:t>
                  </w:r>
                  <w:r>
                    <w:rPr>
                      <w:rFonts w:hint="default" w:ascii="Times New Roman" w:hAnsi="Times New Roman" w:cs="Times New Roman"/>
                      <w:color w:val="auto"/>
                      <w:sz w:val="21"/>
                      <w:szCs w:val="21"/>
                      <w:lang w:val="en-US" w:eastAsia="zh-CN"/>
                    </w:rPr>
                    <w:t>降尘、物料采取篷布覆盖</w:t>
                  </w:r>
                  <w:r>
                    <w:rPr>
                      <w:rFonts w:ascii="Times New Roman" w:hAnsi="Times New Roman" w:cs="Times New Roman"/>
                      <w:color w:val="auto"/>
                      <w:sz w:val="21"/>
                      <w:szCs w:val="21"/>
                    </w:rPr>
                    <w:t>等措施后达标排放</w:t>
                  </w:r>
                  <w:r>
                    <w:rPr>
                      <w:rFonts w:hint="eastAsia" w:ascii="Times New Roman" w:hAnsi="Times New Roman" w:cs="Times New Roman"/>
                      <w:color w:val="auto"/>
                      <w:sz w:val="21"/>
                      <w:szCs w:val="21"/>
                    </w:rPr>
                    <w:t>。</w:t>
                  </w:r>
                </w:p>
              </w:tc>
              <w:tc>
                <w:tcPr>
                  <w:tcW w:w="371" w:type="pct"/>
                  <w:tcBorders>
                    <w:tl2br w:val="nil"/>
                    <w:tr2bl w:val="nil"/>
                  </w:tcBorders>
                  <w:noWrap w:val="0"/>
                  <w:vAlign w:val="center"/>
                </w:tcPr>
                <w:p w14:paraId="67CFFFE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cs="Times New Roman"/>
                      <w:color w:val="auto"/>
                      <w:sz w:val="21"/>
                      <w:szCs w:val="21"/>
                    </w:rPr>
                  </w:pPr>
                  <w:r>
                    <w:rPr>
                      <w:rFonts w:hint="eastAsia" w:ascii="Times New Roman" w:hAnsi="Times New Roman" w:cs="Times New Roman"/>
                      <w:color w:val="auto"/>
                      <w:sz w:val="21"/>
                      <w:szCs w:val="21"/>
                      <w:lang w:val="en-US" w:eastAsia="zh-CN"/>
                    </w:rPr>
                    <w:t>符合</w:t>
                  </w:r>
                </w:p>
              </w:tc>
            </w:tr>
            <w:tr w14:paraId="248CA0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3055" w:type="pct"/>
                  <w:tcBorders>
                    <w:tl2br w:val="nil"/>
                    <w:tr2bl w:val="nil"/>
                  </w:tcBorders>
                  <w:noWrap w:val="0"/>
                  <w:vAlign w:val="center"/>
                </w:tcPr>
                <w:p w14:paraId="5637075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Times New Roman" w:hAnsi="Times New Roman" w:eastAsia="宋体" w:cs="Times New Roman"/>
                      <w:color w:val="auto"/>
                      <w:sz w:val="21"/>
                      <w:szCs w:val="21"/>
                      <w:lang w:eastAsia="zh-CN"/>
                    </w:rPr>
                  </w:pPr>
                  <w:r>
                    <w:rPr>
                      <w:rFonts w:hint="eastAsia" w:ascii="Times New Roman" w:hAnsi="Times New Roman" w:cs="Times New Roman"/>
                      <w:color w:val="auto"/>
                      <w:sz w:val="21"/>
                      <w:szCs w:val="21"/>
                      <w:lang w:eastAsia="zh-CN"/>
                    </w:rPr>
                    <w:t>（</w:t>
                  </w:r>
                  <w:r>
                    <w:rPr>
                      <w:rFonts w:hint="eastAsia" w:ascii="Times New Roman" w:hAnsi="Times New Roman" w:cs="Times New Roman"/>
                      <w:color w:val="auto"/>
                      <w:sz w:val="21"/>
                      <w:szCs w:val="21"/>
                      <w:lang w:val="en-US" w:eastAsia="zh-CN"/>
                    </w:rPr>
                    <w:t>4</w:t>
                  </w:r>
                  <w:r>
                    <w:rPr>
                      <w:rFonts w:hint="eastAsia" w:ascii="Times New Roman" w:hAnsi="Times New Roman" w:cs="Times New Roman"/>
                      <w:color w:val="auto"/>
                      <w:sz w:val="21"/>
                      <w:szCs w:val="21"/>
                      <w:lang w:eastAsia="zh-CN"/>
                    </w:rPr>
                    <w:t>）加大城市扬尘综合整治力度。加强施工扬尘监管，积极推进绿色施工。各类建筑施工、道路施工、市政工程等工地和构筑物拆除场地周边应全封闭设置围挡墙、湿法作业，严禁敞开式作业。施工现场道路应进行地面硬化，禁止现场搅拌混凝土、砂浆。渣土运输车辆采取密闭措施，逐步安装卫星定位系统。煤堆、料堆、渣堆实现封闭存储。推行道路机械化清扫等低尘作业方式。</w:t>
                  </w:r>
                </w:p>
              </w:tc>
              <w:tc>
                <w:tcPr>
                  <w:tcW w:w="1573" w:type="pct"/>
                  <w:tcBorders>
                    <w:tl2br w:val="nil"/>
                    <w:tr2bl w:val="nil"/>
                  </w:tcBorders>
                  <w:noWrap w:val="0"/>
                  <w:vAlign w:val="center"/>
                </w:tcPr>
                <w:p w14:paraId="0F0091F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本项目为建筑垃圾调配场建设项目，施工过程中严格监管，项目区设置围挡墙，在施工过程中采取洒水降尘措施；在车辆运输过程中采取遮盖措施，进出道路定时洒水。</w:t>
                  </w:r>
                </w:p>
              </w:tc>
              <w:tc>
                <w:tcPr>
                  <w:tcW w:w="371" w:type="pct"/>
                  <w:tcBorders>
                    <w:tl2br w:val="nil"/>
                    <w:tr2bl w:val="nil"/>
                  </w:tcBorders>
                  <w:noWrap w:val="0"/>
                  <w:vAlign w:val="center"/>
                </w:tcPr>
                <w:p w14:paraId="465FB42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符合</w:t>
                  </w:r>
                </w:p>
              </w:tc>
            </w:tr>
            <w:tr w14:paraId="16DC2C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3055" w:type="pct"/>
                  <w:tcBorders>
                    <w:tl2br w:val="nil"/>
                    <w:tr2bl w:val="nil"/>
                  </w:tcBorders>
                  <w:noWrap w:val="0"/>
                  <w:vAlign w:val="center"/>
                </w:tcPr>
                <w:p w14:paraId="796FA3E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5）加强矿山开采扬尘综合整治和植被恢复。......加大日常检查和监管力度，督促企业依法履行矿山地质环境治理恢复义务。继续推进城镇周边矿业权灭失的砂石、粘土矿治理恢复。到2017年，实现40%城镇周边矿业权灭失的矿山得以治理恢复，50%城市周边采砂取土行为统一规划、集中开采。</w:t>
                  </w:r>
                </w:p>
              </w:tc>
              <w:tc>
                <w:tcPr>
                  <w:tcW w:w="1573" w:type="pct"/>
                  <w:tcBorders>
                    <w:tl2br w:val="nil"/>
                    <w:tr2bl w:val="nil"/>
                  </w:tcBorders>
                  <w:noWrap w:val="0"/>
                  <w:vAlign w:val="center"/>
                </w:tcPr>
                <w:p w14:paraId="1482EFC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本项目为建筑垃圾调配场建设项目，不涉及植被恢复。</w:t>
                  </w:r>
                </w:p>
              </w:tc>
              <w:tc>
                <w:tcPr>
                  <w:tcW w:w="371" w:type="pct"/>
                  <w:tcBorders>
                    <w:tl2br w:val="nil"/>
                    <w:tr2bl w:val="nil"/>
                  </w:tcBorders>
                  <w:noWrap w:val="0"/>
                  <w:vAlign w:val="center"/>
                </w:tcPr>
                <w:p w14:paraId="6232F17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符合</w:t>
                  </w:r>
                </w:p>
              </w:tc>
            </w:tr>
            <w:tr w14:paraId="0BD90C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3055" w:type="pct"/>
                  <w:tcBorders>
                    <w:tl2br w:val="nil"/>
                    <w:tr2bl w:val="nil"/>
                  </w:tcBorders>
                  <w:noWrap w:val="0"/>
                  <w:vAlign w:val="center"/>
                </w:tcPr>
                <w:p w14:paraId="25584B5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2、调整优化产业结构，推动产业转型升级。</w:t>
                  </w:r>
                </w:p>
                <w:p w14:paraId="161F196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严控“两高”行业新增产能。根据全区和各城市功能定位，严格执行国家产业准入政策。加大产业结构调整力度,“十二五”期间，不再审批钢铁、水泥、电解铝、平板玻璃等产能严重过剩行业的新建项目，严格控制多晶硅、聚氯乙烯等行业的新增产能项目。</w:t>
                  </w:r>
                </w:p>
              </w:tc>
              <w:tc>
                <w:tcPr>
                  <w:tcW w:w="1573" w:type="pct"/>
                  <w:tcBorders>
                    <w:tl2br w:val="nil"/>
                    <w:tr2bl w:val="nil"/>
                  </w:tcBorders>
                  <w:noWrap w:val="0"/>
                  <w:vAlign w:val="center"/>
                </w:tcPr>
                <w:p w14:paraId="36C395C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both"/>
                    <w:textAlignment w:val="auto"/>
                    <w:rPr>
                      <w:rFonts w:ascii="Times New Roman" w:hAnsi="Times New Roman" w:cs="Times New Roman"/>
                      <w:color w:val="auto"/>
                      <w:sz w:val="21"/>
                      <w:szCs w:val="21"/>
                    </w:rPr>
                  </w:pPr>
                  <w:r>
                    <w:rPr>
                      <w:rFonts w:hint="eastAsia" w:ascii="Times New Roman" w:hAnsi="Times New Roman" w:cs="Times New Roman"/>
                      <w:color w:val="auto"/>
                      <w:sz w:val="21"/>
                      <w:szCs w:val="21"/>
                      <w:lang w:val="en-US" w:eastAsia="zh-CN"/>
                    </w:rPr>
                    <w:t>本项目为建筑垃圾调配场建设项目，</w:t>
                  </w:r>
                  <w:r>
                    <w:rPr>
                      <w:rFonts w:hint="default" w:ascii="Times New Roman" w:hAnsi="Times New Roman" w:cs="Times New Roman"/>
                      <w:color w:val="auto"/>
                      <w:sz w:val="21"/>
                      <w:szCs w:val="21"/>
                      <w:lang w:val="en-US" w:eastAsia="zh-CN"/>
                    </w:rPr>
                    <w:t>项目属于《产业结构调整</w:t>
                  </w:r>
                  <w:r>
                    <w:rPr>
                      <w:rFonts w:hint="eastAsia" w:ascii="Times New Roman" w:hAnsi="Times New Roman" w:cs="Times New Roman"/>
                      <w:color w:val="auto"/>
                      <w:sz w:val="21"/>
                      <w:szCs w:val="21"/>
                      <w:lang w:val="en-US" w:eastAsia="zh-CN"/>
                    </w:rPr>
                    <w:t>指导</w:t>
                  </w:r>
                  <w:r>
                    <w:rPr>
                      <w:rFonts w:hint="default" w:ascii="Times New Roman" w:hAnsi="Times New Roman" w:cs="Times New Roman"/>
                      <w:color w:val="auto"/>
                      <w:sz w:val="21"/>
                      <w:szCs w:val="21"/>
                      <w:lang w:val="en-US" w:eastAsia="zh-CN"/>
                    </w:rPr>
                    <w:t>目录（</w:t>
                  </w:r>
                  <w:r>
                    <w:rPr>
                      <w:rFonts w:hint="eastAsia" w:ascii="Times New Roman" w:hAnsi="Times New Roman" w:cs="Times New Roman"/>
                      <w:color w:val="auto"/>
                      <w:sz w:val="21"/>
                      <w:szCs w:val="21"/>
                      <w:lang w:val="en-US" w:eastAsia="zh-CN"/>
                    </w:rPr>
                    <w:t>2024</w:t>
                  </w:r>
                  <w:r>
                    <w:rPr>
                      <w:rFonts w:hint="default" w:ascii="Times New Roman" w:hAnsi="Times New Roman" w:cs="Times New Roman"/>
                      <w:color w:val="auto"/>
                      <w:sz w:val="21"/>
                      <w:szCs w:val="21"/>
                      <w:lang w:val="en-US" w:eastAsia="zh-CN"/>
                    </w:rPr>
                    <w:t>年本）》中</w:t>
                  </w:r>
                  <w:r>
                    <w:rPr>
                      <w:rFonts w:hint="eastAsia" w:ascii="Times New Roman" w:hAnsi="Times New Roman" w:cs="Times New Roman"/>
                      <w:color w:val="auto"/>
                      <w:sz w:val="21"/>
                      <w:szCs w:val="21"/>
                      <w:lang w:val="en-US" w:eastAsia="zh-CN"/>
                    </w:rPr>
                    <w:t>允许类</w:t>
                  </w:r>
                  <w:r>
                    <w:rPr>
                      <w:rFonts w:hint="default" w:ascii="Times New Roman" w:hAnsi="Times New Roman" w:cs="Times New Roman"/>
                      <w:color w:val="auto"/>
                      <w:sz w:val="21"/>
                      <w:szCs w:val="21"/>
                      <w:lang w:val="en-US" w:eastAsia="zh-CN"/>
                    </w:rPr>
                    <w:t>，不属于“三高”项目</w:t>
                  </w:r>
                  <w:r>
                    <w:rPr>
                      <w:rFonts w:hint="eastAsia" w:ascii="Times New Roman" w:hAnsi="Times New Roman" w:cs="Times New Roman"/>
                      <w:color w:val="auto"/>
                      <w:sz w:val="21"/>
                      <w:szCs w:val="21"/>
                      <w:lang w:val="en-US" w:eastAsia="zh-CN"/>
                    </w:rPr>
                    <w:t>。</w:t>
                  </w:r>
                </w:p>
              </w:tc>
              <w:tc>
                <w:tcPr>
                  <w:tcW w:w="371" w:type="pct"/>
                  <w:tcBorders>
                    <w:tl2br w:val="nil"/>
                    <w:tr2bl w:val="nil"/>
                  </w:tcBorders>
                  <w:noWrap w:val="0"/>
                  <w:vAlign w:val="center"/>
                </w:tcPr>
                <w:p w14:paraId="0E7515F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符合</w:t>
                  </w:r>
                </w:p>
              </w:tc>
            </w:tr>
          </w:tbl>
          <w:p w14:paraId="3460CDC6">
            <w:pPr>
              <w:keepNext w:val="0"/>
              <w:keepLines w:val="0"/>
              <w:pageBreakBefore w:val="0"/>
              <w:widowControl w:val="0"/>
              <w:kinsoku/>
              <w:wordWrap/>
              <w:overflowPunct/>
              <w:topLinePunct w:val="0"/>
              <w:autoSpaceDE w:val="0"/>
              <w:autoSpaceDN w:val="0"/>
              <w:bidi w:val="0"/>
              <w:adjustRightInd w:val="0"/>
              <w:snapToGrid w:val="0"/>
              <w:spacing w:line="360" w:lineRule="auto"/>
              <w:jc w:val="both"/>
              <w:textAlignment w:val="auto"/>
              <w:rPr>
                <w:rFonts w:hint="default" w:ascii="Times New Roman" w:hAnsi="Times New Roman" w:eastAsia="宋体" w:cs="Times New Roman"/>
                <w:color w:val="auto"/>
                <w:kern w:val="0"/>
                <w:sz w:val="24"/>
                <w:szCs w:val="24"/>
                <w:lang w:val="en-US" w:eastAsia="zh-CN"/>
              </w:rPr>
            </w:pPr>
            <w:r>
              <w:rPr>
                <w:rFonts w:hint="eastAsia" w:cs="Times New Roman"/>
                <w:b/>
                <w:bCs/>
                <w:color w:val="auto"/>
                <w:kern w:val="0"/>
                <w:sz w:val="24"/>
                <w:szCs w:val="24"/>
                <w:lang w:val="en-US" w:eastAsia="zh-CN"/>
              </w:rPr>
              <w:t xml:space="preserve">5.1 </w:t>
            </w:r>
            <w:r>
              <w:rPr>
                <w:rFonts w:hint="eastAsia" w:ascii="Times New Roman" w:hAnsi="Times New Roman" w:eastAsia="宋体" w:cs="Times New Roman"/>
                <w:b/>
                <w:bCs/>
                <w:color w:val="auto"/>
                <w:kern w:val="0"/>
                <w:sz w:val="24"/>
                <w:szCs w:val="24"/>
                <w:lang w:val="en-US" w:eastAsia="zh-CN"/>
              </w:rPr>
              <w:t>项目选址合理性分析</w:t>
            </w:r>
          </w:p>
          <w:p w14:paraId="5E2D7309">
            <w:pPr>
              <w:keepNext w:val="0"/>
              <w:keepLines w:val="0"/>
              <w:pageBreakBefore w:val="0"/>
              <w:widowControl w:val="0"/>
              <w:kinsoku/>
              <w:wordWrap/>
              <w:overflowPunct/>
              <w:topLinePunct w:val="0"/>
              <w:autoSpaceDE w:val="0"/>
              <w:autoSpaceDN w:val="0"/>
              <w:bidi w:val="0"/>
              <w:adjustRightInd w:val="0"/>
              <w:snapToGrid w:val="0"/>
              <w:spacing w:line="360" w:lineRule="auto"/>
              <w:jc w:val="both"/>
              <w:textAlignment w:val="auto"/>
              <w:rPr>
                <w:rFonts w:hint="default" w:ascii="Times New Roman" w:hAnsi="Times New Roman" w:eastAsia="宋体" w:cs="Times New Roman"/>
                <w:b/>
                <w:bCs/>
                <w:color w:val="auto"/>
                <w:kern w:val="0"/>
                <w:sz w:val="24"/>
                <w:szCs w:val="24"/>
                <w:lang w:val="en-US" w:eastAsia="zh-CN"/>
              </w:rPr>
            </w:pPr>
            <w:r>
              <w:rPr>
                <w:rFonts w:hint="eastAsia" w:ascii="Times New Roman" w:hAnsi="Times New Roman" w:eastAsia="宋体" w:cs="Times New Roman"/>
                <w:b/>
                <w:bCs/>
                <w:color w:val="auto"/>
                <w:kern w:val="0"/>
                <w:sz w:val="24"/>
                <w:szCs w:val="24"/>
                <w:lang w:val="en-US" w:eastAsia="zh-CN"/>
              </w:rPr>
              <w:t>5.1 项目与相关规划符合性分析</w:t>
            </w:r>
          </w:p>
          <w:p w14:paraId="6928F38C">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b/>
                <w:bCs/>
                <w:color w:val="auto"/>
                <w:kern w:val="0"/>
                <w:sz w:val="21"/>
                <w:szCs w:val="21"/>
                <w:lang w:val="en-US" w:eastAsia="zh-CN"/>
              </w:rPr>
              <w:t>表1</w:t>
            </w:r>
            <w:r>
              <w:rPr>
                <w:rFonts w:hint="eastAsia" w:ascii="Times New Roman" w:hAnsi="Times New Roman" w:eastAsia="宋体" w:cs="Times New Roman"/>
                <w:b/>
                <w:bCs/>
                <w:color w:val="auto"/>
                <w:kern w:val="0"/>
                <w:sz w:val="21"/>
                <w:szCs w:val="21"/>
                <w:lang w:val="en-US" w:eastAsia="zh-CN"/>
              </w:rPr>
              <w:t>-</w:t>
            </w:r>
            <w:r>
              <w:rPr>
                <w:rFonts w:hint="eastAsia" w:cs="Times New Roman"/>
                <w:b/>
                <w:bCs/>
                <w:color w:val="auto"/>
                <w:kern w:val="0"/>
                <w:sz w:val="21"/>
                <w:szCs w:val="21"/>
                <w:lang w:val="en-US" w:eastAsia="zh-CN"/>
              </w:rPr>
              <w:t>8</w:t>
            </w:r>
            <w:r>
              <w:rPr>
                <w:rFonts w:hint="default" w:ascii="Times New Roman" w:hAnsi="Times New Roman" w:eastAsia="宋体" w:cs="Times New Roman"/>
                <w:b/>
                <w:bCs/>
                <w:color w:val="auto"/>
                <w:kern w:val="0"/>
                <w:sz w:val="21"/>
                <w:szCs w:val="21"/>
                <w:lang w:val="en-US" w:eastAsia="zh-CN"/>
              </w:rPr>
              <w:t xml:space="preserve">  </w:t>
            </w:r>
            <w:r>
              <w:rPr>
                <w:rFonts w:hint="eastAsia" w:ascii="Times New Roman" w:hAnsi="Times New Roman" w:eastAsia="宋体" w:cs="Times New Roman"/>
                <w:b/>
                <w:bCs/>
                <w:color w:val="auto"/>
                <w:kern w:val="0"/>
                <w:sz w:val="21"/>
                <w:szCs w:val="21"/>
                <w:lang w:val="en-US" w:eastAsia="zh-CN"/>
              </w:rPr>
              <w:t xml:space="preserve"> 项目</w:t>
            </w:r>
            <w:r>
              <w:rPr>
                <w:rFonts w:hint="default" w:ascii="Times New Roman" w:hAnsi="Times New Roman" w:eastAsia="宋体" w:cs="Times New Roman"/>
                <w:b/>
                <w:bCs/>
                <w:color w:val="auto"/>
                <w:kern w:val="0"/>
                <w:sz w:val="21"/>
                <w:szCs w:val="21"/>
                <w:lang w:val="en-US" w:eastAsia="zh-CN"/>
              </w:rPr>
              <w:t>与相关规划符合性分析一览表</w:t>
            </w:r>
          </w:p>
          <w:tbl>
            <w:tblPr>
              <w:tblStyle w:val="28"/>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3335"/>
              <w:gridCol w:w="1803"/>
              <w:gridCol w:w="756"/>
            </w:tblGrid>
            <w:tr w14:paraId="1C0064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7" w:type="pct"/>
                  <w:tcBorders>
                    <w:bottom w:val="single" w:color="auto" w:sz="12" w:space="0"/>
                  </w:tcBorders>
                  <w:noWrap w:val="0"/>
                  <w:vAlign w:val="center"/>
                </w:tcPr>
                <w:p w14:paraId="77AA3B3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vertAlign w:val="baseline"/>
                      <w:lang w:val="en-US" w:eastAsia="zh-CN"/>
                    </w:rPr>
                  </w:pPr>
                  <w:r>
                    <w:rPr>
                      <w:rFonts w:hint="eastAsia" w:ascii="Times New Roman" w:hAnsi="Times New Roman" w:eastAsia="宋体" w:cs="Times New Roman"/>
                      <w:b/>
                      <w:bCs/>
                      <w:color w:val="auto"/>
                      <w:kern w:val="0"/>
                      <w:sz w:val="21"/>
                      <w:szCs w:val="21"/>
                      <w:vertAlign w:val="baseline"/>
                      <w:lang w:val="en-US" w:eastAsia="zh-CN"/>
                    </w:rPr>
                    <w:t>规划</w:t>
                  </w:r>
                </w:p>
              </w:tc>
              <w:tc>
                <w:tcPr>
                  <w:tcW w:w="2281" w:type="pct"/>
                  <w:tcBorders>
                    <w:bottom w:val="single" w:color="auto" w:sz="12" w:space="0"/>
                  </w:tcBorders>
                  <w:noWrap w:val="0"/>
                  <w:vAlign w:val="center"/>
                </w:tcPr>
                <w:p w14:paraId="38D91AE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vertAlign w:val="baseline"/>
                      <w:lang w:val="en-US" w:eastAsia="zh-CN"/>
                    </w:rPr>
                  </w:pPr>
                  <w:r>
                    <w:rPr>
                      <w:rFonts w:hint="eastAsia" w:ascii="Times New Roman" w:hAnsi="Times New Roman" w:eastAsia="宋体" w:cs="Times New Roman"/>
                      <w:b/>
                      <w:bCs/>
                      <w:color w:val="auto"/>
                      <w:kern w:val="0"/>
                      <w:sz w:val="21"/>
                      <w:szCs w:val="21"/>
                      <w:vertAlign w:val="baseline"/>
                      <w:lang w:val="en-US" w:eastAsia="zh-CN"/>
                    </w:rPr>
                    <w:t>规划内容</w:t>
                  </w:r>
                </w:p>
              </w:tc>
              <w:tc>
                <w:tcPr>
                  <w:tcW w:w="1233" w:type="pct"/>
                  <w:tcBorders>
                    <w:bottom w:val="single" w:color="auto" w:sz="12" w:space="0"/>
                  </w:tcBorders>
                  <w:noWrap w:val="0"/>
                  <w:vAlign w:val="center"/>
                </w:tcPr>
                <w:p w14:paraId="2769F37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vertAlign w:val="baseline"/>
                      <w:lang w:val="en-US" w:eastAsia="zh-CN"/>
                    </w:rPr>
                  </w:pPr>
                  <w:r>
                    <w:rPr>
                      <w:rFonts w:hint="eastAsia" w:ascii="Times New Roman" w:hAnsi="Times New Roman" w:eastAsia="宋体" w:cs="Times New Roman"/>
                      <w:b/>
                      <w:bCs/>
                      <w:color w:val="auto"/>
                      <w:kern w:val="0"/>
                      <w:sz w:val="21"/>
                      <w:szCs w:val="21"/>
                      <w:vertAlign w:val="baseline"/>
                      <w:lang w:val="en-US" w:eastAsia="zh-CN"/>
                    </w:rPr>
                    <w:t>建设情况</w:t>
                  </w:r>
                </w:p>
              </w:tc>
              <w:tc>
                <w:tcPr>
                  <w:tcW w:w="517" w:type="pct"/>
                  <w:tcBorders>
                    <w:bottom w:val="single" w:color="auto" w:sz="12" w:space="0"/>
                  </w:tcBorders>
                  <w:noWrap w:val="0"/>
                  <w:vAlign w:val="center"/>
                </w:tcPr>
                <w:p w14:paraId="042C0259">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b/>
                      <w:bCs/>
                      <w:color w:val="auto"/>
                      <w:kern w:val="0"/>
                      <w:sz w:val="21"/>
                      <w:szCs w:val="21"/>
                      <w:vertAlign w:val="baseline"/>
                      <w:lang w:val="en-US" w:eastAsia="zh-CN"/>
                    </w:rPr>
                  </w:pPr>
                  <w:r>
                    <w:rPr>
                      <w:rFonts w:hint="eastAsia" w:ascii="Times New Roman" w:hAnsi="Times New Roman" w:eastAsia="宋体" w:cs="Times New Roman"/>
                      <w:b/>
                      <w:bCs/>
                      <w:color w:val="auto"/>
                      <w:kern w:val="0"/>
                      <w:sz w:val="21"/>
                      <w:szCs w:val="21"/>
                      <w:vertAlign w:val="baseline"/>
                      <w:lang w:val="en-US" w:eastAsia="zh-CN"/>
                    </w:rPr>
                    <w:t>符合性</w:t>
                  </w:r>
                </w:p>
              </w:tc>
            </w:tr>
            <w:tr w14:paraId="61C6EE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7" w:type="pct"/>
                  <w:tcBorders>
                    <w:top w:val="single" w:color="auto" w:sz="12" w:space="0"/>
                    <w:bottom w:val="single" w:color="auto" w:sz="4" w:space="0"/>
                  </w:tcBorders>
                  <w:noWrap w:val="0"/>
                  <w:vAlign w:val="center"/>
                </w:tcPr>
                <w:p w14:paraId="0327220C">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《新疆维吾尔自治区国民经济和社会发展第十四个五年规划和2035年远景目标纲要》</w:t>
                  </w:r>
                </w:p>
              </w:tc>
              <w:tc>
                <w:tcPr>
                  <w:tcW w:w="2281" w:type="pct"/>
                  <w:tcBorders>
                    <w:top w:val="single" w:color="auto" w:sz="12" w:space="0"/>
                    <w:bottom w:val="single" w:color="auto" w:sz="4" w:space="0"/>
                  </w:tcBorders>
                  <w:noWrap w:val="0"/>
                  <w:vAlign w:val="center"/>
                </w:tcPr>
                <w:p w14:paraId="40F1CE7E">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严格执行《绿色产业指导目录（2019年版）》，落实环境准入要求，实施生态环境准入清单管理，从源头上防止环境污染。深入打好污染防治攻坚战，健全环境基础设施，实施水、土、气综合治理，推进多污染物协同控制和区域协同治理。</w:t>
                  </w:r>
                </w:p>
              </w:tc>
              <w:tc>
                <w:tcPr>
                  <w:tcW w:w="1233" w:type="pct"/>
                  <w:vMerge w:val="restart"/>
                  <w:tcBorders>
                    <w:top w:val="single" w:color="auto" w:sz="12" w:space="0"/>
                  </w:tcBorders>
                  <w:noWrap w:val="0"/>
                  <w:vAlign w:val="center"/>
                </w:tcPr>
                <w:p w14:paraId="5BF2EF2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本项目为昌吉市的环保基础设施工程，项目的建设能有效收集昌吉市范围内施工过程中产生的建筑垃圾，避免了施工过程中产生的建筑垃圾乱堆乱放而对环境产生的二次污染，降低了环境影响，保护了生态环境</w:t>
                  </w:r>
                </w:p>
              </w:tc>
              <w:tc>
                <w:tcPr>
                  <w:tcW w:w="517" w:type="pct"/>
                  <w:tcBorders>
                    <w:top w:val="single" w:color="auto" w:sz="12" w:space="0"/>
                    <w:bottom w:val="single" w:color="auto" w:sz="4" w:space="0"/>
                  </w:tcBorders>
                  <w:noWrap w:val="0"/>
                  <w:vAlign w:val="center"/>
                </w:tcPr>
                <w:p w14:paraId="5694429A">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符合</w:t>
                  </w:r>
                </w:p>
              </w:tc>
            </w:tr>
            <w:tr w14:paraId="51C935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7" w:type="pct"/>
                  <w:tcBorders>
                    <w:top w:val="single" w:color="auto" w:sz="4" w:space="0"/>
                    <w:tl2br w:val="nil"/>
                    <w:tr2bl w:val="nil"/>
                  </w:tcBorders>
                  <w:noWrap w:val="0"/>
                  <w:vAlign w:val="center"/>
                </w:tcPr>
                <w:p w14:paraId="708518DC">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昌吉回族自治州国民经济和社会发展第十四个五年规划和2035年远景目标纲要</w:t>
                  </w:r>
                </w:p>
              </w:tc>
              <w:tc>
                <w:tcPr>
                  <w:tcW w:w="2281" w:type="pct"/>
                  <w:tcBorders>
                    <w:top w:val="single" w:color="auto" w:sz="4" w:space="0"/>
                    <w:tl2br w:val="nil"/>
                    <w:tr2bl w:val="nil"/>
                  </w:tcBorders>
                  <w:noWrap w:val="0"/>
                  <w:vAlign w:val="center"/>
                </w:tcPr>
                <w:p w14:paraId="4CF68D05">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污染防治迈出关键步伐。自觉践行绿水青山就是金山银山、冰天雪地也是金山银山的理念，蓝天、碧水、净土、农村人居环境整治向纵深推进。认真抓好中央环保督察反馈意见的整改落实，...。狠抓能耗“双控”和减煤控煤工作，绿色循环低碳发展意识明显增强。</w:t>
                  </w:r>
                </w:p>
              </w:tc>
              <w:tc>
                <w:tcPr>
                  <w:tcW w:w="1233" w:type="pct"/>
                  <w:vMerge w:val="continue"/>
                  <w:tcBorders>
                    <w:tl2br w:val="nil"/>
                    <w:tr2bl w:val="nil"/>
                  </w:tcBorders>
                  <w:noWrap w:val="0"/>
                  <w:vAlign w:val="center"/>
                </w:tcPr>
                <w:p w14:paraId="73D79607">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vertAlign w:val="baseline"/>
                      <w:lang w:val="en-US" w:eastAsia="zh-CN"/>
                    </w:rPr>
                  </w:pPr>
                </w:p>
              </w:tc>
              <w:tc>
                <w:tcPr>
                  <w:tcW w:w="517" w:type="pct"/>
                  <w:tcBorders>
                    <w:top w:val="single" w:color="auto" w:sz="4" w:space="0"/>
                    <w:tl2br w:val="nil"/>
                    <w:tr2bl w:val="nil"/>
                  </w:tcBorders>
                  <w:noWrap w:val="0"/>
                  <w:vAlign w:val="center"/>
                </w:tcPr>
                <w:p w14:paraId="5EE0FBF1">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符合</w:t>
                  </w:r>
                </w:p>
              </w:tc>
            </w:tr>
            <w:tr w14:paraId="45556A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67" w:type="pct"/>
                  <w:tcBorders>
                    <w:tl2br w:val="nil"/>
                    <w:tr2bl w:val="nil"/>
                  </w:tcBorders>
                  <w:noWrap w:val="0"/>
                  <w:vAlign w:val="center"/>
                </w:tcPr>
                <w:p w14:paraId="3F4ED680">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昌吉市国民经济和社会发展第十四个五年规划和2035年远景目标纲要</w:t>
                  </w:r>
                </w:p>
              </w:tc>
              <w:tc>
                <w:tcPr>
                  <w:tcW w:w="2281" w:type="pct"/>
                  <w:tcBorders>
                    <w:tl2br w:val="nil"/>
                    <w:tr2bl w:val="nil"/>
                  </w:tcBorders>
                  <w:noWrap w:val="0"/>
                  <w:vAlign w:val="center"/>
                </w:tcPr>
                <w:p w14:paraId="7F7A4562">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加强固体废物污染防治。坚持固体废弃物资源化无害化处置原则推广循环经济，完善垃圾清运处置体系，规范管理生活垃圾填埋场，提升生活垃圾无害化处理能力。加强危险废物医疗废物收集处理，完善工矿企业“三废”处理设施建设。严格落实各职能单位及企业环保主体责任，进一步完善环境监管网格化体系。到2025年，一般工业固废处置利用率达到100%，危险废物无害化处理率达到100%。</w:t>
                  </w:r>
                </w:p>
              </w:tc>
              <w:tc>
                <w:tcPr>
                  <w:tcW w:w="1233" w:type="pct"/>
                  <w:vMerge w:val="continue"/>
                  <w:tcBorders>
                    <w:tl2br w:val="nil"/>
                    <w:tr2bl w:val="nil"/>
                  </w:tcBorders>
                  <w:noWrap w:val="0"/>
                  <w:vAlign w:val="center"/>
                </w:tcPr>
                <w:p w14:paraId="2B712356">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vertAlign w:val="baseline"/>
                      <w:lang w:val="en-US" w:eastAsia="zh-CN"/>
                    </w:rPr>
                  </w:pPr>
                </w:p>
              </w:tc>
              <w:tc>
                <w:tcPr>
                  <w:tcW w:w="517" w:type="pct"/>
                  <w:tcBorders>
                    <w:tl2br w:val="nil"/>
                    <w:tr2bl w:val="nil"/>
                  </w:tcBorders>
                  <w:noWrap w:val="0"/>
                  <w:vAlign w:val="center"/>
                </w:tcPr>
                <w:p w14:paraId="08BCC294">
                  <w:pPr>
                    <w:keepNext w:val="0"/>
                    <w:keepLines w:val="0"/>
                    <w:pageBreakBefore w:val="0"/>
                    <w:widowControl w:val="0"/>
                    <w:kinsoku/>
                    <w:wordWrap/>
                    <w:overflowPunct/>
                    <w:topLinePunct w:val="0"/>
                    <w:autoSpaceDE w:val="0"/>
                    <w:autoSpaceDN w:val="0"/>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vertAlign w:val="baseline"/>
                      <w:lang w:val="en-US" w:eastAsia="zh-CN"/>
                    </w:rPr>
                  </w:pPr>
                  <w:r>
                    <w:rPr>
                      <w:rFonts w:hint="eastAsia" w:ascii="Times New Roman" w:hAnsi="Times New Roman" w:eastAsia="宋体" w:cs="Times New Roman"/>
                      <w:color w:val="auto"/>
                      <w:kern w:val="0"/>
                      <w:sz w:val="21"/>
                      <w:szCs w:val="21"/>
                      <w:vertAlign w:val="baseline"/>
                      <w:lang w:val="en-US" w:eastAsia="zh-CN"/>
                    </w:rPr>
                    <w:t>符合</w:t>
                  </w:r>
                </w:p>
              </w:tc>
            </w:tr>
          </w:tbl>
          <w:p w14:paraId="376BC38C">
            <w:pPr>
              <w:keepNext w:val="0"/>
              <w:keepLines w:val="0"/>
              <w:pageBreakBefore w:val="0"/>
              <w:widowControl w:val="0"/>
              <w:kinsoku/>
              <w:wordWrap/>
              <w:overflowPunct/>
              <w:topLinePunct w:val="0"/>
              <w:autoSpaceDE w:val="0"/>
              <w:autoSpaceDN w:val="0"/>
              <w:bidi w:val="0"/>
              <w:adjustRightInd w:val="0"/>
              <w:snapToGrid w:val="0"/>
              <w:spacing w:line="360" w:lineRule="auto"/>
              <w:jc w:val="both"/>
              <w:textAlignment w:val="auto"/>
              <w:rPr>
                <w:rFonts w:hint="default" w:ascii="Times New Roman" w:hAnsi="Times New Roman" w:eastAsia="宋体" w:cs="Times New Roman"/>
                <w:b/>
                <w:bCs/>
                <w:color w:val="auto"/>
                <w:kern w:val="0"/>
                <w:sz w:val="24"/>
                <w:szCs w:val="24"/>
                <w:lang w:val="en-US" w:eastAsia="zh-CN"/>
              </w:rPr>
            </w:pPr>
            <w:r>
              <w:rPr>
                <w:rFonts w:hint="eastAsia" w:ascii="Times New Roman" w:hAnsi="Times New Roman" w:eastAsia="宋体" w:cs="Times New Roman"/>
                <w:b/>
                <w:bCs/>
                <w:color w:val="auto"/>
                <w:kern w:val="0"/>
                <w:sz w:val="24"/>
                <w:szCs w:val="24"/>
                <w:lang w:val="en-US" w:eastAsia="zh-CN"/>
              </w:rPr>
              <w:t>5.2工程选址的环境合理性</w:t>
            </w:r>
          </w:p>
          <w:p w14:paraId="6367BFB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b w:val="0"/>
                <w:bCs w:val="0"/>
                <w:color w:val="auto"/>
                <w:kern w:val="0"/>
                <w:sz w:val="24"/>
                <w:szCs w:val="24"/>
                <w:lang w:val="en-US" w:eastAsia="zh-CN"/>
              </w:rPr>
            </w:pPr>
            <w:r>
              <w:rPr>
                <w:rFonts w:hint="eastAsia" w:ascii="Times New Roman" w:hAnsi="Times New Roman" w:eastAsia="宋体" w:cs="Times New Roman"/>
                <w:b w:val="0"/>
                <w:bCs w:val="0"/>
                <w:color w:val="auto"/>
                <w:kern w:val="0"/>
                <w:sz w:val="24"/>
                <w:szCs w:val="24"/>
                <w:lang w:val="en-US" w:eastAsia="zh-CN"/>
              </w:rPr>
              <w:t>本项目位于昌吉市大西渠镇新戽村</w:t>
            </w:r>
            <w:r>
              <w:rPr>
                <w:rFonts w:hint="eastAsia" w:ascii="Times New Roman" w:hAnsi="Times New Roman" w:eastAsia="宋体" w:cs="Times New Roman"/>
                <w:color w:val="auto"/>
                <w:sz w:val="24"/>
                <w:szCs w:val="24"/>
                <w:u w:val="none"/>
                <w:lang w:val="en-US" w:eastAsia="zh-CN"/>
              </w:rPr>
              <w:t>昌吉市再生资源回收利用产业园内</w:t>
            </w:r>
            <w:r>
              <w:rPr>
                <w:rFonts w:hint="eastAsia" w:ascii="Times New Roman" w:hAnsi="Times New Roman" w:eastAsia="宋体" w:cs="Times New Roman"/>
                <w:b w:val="0"/>
                <w:bCs w:val="0"/>
                <w:color w:val="auto"/>
                <w:kern w:val="0"/>
                <w:sz w:val="24"/>
                <w:szCs w:val="24"/>
                <w:lang w:val="en-US" w:eastAsia="zh-CN"/>
              </w:rPr>
              <w:t>，</w:t>
            </w:r>
            <w:r>
              <w:rPr>
                <w:rFonts w:hint="eastAsia" w:cs="Times New Roman"/>
                <w:b w:val="0"/>
                <w:bCs w:val="0"/>
                <w:color w:val="auto"/>
                <w:kern w:val="0"/>
                <w:sz w:val="24"/>
                <w:szCs w:val="24"/>
                <w:lang w:val="en-US" w:eastAsia="zh-CN"/>
              </w:rPr>
              <w:t>项目用地类型为公共设施用地，用地性质详见</w:t>
            </w:r>
            <w:r>
              <w:rPr>
                <w:rFonts w:hint="eastAsia" w:cs="Times New Roman"/>
                <w:b/>
                <w:bCs/>
                <w:color w:val="auto"/>
                <w:kern w:val="0"/>
                <w:sz w:val="24"/>
                <w:szCs w:val="24"/>
                <w:lang w:val="en-US" w:eastAsia="zh-CN"/>
              </w:rPr>
              <w:t>附图1-5</w:t>
            </w:r>
            <w:r>
              <w:rPr>
                <w:rFonts w:hint="eastAsia" w:cs="Times New Roman"/>
                <w:b w:val="0"/>
                <w:bCs w:val="0"/>
                <w:color w:val="auto"/>
                <w:kern w:val="0"/>
                <w:sz w:val="24"/>
                <w:szCs w:val="24"/>
                <w:lang w:val="en-US" w:eastAsia="zh-CN"/>
              </w:rPr>
              <w:t>，</w:t>
            </w:r>
            <w:r>
              <w:rPr>
                <w:rFonts w:hint="eastAsia" w:ascii="Times New Roman" w:hAnsi="Times New Roman" w:eastAsia="宋体" w:cs="Times New Roman"/>
                <w:b w:val="0"/>
                <w:bCs w:val="0"/>
                <w:color w:val="auto"/>
                <w:kern w:val="0"/>
                <w:sz w:val="24"/>
                <w:szCs w:val="24"/>
                <w:lang w:val="en-US" w:eastAsia="zh-CN"/>
              </w:rPr>
              <w:t>项目区东侧、西侧、北均为空地，南侧为耕地，符合《</w:t>
            </w:r>
            <w:r>
              <w:rPr>
                <w:rFonts w:hint="eastAsia" w:cs="Times New Roman"/>
                <w:b w:val="0"/>
                <w:bCs w:val="0"/>
                <w:color w:val="auto"/>
                <w:kern w:val="0"/>
                <w:sz w:val="24"/>
                <w:szCs w:val="24"/>
                <w:lang w:val="en-US" w:eastAsia="zh-CN"/>
              </w:rPr>
              <w:t>昌吉市“一市两区”建筑垃圾污染环境防治工作规划（2025-2030年）</w:t>
            </w:r>
            <w:r>
              <w:rPr>
                <w:rFonts w:hint="eastAsia" w:ascii="Times New Roman" w:hAnsi="Times New Roman" w:eastAsia="宋体" w:cs="Times New Roman"/>
                <w:b w:val="0"/>
                <w:bCs w:val="0"/>
                <w:color w:val="auto"/>
                <w:kern w:val="0"/>
                <w:sz w:val="24"/>
                <w:szCs w:val="24"/>
                <w:lang w:val="en-US" w:eastAsia="zh-CN"/>
              </w:rPr>
              <w:t>》（2026年2月）中选址的要求。</w:t>
            </w:r>
          </w:p>
          <w:p w14:paraId="690B53B0">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b w:val="0"/>
                <w:bCs w:val="0"/>
                <w:color w:val="auto"/>
                <w:kern w:val="0"/>
                <w:sz w:val="24"/>
                <w:szCs w:val="24"/>
                <w:lang w:val="en-US" w:eastAsia="zh-CN"/>
              </w:rPr>
            </w:pPr>
            <w:r>
              <w:rPr>
                <w:rFonts w:hint="eastAsia" w:ascii="Times New Roman" w:hAnsi="Times New Roman" w:eastAsia="宋体" w:cs="Times New Roman"/>
                <w:b w:val="0"/>
                <w:bCs w:val="0"/>
                <w:color w:val="auto"/>
                <w:kern w:val="0"/>
                <w:sz w:val="24"/>
                <w:szCs w:val="24"/>
                <w:lang w:val="en-US" w:eastAsia="zh-CN"/>
              </w:rPr>
              <w:t>本项目选址位于昌吉市大西渠镇新戽村</w:t>
            </w:r>
            <w:r>
              <w:rPr>
                <w:rFonts w:hint="eastAsia" w:ascii="Times New Roman" w:hAnsi="Times New Roman" w:eastAsia="宋体" w:cs="Times New Roman"/>
                <w:color w:val="auto"/>
                <w:sz w:val="24"/>
                <w:szCs w:val="24"/>
                <w:u w:val="none"/>
                <w:lang w:val="en-US" w:eastAsia="zh-CN"/>
              </w:rPr>
              <w:t>昌吉市再生资源回收利用产业园内</w:t>
            </w:r>
            <w:r>
              <w:rPr>
                <w:rFonts w:hint="eastAsia" w:ascii="Times New Roman" w:hAnsi="Times New Roman" w:eastAsia="宋体" w:cs="Times New Roman"/>
                <w:b w:val="0"/>
                <w:bCs w:val="0"/>
                <w:color w:val="auto"/>
                <w:kern w:val="0"/>
                <w:sz w:val="24"/>
                <w:szCs w:val="24"/>
                <w:lang w:val="en-US" w:eastAsia="zh-CN"/>
              </w:rPr>
              <w:t>，满足</w:t>
            </w:r>
            <w:r>
              <w:rPr>
                <w:rFonts w:hint="eastAsia" w:ascii="Times New Roman" w:hAnsi="Times New Roman" w:eastAsia="宋体" w:cs="Times New Roman"/>
                <w:color w:val="auto"/>
                <w:kern w:val="0"/>
                <w:sz w:val="24"/>
                <w:szCs w:val="24"/>
                <w:lang w:val="en-US" w:eastAsia="zh-CN"/>
              </w:rPr>
              <w:t>《建筑垃圾处理技术标准》（CJJ/T134-2019）调配场的</w:t>
            </w:r>
            <w:r>
              <w:rPr>
                <w:rFonts w:hint="eastAsia" w:ascii="Times New Roman" w:hAnsi="Times New Roman" w:eastAsia="宋体" w:cs="Times New Roman"/>
                <w:b w:val="0"/>
                <w:bCs w:val="0"/>
                <w:color w:val="auto"/>
                <w:kern w:val="0"/>
                <w:sz w:val="24"/>
                <w:szCs w:val="24"/>
                <w:lang w:val="en-US" w:eastAsia="zh-CN"/>
              </w:rPr>
              <w:t>选址要求。因此，本项目选址合理可行。</w:t>
            </w:r>
          </w:p>
          <w:p w14:paraId="778FA434">
            <w:pPr>
              <w:keepNext w:val="0"/>
              <w:keepLines w:val="0"/>
              <w:pageBreakBefore w:val="0"/>
              <w:widowControl w:val="0"/>
              <w:kinsoku/>
              <w:wordWrap/>
              <w:overflowPunct/>
              <w:topLinePunct w:val="0"/>
              <w:autoSpaceDE w:val="0"/>
              <w:autoSpaceDN w:val="0"/>
              <w:bidi w:val="0"/>
              <w:adjustRightInd w:val="0"/>
              <w:snapToGrid w:val="0"/>
              <w:spacing w:line="560" w:lineRule="exact"/>
              <w:jc w:val="both"/>
              <w:textAlignment w:val="auto"/>
              <w:rPr>
                <w:rFonts w:hint="eastAsia" w:ascii="Times New Roman" w:hAnsi="Times New Roman" w:eastAsia="宋体" w:cs="Times New Roman"/>
                <w:color w:val="auto"/>
                <w:kern w:val="0"/>
                <w:sz w:val="24"/>
                <w:szCs w:val="24"/>
                <w:lang w:val="en-US" w:eastAsia="zh-CN"/>
              </w:rPr>
            </w:pPr>
          </w:p>
        </w:tc>
      </w:tr>
    </w:tbl>
    <w:p w14:paraId="752007A7">
      <w:pPr>
        <w:spacing w:line="360" w:lineRule="auto"/>
        <w:outlineLvl w:val="0"/>
        <w:rPr>
          <w:rFonts w:eastAsia="黑体"/>
          <w:color w:val="auto"/>
          <w:sz w:val="30"/>
        </w:rPr>
        <w:sectPr>
          <w:footerReference r:id="rId5"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6242FB0E">
      <w:pPr>
        <w:pStyle w:val="24"/>
        <w:jc w:val="center"/>
        <w:outlineLvl w:val="0"/>
        <w:rPr>
          <w:rFonts w:ascii="黑体" w:hAnsi="黑体" w:eastAsia="黑体"/>
          <w:snapToGrid w:val="0"/>
          <w:color w:val="auto"/>
          <w:sz w:val="30"/>
          <w:szCs w:val="30"/>
        </w:rPr>
      </w:pPr>
      <w:r>
        <w:rPr>
          <w:rFonts w:hint="eastAsia" w:ascii="黑体" w:hAnsi="黑体" w:eastAsia="黑体"/>
          <w:snapToGrid w:val="0"/>
          <w:color w:val="auto"/>
          <w:sz w:val="30"/>
          <w:szCs w:val="30"/>
        </w:rPr>
        <w:t>二、建设项目工程分析</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16"/>
        <w:gridCol w:w="8108"/>
      </w:tblGrid>
      <w:tr w14:paraId="1D5E73C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55" w:hRule="atLeast"/>
          <w:jc w:val="center"/>
        </w:trPr>
        <w:tc>
          <w:tcPr>
            <w:tcW w:w="916" w:type="dxa"/>
            <w:noWrap w:val="0"/>
            <w:vAlign w:val="center"/>
          </w:tcPr>
          <w:p w14:paraId="25CFA4D6">
            <w:pPr>
              <w:pStyle w:val="24"/>
              <w:adjustRightInd w:val="0"/>
              <w:snapToGrid w:val="0"/>
              <w:spacing w:before="0" w:beforeAutospacing="0" w:after="0" w:afterAutospacing="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建设内容</w:t>
            </w:r>
          </w:p>
        </w:tc>
        <w:tc>
          <w:tcPr>
            <w:tcW w:w="8108" w:type="dxa"/>
            <w:noWrap w:val="0"/>
            <w:vAlign w:val="top"/>
          </w:tcPr>
          <w:p w14:paraId="452F0065">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bCs/>
                <w:color w:val="auto"/>
                <w:sz w:val="24"/>
                <w:szCs w:val="24"/>
                <w:lang w:val="en-US" w:eastAsia="zh-CN"/>
              </w:rPr>
            </w:pPr>
            <w:r>
              <w:rPr>
                <w:rFonts w:hint="eastAsia" w:ascii="Times New Roman" w:hAnsi="Times New Roman" w:cs="Times New Roman"/>
                <w:b/>
                <w:bCs w:val="0"/>
                <w:color w:val="auto"/>
                <w:sz w:val="24"/>
                <w:szCs w:val="24"/>
                <w:lang w:val="en-US" w:eastAsia="zh-CN"/>
              </w:rPr>
              <w:t>1 项目背景</w:t>
            </w:r>
          </w:p>
          <w:p w14:paraId="0396B793">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eastAsia="Segoe UI Emoji" w:cs="Times New Roman"/>
                <w:b/>
                <w:bCs/>
                <w:i w:val="0"/>
                <w:iCs w:val="0"/>
                <w:caps w:val="0"/>
                <w:color w:val="auto"/>
                <w:spacing w:val="0"/>
                <w:sz w:val="24"/>
                <w:szCs w:val="24"/>
                <w:lang w:val="en-US" w:eastAsia="zh-CN"/>
              </w:rPr>
            </w:pPr>
            <w:r>
              <w:rPr>
                <w:rFonts w:hint="eastAsia" w:eastAsia="Segoe UI Emoji" w:cs="Times New Roman"/>
                <w:b/>
                <w:bCs/>
                <w:i w:val="0"/>
                <w:iCs w:val="0"/>
                <w:caps w:val="0"/>
                <w:color w:val="auto"/>
                <w:spacing w:val="0"/>
                <w:sz w:val="24"/>
                <w:szCs w:val="24"/>
                <w:lang w:val="en-US" w:eastAsia="zh-CN"/>
              </w:rPr>
              <w:t>1.1项目基本情况</w:t>
            </w:r>
          </w:p>
          <w:p w14:paraId="1F045A1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eastAsia="Segoe UI Emoji" w:cs="Times New Roman"/>
                <w:i w:val="0"/>
                <w:iCs w:val="0"/>
                <w:caps w:val="0"/>
                <w:color w:val="auto"/>
                <w:spacing w:val="0"/>
                <w:sz w:val="24"/>
                <w:szCs w:val="24"/>
                <w:lang w:val="en-US" w:eastAsia="zh-CN"/>
              </w:rPr>
            </w:pPr>
            <w:r>
              <w:rPr>
                <w:rFonts w:hint="eastAsia" w:eastAsia="Segoe UI Emoji" w:cs="Times New Roman"/>
                <w:i w:val="0"/>
                <w:iCs w:val="0"/>
                <w:caps w:val="0"/>
                <w:color w:val="auto"/>
                <w:spacing w:val="0"/>
                <w:sz w:val="24"/>
                <w:szCs w:val="24"/>
                <w:lang w:val="en-US" w:eastAsia="zh-CN"/>
              </w:rPr>
              <w:t>昌吉市坚持以习近平生态文明思想为指引，深入践行生态优先、绿色发展理念，以建筑垃圾减量化、资源化、无害化为建筑垃圾处置的基本原则，持续开展综合治理和污染防治，并发布实施了</w:t>
            </w:r>
            <w:r>
              <w:rPr>
                <w:rFonts w:hint="default" w:ascii="Times New Roman" w:hAnsi="Times New Roman" w:eastAsia="Segoe UI Emoji" w:cs="Times New Roman"/>
                <w:i w:val="0"/>
                <w:iCs w:val="0"/>
                <w:caps w:val="0"/>
                <w:color w:val="auto"/>
                <w:spacing w:val="0"/>
                <w:sz w:val="24"/>
                <w:szCs w:val="24"/>
                <w:lang w:val="zh-CN" w:eastAsia="zh-CN"/>
              </w:rPr>
              <w:t>《</w:t>
            </w:r>
            <w:r>
              <w:rPr>
                <w:rFonts w:hint="eastAsia" w:eastAsia="Segoe UI Emoji" w:cs="Times New Roman"/>
                <w:i w:val="0"/>
                <w:iCs w:val="0"/>
                <w:caps w:val="0"/>
                <w:color w:val="auto"/>
                <w:spacing w:val="0"/>
                <w:sz w:val="24"/>
                <w:szCs w:val="24"/>
                <w:lang w:val="zh-CN" w:eastAsia="zh-CN"/>
              </w:rPr>
              <w:t>昌吉市“一市两区”建筑垃圾污染环境防治工作规划（2025-2030年）</w:t>
            </w:r>
            <w:r>
              <w:rPr>
                <w:rFonts w:hint="default" w:ascii="Times New Roman" w:hAnsi="Times New Roman" w:eastAsia="Segoe UI Emoji" w:cs="Times New Roman"/>
                <w:i w:val="0"/>
                <w:iCs w:val="0"/>
                <w:caps w:val="0"/>
                <w:color w:val="auto"/>
                <w:spacing w:val="0"/>
                <w:sz w:val="24"/>
                <w:szCs w:val="24"/>
                <w:lang w:val="zh-CN" w:eastAsia="zh-CN"/>
              </w:rPr>
              <w:t>》</w:t>
            </w:r>
            <w:r>
              <w:rPr>
                <w:rFonts w:hint="eastAsia" w:eastAsia="Segoe UI Emoji" w:cs="Times New Roman"/>
                <w:i w:val="0"/>
                <w:iCs w:val="0"/>
                <w:caps w:val="0"/>
                <w:color w:val="auto"/>
                <w:spacing w:val="0"/>
                <w:sz w:val="24"/>
                <w:szCs w:val="24"/>
                <w:lang w:val="zh-CN" w:eastAsia="zh-CN"/>
              </w:rPr>
              <w:t>，</w:t>
            </w:r>
            <w:r>
              <w:rPr>
                <w:rFonts w:hint="eastAsia" w:eastAsia="Segoe UI Emoji" w:cs="Times New Roman"/>
                <w:i w:val="0"/>
                <w:iCs w:val="0"/>
                <w:caps w:val="0"/>
                <w:color w:val="auto"/>
                <w:spacing w:val="0"/>
                <w:sz w:val="24"/>
                <w:szCs w:val="24"/>
                <w:lang w:val="en-US" w:eastAsia="zh-CN"/>
              </w:rPr>
              <w:t>根据《规划》在大西渠镇</w:t>
            </w:r>
            <w:r>
              <w:rPr>
                <w:rFonts w:hint="default" w:ascii="Times New Roman" w:hAnsi="Times New Roman" w:eastAsia="Segoe UI Emoji" w:cs="Times New Roman"/>
                <w:i w:val="0"/>
                <w:iCs w:val="0"/>
                <w:caps w:val="0"/>
                <w:color w:val="auto"/>
                <w:spacing w:val="0"/>
                <w:sz w:val="24"/>
                <w:szCs w:val="24"/>
                <w:lang w:val="zh-CN" w:eastAsia="zh-CN"/>
              </w:rPr>
              <w:t>再生资源回收利用产业园</w:t>
            </w:r>
            <w:r>
              <w:rPr>
                <w:rFonts w:hint="eastAsia" w:eastAsia="Segoe UI Emoji" w:cs="Times New Roman"/>
                <w:i w:val="0"/>
                <w:iCs w:val="0"/>
                <w:caps w:val="0"/>
                <w:color w:val="auto"/>
                <w:spacing w:val="0"/>
                <w:sz w:val="24"/>
                <w:szCs w:val="24"/>
                <w:lang w:val="en-US" w:eastAsia="zh-CN"/>
              </w:rPr>
              <w:t>建设建筑垃圾调配场、建筑垃圾资源化利用项目，再配合紧邻产业园的北侧</w:t>
            </w:r>
            <w:r>
              <w:rPr>
                <w:rFonts w:hint="eastAsia" w:ascii="Times New Roman" w:hAnsi="Times New Roman" w:eastAsia="Segoe UI Emoji" w:cs="Times New Roman"/>
                <w:i w:val="0"/>
                <w:iCs w:val="0"/>
                <w:caps w:val="0"/>
                <w:color w:val="auto"/>
                <w:spacing w:val="0"/>
                <w:sz w:val="24"/>
                <w:szCs w:val="24"/>
                <w:lang w:val="en-US" w:eastAsia="zh-CN"/>
              </w:rPr>
              <w:t>建设</w:t>
            </w:r>
            <w:r>
              <w:rPr>
                <w:rFonts w:hint="default" w:ascii="Times New Roman" w:hAnsi="Times New Roman" w:eastAsia="Segoe UI Emoji" w:cs="Times New Roman"/>
                <w:i w:val="0"/>
                <w:iCs w:val="0"/>
                <w:caps w:val="0"/>
                <w:color w:val="auto"/>
                <w:spacing w:val="0"/>
                <w:sz w:val="24"/>
                <w:szCs w:val="24"/>
                <w:lang w:val="zh-CN" w:eastAsia="zh-CN"/>
              </w:rPr>
              <w:t>建筑垃圾</w:t>
            </w:r>
            <w:r>
              <w:rPr>
                <w:rFonts w:hint="eastAsia" w:ascii="Times New Roman" w:hAnsi="Times New Roman" w:eastAsia="Segoe UI Emoji" w:cs="Times New Roman"/>
                <w:i w:val="0"/>
                <w:iCs w:val="0"/>
                <w:caps w:val="0"/>
                <w:color w:val="auto"/>
                <w:spacing w:val="0"/>
                <w:sz w:val="24"/>
                <w:szCs w:val="24"/>
                <w:lang w:val="en-US" w:eastAsia="zh-CN"/>
              </w:rPr>
              <w:t>填埋场</w:t>
            </w:r>
            <w:r>
              <w:rPr>
                <w:rFonts w:hint="eastAsia" w:eastAsia="Segoe UI Emoji" w:cs="Times New Roman"/>
                <w:i w:val="0"/>
                <w:iCs w:val="0"/>
                <w:caps w:val="0"/>
                <w:color w:val="auto"/>
                <w:spacing w:val="0"/>
                <w:sz w:val="24"/>
                <w:szCs w:val="24"/>
                <w:lang w:val="en-US" w:eastAsia="zh-CN"/>
              </w:rPr>
              <w:t>，形成建筑垃圾分类收集—统一调配—资源化利用—安全填埋的运行管理模式。昌吉市根据昌吉市经济发展状况和总体规划，对调配场、资源化利用项目、填埋场分别进行立项、建设。</w:t>
            </w:r>
          </w:p>
          <w:p w14:paraId="77A1D98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eastAsia="Segoe UI Emoji" w:cs="Times New Roman"/>
                <w:i w:val="0"/>
                <w:iCs w:val="0"/>
                <w:caps w:val="0"/>
                <w:color w:val="auto"/>
                <w:spacing w:val="0"/>
                <w:sz w:val="24"/>
                <w:szCs w:val="24"/>
                <w:lang w:val="en-US" w:eastAsia="zh-CN"/>
              </w:rPr>
            </w:pPr>
            <w:r>
              <w:rPr>
                <w:rFonts w:hint="eastAsia" w:eastAsia="Segoe UI Emoji" w:cs="Times New Roman"/>
                <w:i w:val="0"/>
                <w:iCs w:val="0"/>
                <w:caps w:val="0"/>
                <w:color w:val="auto"/>
                <w:spacing w:val="0"/>
                <w:sz w:val="24"/>
                <w:szCs w:val="24"/>
                <w:lang w:val="en-US" w:eastAsia="zh-CN"/>
              </w:rPr>
              <w:t>本项目名称为</w:t>
            </w:r>
            <w:r>
              <w:rPr>
                <w:rFonts w:hint="eastAsia" w:ascii="Times New Roman" w:hAnsi="Times New Roman" w:cs="Times New Roman"/>
                <w:bCs/>
                <w:color w:val="auto"/>
                <w:sz w:val="24"/>
                <w:szCs w:val="24"/>
                <w:highlight w:val="none"/>
                <w:lang w:val="en-US" w:eastAsia="zh-CN"/>
              </w:rPr>
              <w:t>大西渠闽昌产业园基础设施改造项目</w:t>
            </w:r>
            <w:r>
              <w:rPr>
                <w:rFonts w:hint="eastAsia" w:cs="Times New Roman"/>
                <w:bCs/>
                <w:color w:val="auto"/>
                <w:sz w:val="24"/>
                <w:szCs w:val="24"/>
                <w:highlight w:val="none"/>
                <w:lang w:val="en-US" w:eastAsia="zh-CN"/>
              </w:rPr>
              <w:t>，实际即为昌吉市建筑垃圾调配场建设项目，该项目建设的目的在于对昌吉市产生建筑垃圾进行区域调配，将可进行资源化利用的（如装修垃圾等）进入资源利用项目进行加工；无资源化利用价值的（资源化利用后产生的废物等）进入填埋场进行填埋。</w:t>
            </w:r>
          </w:p>
          <w:p w14:paraId="6661D18B">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eastAsia="Segoe UI Emoji" w:cs="Times New Roman"/>
                <w:b/>
                <w:bCs/>
                <w:i w:val="0"/>
                <w:iCs w:val="0"/>
                <w:caps w:val="0"/>
                <w:color w:val="auto"/>
                <w:spacing w:val="0"/>
                <w:sz w:val="24"/>
                <w:szCs w:val="24"/>
                <w:lang w:val="en-US" w:eastAsia="zh-CN"/>
              </w:rPr>
            </w:pPr>
            <w:r>
              <w:rPr>
                <w:rFonts w:hint="eastAsia" w:eastAsia="Segoe UI Emoji" w:cs="Times New Roman"/>
                <w:b/>
                <w:bCs/>
                <w:i w:val="0"/>
                <w:iCs w:val="0"/>
                <w:caps w:val="0"/>
                <w:color w:val="auto"/>
                <w:spacing w:val="0"/>
                <w:sz w:val="24"/>
                <w:szCs w:val="24"/>
                <w:lang w:val="en-US" w:eastAsia="zh-CN"/>
              </w:rPr>
              <w:t>1.2与本项目关联项目情况</w:t>
            </w:r>
          </w:p>
          <w:p w14:paraId="26A2CBC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eastAsia="Segoe UI Emoji" w:cs="Times New Roman"/>
                <w:i w:val="0"/>
                <w:iCs w:val="0"/>
                <w:caps w:val="0"/>
                <w:color w:val="auto"/>
                <w:spacing w:val="0"/>
                <w:sz w:val="24"/>
                <w:szCs w:val="24"/>
                <w:lang w:val="en-US" w:eastAsia="zh-CN"/>
              </w:rPr>
            </w:pPr>
            <w:r>
              <w:rPr>
                <w:rFonts w:hint="eastAsia" w:eastAsia="Segoe UI Emoji" w:cs="Times New Roman"/>
                <w:i w:val="0"/>
                <w:iCs w:val="0"/>
                <w:caps w:val="0"/>
                <w:color w:val="auto"/>
                <w:spacing w:val="0"/>
                <w:sz w:val="24"/>
                <w:szCs w:val="24"/>
                <w:lang w:val="en-US" w:eastAsia="zh-CN"/>
              </w:rPr>
              <w:t>与本项目关联的昌吉市建筑垃圾填埋场项目，</w:t>
            </w:r>
            <w:r>
              <w:rPr>
                <w:rFonts w:hint="default" w:eastAsia="Segoe UI Emoji" w:cs="Times New Roman"/>
                <w:i w:val="0"/>
                <w:iCs w:val="0"/>
                <w:caps w:val="0"/>
                <w:color w:val="auto"/>
                <w:spacing w:val="0"/>
                <w:sz w:val="24"/>
                <w:szCs w:val="24"/>
                <w:lang w:val="zh-CN" w:eastAsia="zh-CN"/>
              </w:rPr>
              <w:t>已取得环评批复</w:t>
            </w:r>
            <w:r>
              <w:rPr>
                <w:rFonts w:hint="eastAsia" w:eastAsia="Segoe UI Emoji" w:cs="Times New Roman"/>
                <w:i w:val="0"/>
                <w:iCs w:val="0"/>
                <w:caps w:val="0"/>
                <w:color w:val="auto"/>
                <w:spacing w:val="0"/>
                <w:sz w:val="24"/>
                <w:szCs w:val="24"/>
                <w:lang w:val="zh-CN" w:eastAsia="zh-CN"/>
              </w:rPr>
              <w:t>（</w:t>
            </w:r>
            <w:r>
              <w:rPr>
                <w:rFonts w:hint="eastAsia" w:eastAsia="Segoe UI Emoji" w:cs="Times New Roman"/>
                <w:i w:val="0"/>
                <w:iCs w:val="0"/>
                <w:caps w:val="0"/>
                <w:color w:val="auto"/>
                <w:spacing w:val="0"/>
                <w:sz w:val="24"/>
                <w:szCs w:val="24"/>
                <w:lang w:val="en-US" w:eastAsia="zh-CN"/>
              </w:rPr>
              <w:t>详见附件</w:t>
            </w:r>
            <w:r>
              <w:rPr>
                <w:rFonts w:hint="eastAsia" w:eastAsia="Segoe UI Emoji" w:cs="Times New Roman"/>
                <w:i w:val="0"/>
                <w:iCs w:val="0"/>
                <w:caps w:val="0"/>
                <w:color w:val="auto"/>
                <w:spacing w:val="0"/>
                <w:sz w:val="24"/>
                <w:szCs w:val="24"/>
                <w:lang w:val="zh-CN" w:eastAsia="zh-CN"/>
              </w:rPr>
              <w:t>），</w:t>
            </w:r>
            <w:r>
              <w:rPr>
                <w:rFonts w:hint="eastAsia" w:eastAsia="Segoe UI Emoji" w:cs="Times New Roman"/>
                <w:i w:val="0"/>
                <w:iCs w:val="0"/>
                <w:caps w:val="0"/>
                <w:color w:val="auto"/>
                <w:spacing w:val="0"/>
                <w:sz w:val="24"/>
                <w:szCs w:val="24"/>
                <w:lang w:val="en-US" w:eastAsia="zh-CN"/>
              </w:rPr>
              <w:t>现正在建设过程中。</w:t>
            </w:r>
          </w:p>
          <w:p w14:paraId="782C706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eastAsia="Segoe UI Emoji" w:cs="Times New Roman"/>
                <w:i w:val="0"/>
                <w:iCs w:val="0"/>
                <w:caps w:val="0"/>
                <w:color w:val="auto"/>
                <w:spacing w:val="0"/>
                <w:sz w:val="24"/>
                <w:szCs w:val="24"/>
                <w:lang w:val="en-US" w:eastAsia="zh-CN"/>
              </w:rPr>
            </w:pPr>
            <w:r>
              <w:rPr>
                <w:rFonts w:hint="eastAsia" w:eastAsia="Segoe UI Emoji" w:cs="Times New Roman"/>
                <w:i w:val="0"/>
                <w:iCs w:val="0"/>
                <w:caps w:val="0"/>
                <w:color w:val="auto"/>
                <w:spacing w:val="0"/>
                <w:sz w:val="24"/>
                <w:szCs w:val="24"/>
                <w:lang w:val="en-US" w:eastAsia="zh-CN"/>
              </w:rPr>
              <w:t>昌吉市建筑垃圾资源化利用项目由于</w:t>
            </w:r>
            <w:r>
              <w:rPr>
                <w:rFonts w:hint="eastAsia" w:eastAsia="Segoe UI Emoji" w:cs="Times New Roman"/>
                <w:i w:val="0"/>
                <w:iCs w:val="0"/>
                <w:caps w:val="0"/>
                <w:color w:val="auto"/>
                <w:spacing w:val="0"/>
                <w:sz w:val="24"/>
                <w:szCs w:val="24"/>
                <w:lang w:val="zh-CN" w:eastAsia="zh-CN"/>
              </w:rPr>
              <w:t>投资规模大、建设周期较长，无法满足近期建筑垃圾资源化处置需求，</w:t>
            </w:r>
            <w:r>
              <w:rPr>
                <w:rFonts w:hint="eastAsia" w:eastAsia="Segoe UI Emoji" w:cs="Times New Roman"/>
                <w:i w:val="0"/>
                <w:iCs w:val="0"/>
                <w:caps w:val="0"/>
                <w:color w:val="auto"/>
                <w:spacing w:val="0"/>
                <w:sz w:val="24"/>
                <w:szCs w:val="24"/>
                <w:lang w:val="en-US" w:eastAsia="zh-CN"/>
              </w:rPr>
              <w:t>为此，</w:t>
            </w:r>
            <w:r>
              <w:rPr>
                <w:rFonts w:hint="eastAsia" w:eastAsia="Segoe UI Emoji" w:cs="Times New Roman"/>
                <w:i w:val="0"/>
                <w:iCs w:val="0"/>
                <w:caps w:val="0"/>
                <w:color w:val="auto"/>
                <w:spacing w:val="0"/>
                <w:sz w:val="24"/>
                <w:szCs w:val="24"/>
                <w:lang w:val="zh-CN" w:eastAsia="zh-CN"/>
              </w:rPr>
              <w:t>昌吉市</w:t>
            </w:r>
            <w:r>
              <w:rPr>
                <w:rFonts w:hint="eastAsia" w:eastAsia="Segoe UI Emoji" w:cs="Times New Roman"/>
                <w:i w:val="0"/>
                <w:iCs w:val="0"/>
                <w:caps w:val="0"/>
                <w:color w:val="auto"/>
                <w:spacing w:val="0"/>
                <w:sz w:val="24"/>
                <w:szCs w:val="24"/>
                <w:lang w:val="en-US" w:eastAsia="zh-CN"/>
              </w:rPr>
              <w:t>在大西渠镇</w:t>
            </w:r>
            <w:r>
              <w:rPr>
                <w:rFonts w:hint="eastAsia" w:eastAsia="Segoe UI Emoji" w:cs="Times New Roman"/>
                <w:i w:val="0"/>
                <w:iCs w:val="0"/>
                <w:caps w:val="0"/>
                <w:color w:val="auto"/>
                <w:spacing w:val="0"/>
                <w:sz w:val="24"/>
                <w:szCs w:val="24"/>
                <w:lang w:val="zh-CN" w:eastAsia="zh-CN"/>
              </w:rPr>
              <w:t>设置临时建筑垃圾资源化利用项目，运营期</w:t>
            </w:r>
            <w:r>
              <w:rPr>
                <w:rFonts w:hint="eastAsia" w:eastAsia="Segoe UI Emoji" w:cs="Times New Roman"/>
                <w:i w:val="0"/>
                <w:iCs w:val="0"/>
                <w:caps w:val="0"/>
                <w:color w:val="auto"/>
                <w:spacing w:val="0"/>
                <w:sz w:val="24"/>
                <w:szCs w:val="24"/>
                <w:lang w:val="en-US" w:eastAsia="zh-CN"/>
              </w:rPr>
              <w:t>为</w:t>
            </w:r>
            <w:r>
              <w:rPr>
                <w:rFonts w:hint="eastAsia" w:eastAsia="Segoe UI Emoji" w:cs="Times New Roman"/>
                <w:i w:val="0"/>
                <w:iCs w:val="0"/>
                <w:caps w:val="0"/>
                <w:color w:val="auto"/>
                <w:spacing w:val="0"/>
                <w:sz w:val="24"/>
                <w:szCs w:val="24"/>
                <w:lang w:val="zh-CN" w:eastAsia="zh-CN"/>
              </w:rPr>
              <w:t>两年，该项目已完成环评批复（详见附件）</w:t>
            </w:r>
            <w:r>
              <w:rPr>
                <w:rFonts w:hint="eastAsia" w:eastAsia="Segoe UI Emoji" w:cs="Times New Roman"/>
                <w:i w:val="0"/>
                <w:iCs w:val="0"/>
                <w:caps w:val="0"/>
                <w:color w:val="auto"/>
                <w:spacing w:val="0"/>
                <w:sz w:val="24"/>
                <w:szCs w:val="24"/>
                <w:lang w:val="en-US" w:eastAsia="zh-CN"/>
              </w:rPr>
              <w:t>正在建设中</w:t>
            </w:r>
            <w:r>
              <w:rPr>
                <w:rFonts w:hint="eastAsia" w:eastAsia="Segoe UI Emoji" w:cs="Times New Roman"/>
                <w:i w:val="0"/>
                <w:iCs w:val="0"/>
                <w:caps w:val="0"/>
                <w:color w:val="auto"/>
                <w:spacing w:val="0"/>
                <w:sz w:val="24"/>
                <w:szCs w:val="24"/>
                <w:lang w:val="zh-CN" w:eastAsia="zh-CN"/>
              </w:rPr>
              <w:t>，待产业园资源化利用项目建成投运后，临时项目将按期关停。</w:t>
            </w:r>
            <w:r>
              <w:rPr>
                <w:rFonts w:hint="eastAsia" w:eastAsia="Segoe UI Emoji" w:cs="Times New Roman"/>
                <w:i w:val="0"/>
                <w:iCs w:val="0"/>
                <w:caps w:val="0"/>
                <w:color w:val="auto"/>
                <w:spacing w:val="0"/>
                <w:sz w:val="24"/>
                <w:szCs w:val="24"/>
                <w:lang w:val="en-US" w:eastAsia="zh-CN"/>
              </w:rPr>
              <w:t xml:space="preserve">  本项目建成后，将可进行资源化利用的（如装修垃圾等）调配至</w:t>
            </w:r>
            <w:r>
              <w:rPr>
                <w:rFonts w:hint="eastAsia" w:eastAsia="Segoe UI Emoji" w:cs="Times New Roman"/>
                <w:i w:val="0"/>
                <w:iCs w:val="0"/>
                <w:caps w:val="0"/>
                <w:color w:val="auto"/>
                <w:spacing w:val="0"/>
                <w:sz w:val="24"/>
                <w:szCs w:val="24"/>
                <w:lang w:val="zh-CN" w:eastAsia="zh-CN"/>
              </w:rPr>
              <w:t>昌吉市临时建筑垃圾资源化利用项目，</w:t>
            </w:r>
            <w:r>
              <w:rPr>
                <w:rFonts w:hint="eastAsia" w:eastAsia="Segoe UI Emoji" w:cs="Times New Roman"/>
                <w:i w:val="0"/>
                <w:iCs w:val="0"/>
                <w:caps w:val="0"/>
                <w:color w:val="auto"/>
                <w:spacing w:val="0"/>
                <w:sz w:val="24"/>
                <w:szCs w:val="24"/>
                <w:lang w:val="en-US" w:eastAsia="zh-CN"/>
              </w:rPr>
              <w:t>待</w:t>
            </w:r>
            <w:r>
              <w:rPr>
                <w:rFonts w:hint="eastAsia" w:eastAsia="Segoe UI Emoji" w:cs="Times New Roman"/>
                <w:i w:val="0"/>
                <w:iCs w:val="0"/>
                <w:caps w:val="0"/>
                <w:color w:val="auto"/>
                <w:spacing w:val="0"/>
                <w:sz w:val="24"/>
                <w:szCs w:val="24"/>
                <w:lang w:val="zh-CN" w:eastAsia="zh-CN"/>
              </w:rPr>
              <w:t>产业园</w:t>
            </w:r>
            <w:r>
              <w:rPr>
                <w:rFonts w:hint="eastAsia" w:eastAsia="Segoe UI Emoji" w:cs="Times New Roman"/>
                <w:i w:val="0"/>
                <w:iCs w:val="0"/>
                <w:caps w:val="0"/>
                <w:color w:val="auto"/>
                <w:spacing w:val="0"/>
                <w:sz w:val="24"/>
                <w:szCs w:val="24"/>
                <w:lang w:val="en-US" w:eastAsia="zh-CN"/>
              </w:rPr>
              <w:t>内</w:t>
            </w:r>
            <w:r>
              <w:rPr>
                <w:rFonts w:hint="eastAsia" w:eastAsia="Segoe UI Emoji" w:cs="Times New Roman"/>
                <w:i w:val="0"/>
                <w:iCs w:val="0"/>
                <w:caps w:val="0"/>
                <w:color w:val="auto"/>
                <w:spacing w:val="0"/>
                <w:sz w:val="24"/>
                <w:szCs w:val="24"/>
                <w:lang w:val="zh-CN" w:eastAsia="zh-CN"/>
              </w:rPr>
              <w:t>源化利用项目建成投运后，</w:t>
            </w:r>
            <w:r>
              <w:rPr>
                <w:rFonts w:hint="eastAsia" w:eastAsia="Segoe UI Emoji" w:cs="Times New Roman"/>
                <w:i w:val="0"/>
                <w:iCs w:val="0"/>
                <w:caps w:val="0"/>
                <w:color w:val="auto"/>
                <w:spacing w:val="0"/>
                <w:sz w:val="24"/>
                <w:szCs w:val="24"/>
                <w:lang w:val="en-US" w:eastAsia="zh-CN"/>
              </w:rPr>
              <w:t>调配至</w:t>
            </w:r>
            <w:r>
              <w:rPr>
                <w:rFonts w:hint="eastAsia" w:eastAsia="Segoe UI Emoji" w:cs="Times New Roman"/>
                <w:i w:val="0"/>
                <w:iCs w:val="0"/>
                <w:caps w:val="0"/>
                <w:color w:val="auto"/>
                <w:spacing w:val="0"/>
                <w:sz w:val="24"/>
                <w:szCs w:val="24"/>
                <w:lang w:val="zh-CN" w:eastAsia="zh-CN"/>
              </w:rPr>
              <w:t>产业园</w:t>
            </w:r>
            <w:r>
              <w:rPr>
                <w:rFonts w:hint="eastAsia" w:eastAsia="Segoe UI Emoji" w:cs="Times New Roman"/>
                <w:i w:val="0"/>
                <w:iCs w:val="0"/>
                <w:caps w:val="0"/>
                <w:color w:val="auto"/>
                <w:spacing w:val="0"/>
                <w:sz w:val="24"/>
                <w:szCs w:val="24"/>
                <w:lang w:val="en-US" w:eastAsia="zh-CN"/>
              </w:rPr>
              <w:t>内</w:t>
            </w:r>
            <w:r>
              <w:rPr>
                <w:rFonts w:hint="eastAsia" w:eastAsia="Segoe UI Emoji" w:cs="Times New Roman"/>
                <w:i w:val="0"/>
                <w:iCs w:val="0"/>
                <w:caps w:val="0"/>
                <w:color w:val="auto"/>
                <w:spacing w:val="0"/>
                <w:sz w:val="24"/>
                <w:szCs w:val="24"/>
                <w:lang w:val="zh-CN" w:eastAsia="zh-CN"/>
              </w:rPr>
              <w:t>源化利用项目。</w:t>
            </w:r>
          </w:p>
          <w:p w14:paraId="2DC7AD87">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eastAsia="Segoe UI Emoji" w:cs="Times New Roman"/>
                <w:b/>
                <w:bCs/>
                <w:i w:val="0"/>
                <w:iCs w:val="0"/>
                <w:caps w:val="0"/>
                <w:color w:val="auto"/>
                <w:spacing w:val="0"/>
                <w:sz w:val="24"/>
                <w:szCs w:val="24"/>
                <w:lang w:val="en-US" w:eastAsia="zh-CN"/>
              </w:rPr>
            </w:pPr>
            <w:r>
              <w:rPr>
                <w:rFonts w:hint="eastAsia" w:eastAsia="Segoe UI Emoji" w:cs="Times New Roman"/>
                <w:b/>
                <w:bCs/>
                <w:i w:val="0"/>
                <w:iCs w:val="0"/>
                <w:caps w:val="0"/>
                <w:color w:val="auto"/>
                <w:spacing w:val="0"/>
                <w:sz w:val="24"/>
                <w:szCs w:val="24"/>
                <w:lang w:val="en-US" w:eastAsia="zh-CN"/>
              </w:rPr>
              <w:t>1.3项目建设的必要性</w:t>
            </w:r>
          </w:p>
          <w:p w14:paraId="72FA067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Segoe UI Emoji" w:cs="Times New Roman"/>
                <w:i w:val="0"/>
                <w:iCs w:val="0"/>
                <w:caps w:val="0"/>
                <w:color w:val="auto"/>
                <w:spacing w:val="0"/>
                <w:sz w:val="24"/>
                <w:szCs w:val="24"/>
                <w:lang w:val="zh-CN" w:eastAsia="zh-CN"/>
              </w:rPr>
            </w:pPr>
            <w:r>
              <w:rPr>
                <w:rFonts w:hint="eastAsia" w:eastAsia="Segoe UI Emoji" w:cs="Times New Roman"/>
                <w:i w:val="0"/>
                <w:iCs w:val="0"/>
                <w:caps w:val="0"/>
                <w:color w:val="auto"/>
                <w:spacing w:val="0"/>
                <w:sz w:val="24"/>
                <w:szCs w:val="24"/>
                <w:lang w:val="en-US" w:eastAsia="zh-CN"/>
              </w:rPr>
              <w:t>本项目</w:t>
            </w:r>
            <w:r>
              <w:rPr>
                <w:rFonts w:hint="default" w:ascii="Times New Roman" w:hAnsi="Times New Roman" w:eastAsia="Segoe UI Emoji" w:cs="Times New Roman"/>
                <w:i w:val="0"/>
                <w:iCs w:val="0"/>
                <w:caps w:val="0"/>
                <w:color w:val="auto"/>
                <w:spacing w:val="0"/>
                <w:sz w:val="24"/>
                <w:szCs w:val="24"/>
                <w:lang w:val="zh-CN" w:eastAsia="zh-CN"/>
              </w:rPr>
              <w:t>选址</w:t>
            </w:r>
            <w:r>
              <w:rPr>
                <w:rFonts w:hint="eastAsia" w:ascii="Times New Roman" w:hAnsi="Times New Roman" w:eastAsia="Segoe UI Emoji" w:cs="Times New Roman"/>
                <w:i w:val="0"/>
                <w:iCs w:val="0"/>
                <w:caps w:val="0"/>
                <w:color w:val="auto"/>
                <w:spacing w:val="0"/>
                <w:sz w:val="24"/>
                <w:szCs w:val="24"/>
                <w:lang w:val="en-US" w:eastAsia="zh-CN"/>
              </w:rPr>
              <w:t>位于</w:t>
            </w:r>
            <w:r>
              <w:rPr>
                <w:rFonts w:hint="default" w:ascii="Times New Roman" w:hAnsi="Times New Roman" w:eastAsia="Segoe UI Emoji" w:cs="Times New Roman"/>
                <w:i w:val="0"/>
                <w:iCs w:val="0"/>
                <w:caps w:val="0"/>
                <w:color w:val="auto"/>
                <w:spacing w:val="0"/>
                <w:sz w:val="24"/>
                <w:szCs w:val="24"/>
                <w:lang w:val="zh-CN" w:eastAsia="zh-CN"/>
              </w:rPr>
              <w:t>再生资源回收利用产业园内</w:t>
            </w:r>
            <w:r>
              <w:rPr>
                <w:rFonts w:hint="eastAsia" w:eastAsia="Segoe UI Emoji" w:cs="Times New Roman"/>
                <w:i w:val="0"/>
                <w:iCs w:val="0"/>
                <w:caps w:val="0"/>
                <w:color w:val="auto"/>
                <w:spacing w:val="0"/>
                <w:sz w:val="24"/>
                <w:szCs w:val="24"/>
                <w:lang w:val="zh-CN" w:eastAsia="zh-CN"/>
              </w:rPr>
              <w:t>。</w:t>
            </w:r>
            <w:r>
              <w:rPr>
                <w:rFonts w:hint="default" w:ascii="Times New Roman" w:hAnsi="Times New Roman" w:eastAsia="Segoe UI Emoji" w:cs="Times New Roman"/>
                <w:i w:val="0"/>
                <w:iCs w:val="0"/>
                <w:caps w:val="0"/>
                <w:color w:val="auto"/>
                <w:spacing w:val="0"/>
                <w:sz w:val="24"/>
                <w:szCs w:val="24"/>
                <w:lang w:val="zh-CN" w:eastAsia="zh-CN"/>
              </w:rPr>
              <w:t>项目投用后，将对昌吉市建筑垃圾实行统一收纳、分类暂存、高效中转处置，其中工程渣土根据实际需求调配外运用于回填利用，建筑拆除垃圾、装修垃圾等固废优先输送至建筑垃圾资源化利用项目进行回收处置，无法实现资源化利用的建筑垃圾，则统一转运至建筑垃圾填埋场填埋处置</w:t>
            </w:r>
            <w:r>
              <w:rPr>
                <w:rFonts w:hint="eastAsia" w:ascii="Times New Roman" w:hAnsi="Times New Roman" w:eastAsia="Segoe UI Emoji" w:cs="Times New Roman"/>
                <w:i w:val="0"/>
                <w:iCs w:val="0"/>
                <w:caps w:val="0"/>
                <w:color w:val="auto"/>
                <w:spacing w:val="0"/>
                <w:sz w:val="24"/>
                <w:szCs w:val="24"/>
                <w:lang w:val="zh-CN" w:eastAsia="zh-CN"/>
              </w:rPr>
              <w:t>，</w:t>
            </w:r>
            <w:r>
              <w:rPr>
                <w:rFonts w:hint="eastAsia" w:eastAsia="Segoe UI Emoji" w:cs="Times New Roman"/>
                <w:i w:val="0"/>
                <w:iCs w:val="0"/>
                <w:caps w:val="0"/>
                <w:color w:val="auto"/>
                <w:spacing w:val="0"/>
                <w:sz w:val="24"/>
                <w:szCs w:val="24"/>
                <w:lang w:val="en-US" w:eastAsia="zh-CN"/>
              </w:rPr>
              <w:t>各处置设施</w:t>
            </w:r>
            <w:r>
              <w:rPr>
                <w:rFonts w:hint="eastAsia" w:ascii="Times New Roman" w:hAnsi="Times New Roman" w:eastAsia="Segoe UI Emoji" w:cs="Times New Roman"/>
                <w:i w:val="0"/>
                <w:iCs w:val="0"/>
                <w:caps w:val="0"/>
                <w:color w:val="auto"/>
                <w:spacing w:val="0"/>
                <w:sz w:val="24"/>
                <w:szCs w:val="24"/>
                <w:lang w:val="en-US" w:eastAsia="zh-CN"/>
              </w:rPr>
              <w:t>位置关系</w:t>
            </w:r>
            <w:r>
              <w:rPr>
                <w:rFonts w:hint="eastAsia" w:eastAsia="Segoe UI Emoji" w:cs="Times New Roman"/>
                <w:i w:val="0"/>
                <w:iCs w:val="0"/>
                <w:caps w:val="0"/>
                <w:color w:val="auto"/>
                <w:spacing w:val="0"/>
                <w:sz w:val="24"/>
                <w:szCs w:val="24"/>
                <w:lang w:val="en-US" w:eastAsia="zh-CN"/>
              </w:rPr>
              <w:t>图</w:t>
            </w:r>
            <w:r>
              <w:rPr>
                <w:rFonts w:hint="eastAsia" w:ascii="Times New Roman" w:hAnsi="Times New Roman" w:eastAsia="Segoe UI Emoji" w:cs="Times New Roman"/>
                <w:i w:val="0"/>
                <w:iCs w:val="0"/>
                <w:caps w:val="0"/>
                <w:color w:val="auto"/>
                <w:spacing w:val="0"/>
                <w:sz w:val="24"/>
                <w:szCs w:val="24"/>
                <w:lang w:val="en-US" w:eastAsia="zh-CN"/>
              </w:rPr>
              <w:t>见附图1-4。</w:t>
            </w:r>
          </w:p>
          <w:p w14:paraId="3F7994E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Segoe UI Emoji" w:cs="Times New Roman"/>
                <w:i w:val="0"/>
                <w:iCs w:val="0"/>
                <w:caps w:val="0"/>
                <w:color w:val="auto"/>
                <w:spacing w:val="0"/>
                <w:sz w:val="24"/>
                <w:szCs w:val="24"/>
                <w:lang w:val="zh-CN" w:eastAsia="zh-CN"/>
              </w:rPr>
            </w:pPr>
            <w:r>
              <w:rPr>
                <w:rFonts w:hint="default" w:ascii="Times New Roman" w:hAnsi="Times New Roman" w:eastAsia="Segoe UI Emoji" w:cs="Times New Roman"/>
                <w:i w:val="0"/>
                <w:iCs w:val="0"/>
                <w:caps w:val="0"/>
                <w:color w:val="auto"/>
                <w:spacing w:val="0"/>
                <w:sz w:val="24"/>
                <w:szCs w:val="24"/>
                <w:lang w:val="zh-CN" w:eastAsia="zh-CN"/>
              </w:rPr>
              <w:t>本项目旨在补齐昌吉市建筑垃圾前端收集、暂存调配的设施短板，打造规范化、环保型建筑垃圾集中收纳中转枢纽，有效防控二次污染，提升全市建筑垃圾规范化管理和环保管控水平</w:t>
            </w:r>
            <w:r>
              <w:rPr>
                <w:rFonts w:hint="eastAsia" w:ascii="Times New Roman" w:hAnsi="Times New Roman" w:eastAsia="Segoe UI Emoji" w:cs="Times New Roman"/>
                <w:i w:val="0"/>
                <w:iCs w:val="0"/>
                <w:caps w:val="0"/>
                <w:color w:val="auto"/>
                <w:spacing w:val="0"/>
                <w:sz w:val="24"/>
                <w:szCs w:val="24"/>
                <w:lang w:val="zh-CN" w:eastAsia="zh-CN"/>
              </w:rPr>
              <w:t>。</w:t>
            </w:r>
          </w:p>
          <w:p w14:paraId="20F9D34C">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bCs/>
                <w:color w:val="auto"/>
                <w:sz w:val="24"/>
                <w:szCs w:val="24"/>
                <w:lang w:val="en-US" w:eastAsia="zh-CN"/>
              </w:rPr>
            </w:pPr>
            <w:r>
              <w:rPr>
                <w:rFonts w:hint="eastAsia" w:ascii="Times New Roman" w:hAnsi="Times New Roman" w:cs="Times New Roman"/>
                <w:b/>
                <w:bCs w:val="0"/>
                <w:color w:val="auto"/>
                <w:sz w:val="24"/>
                <w:szCs w:val="24"/>
                <w:lang w:val="en-US" w:eastAsia="zh-CN"/>
              </w:rPr>
              <w:t>2 项目建设内容</w:t>
            </w:r>
          </w:p>
          <w:p w14:paraId="1AC98357">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bCs/>
                <w:color w:val="auto"/>
                <w:sz w:val="24"/>
                <w:szCs w:val="24"/>
                <w:lang w:val="en-US" w:eastAsia="zh-CN"/>
              </w:rPr>
            </w:pPr>
            <w:r>
              <w:rPr>
                <w:rFonts w:hint="eastAsia" w:ascii="Times New Roman" w:hAnsi="Times New Roman" w:cs="Times New Roman"/>
                <w:b/>
                <w:bCs w:val="0"/>
                <w:color w:val="auto"/>
                <w:sz w:val="24"/>
                <w:szCs w:val="24"/>
                <w:lang w:val="en-US" w:eastAsia="zh-CN"/>
              </w:rPr>
              <w:t>2.1 基本情况</w:t>
            </w:r>
          </w:p>
          <w:p w14:paraId="26E1D3A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z w:val="24"/>
                <w:szCs w:val="24"/>
                <w:highlight w:val="none"/>
                <w:lang w:val="en-US" w:eastAsia="zh-CN"/>
              </w:rPr>
            </w:pPr>
            <w:r>
              <w:rPr>
                <w:rFonts w:hint="eastAsia" w:ascii="Times New Roman" w:hAnsi="Times New Roman" w:cs="Times New Roman"/>
                <w:bCs/>
                <w:color w:val="auto"/>
                <w:sz w:val="24"/>
                <w:szCs w:val="24"/>
                <w:highlight w:val="none"/>
                <w:lang w:val="en-US" w:eastAsia="zh-CN"/>
              </w:rPr>
              <w:t>项目名称：大西渠闽昌产业园基础设施改造项目；</w:t>
            </w:r>
          </w:p>
          <w:p w14:paraId="77781DA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z w:val="24"/>
                <w:szCs w:val="24"/>
                <w:highlight w:val="none"/>
                <w:lang w:val="en-US" w:eastAsia="zh-CN"/>
              </w:rPr>
            </w:pPr>
            <w:r>
              <w:rPr>
                <w:rFonts w:hint="eastAsia" w:ascii="Times New Roman" w:hAnsi="Times New Roman" w:cs="Times New Roman"/>
                <w:bCs/>
                <w:color w:val="auto"/>
                <w:sz w:val="24"/>
                <w:szCs w:val="24"/>
                <w:highlight w:val="none"/>
                <w:lang w:val="en-US" w:eastAsia="zh-CN"/>
              </w:rPr>
              <w:t>建设单位：昌吉市住房和城乡管理局；</w:t>
            </w:r>
          </w:p>
          <w:p w14:paraId="317D04F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sz w:val="24"/>
                <w:szCs w:val="24"/>
                <w:lang w:val="en-US" w:eastAsia="zh-CN"/>
              </w:rPr>
            </w:pPr>
            <w:r>
              <w:rPr>
                <w:rFonts w:hint="eastAsia" w:ascii="Times New Roman" w:hAnsi="Times New Roman" w:cs="Times New Roman"/>
                <w:bCs/>
                <w:color w:val="auto"/>
                <w:sz w:val="24"/>
                <w:szCs w:val="24"/>
                <w:lang w:val="en-US" w:eastAsia="zh-CN"/>
              </w:rPr>
              <w:t>建设性质：</w:t>
            </w:r>
            <w:r>
              <w:rPr>
                <w:rFonts w:hint="default" w:ascii="Times New Roman" w:hAnsi="Times New Roman" w:eastAsia="Segoe UI Emoji" w:cs="Times New Roman"/>
                <w:i w:val="0"/>
                <w:iCs w:val="0"/>
                <w:caps w:val="0"/>
                <w:color w:val="auto"/>
                <w:spacing w:val="0"/>
                <w:sz w:val="24"/>
                <w:szCs w:val="24"/>
                <w:lang w:val="zh-CN" w:eastAsia="zh-CN"/>
              </w:rPr>
              <w:t>项目为新建，不涉及任何老旧设施翻新、修缮及改造作业</w:t>
            </w:r>
            <w:r>
              <w:rPr>
                <w:rFonts w:hint="eastAsia" w:ascii="Times New Roman" w:hAnsi="Times New Roman" w:eastAsia="Segoe UI Emoji" w:cs="Times New Roman"/>
                <w:i w:val="0"/>
                <w:iCs w:val="0"/>
                <w:caps w:val="0"/>
                <w:color w:val="auto"/>
                <w:spacing w:val="0"/>
                <w:sz w:val="24"/>
                <w:szCs w:val="24"/>
                <w:lang w:val="zh-CN" w:eastAsia="zh-CN"/>
              </w:rPr>
              <w:t>；</w:t>
            </w:r>
          </w:p>
          <w:p w14:paraId="76598DF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建设地点：本项目位于</w:t>
            </w:r>
            <w:r>
              <w:rPr>
                <w:rFonts w:hint="eastAsia" w:ascii="Times New Roman" w:hAnsi="Times New Roman" w:eastAsia="宋体" w:cs="Times New Roman"/>
                <w:color w:val="auto"/>
                <w:sz w:val="24"/>
                <w:szCs w:val="24"/>
                <w:u w:val="none"/>
                <w:lang w:val="en-US" w:eastAsia="zh-CN"/>
              </w:rPr>
              <w:t>昌吉市大西渠镇新戽村</w:t>
            </w:r>
            <w:r>
              <w:rPr>
                <w:rFonts w:hint="eastAsia" w:ascii="Times New Roman" w:hAnsi="Times New Roman" w:cs="Times New Roman"/>
                <w:bCs/>
                <w:color w:val="auto"/>
                <w:sz w:val="24"/>
                <w:szCs w:val="24"/>
                <w:lang w:val="en-US" w:eastAsia="zh-CN"/>
              </w:rPr>
              <w:t>昌吉市再生资源回收利用产业园内，</w:t>
            </w:r>
            <w:r>
              <w:rPr>
                <w:rFonts w:hint="eastAsia" w:ascii="Times New Roman" w:hAnsi="Times New Roman" w:eastAsia="宋体" w:cs="Times New Roman"/>
                <w:b w:val="0"/>
                <w:bCs w:val="0"/>
                <w:color w:val="auto"/>
                <w:kern w:val="0"/>
                <w:sz w:val="24"/>
                <w:szCs w:val="24"/>
                <w:lang w:val="en-US" w:eastAsia="zh-CN"/>
              </w:rPr>
              <w:t>项目区东侧、西侧、北侧均为空地，南侧为耕地。</w:t>
            </w:r>
            <w:r>
              <w:rPr>
                <w:rFonts w:hint="eastAsia" w:ascii="Times New Roman" w:hAnsi="Times New Roman" w:cs="Times New Roman"/>
                <w:bCs/>
                <w:color w:val="auto"/>
                <w:sz w:val="24"/>
                <w:szCs w:val="24"/>
                <w:lang w:val="en-US" w:eastAsia="zh-CN"/>
              </w:rPr>
              <w:t>项目地理位置图详见</w:t>
            </w:r>
            <w:r>
              <w:rPr>
                <w:rFonts w:hint="eastAsia" w:ascii="Times New Roman" w:hAnsi="Times New Roman" w:cs="Times New Roman"/>
                <w:b/>
                <w:bCs w:val="0"/>
                <w:color w:val="auto"/>
                <w:sz w:val="24"/>
                <w:szCs w:val="24"/>
                <w:lang w:val="en-US" w:eastAsia="zh-CN"/>
              </w:rPr>
              <w:t>附图2-1，</w:t>
            </w:r>
            <w:r>
              <w:rPr>
                <w:rFonts w:hint="eastAsia" w:ascii="Times New Roman" w:hAnsi="Times New Roman" w:cs="Times New Roman"/>
                <w:bCs/>
                <w:color w:val="auto"/>
                <w:sz w:val="24"/>
                <w:szCs w:val="24"/>
                <w:lang w:val="en-US" w:eastAsia="zh-CN"/>
              </w:rPr>
              <w:t>项目区周边关系图见</w:t>
            </w:r>
            <w:r>
              <w:rPr>
                <w:rFonts w:hint="eastAsia" w:ascii="Times New Roman" w:hAnsi="Times New Roman" w:cs="Times New Roman"/>
                <w:b/>
                <w:bCs w:val="0"/>
                <w:color w:val="auto"/>
                <w:sz w:val="24"/>
                <w:szCs w:val="24"/>
                <w:lang w:val="en-US" w:eastAsia="zh-CN"/>
              </w:rPr>
              <w:t>附图2-2</w:t>
            </w:r>
            <w:r>
              <w:rPr>
                <w:rFonts w:hint="eastAsia" w:ascii="Times New Roman" w:hAnsi="Times New Roman" w:eastAsia="宋体" w:cs="Times New Roman"/>
                <w:b w:val="0"/>
                <w:bCs w:val="0"/>
                <w:color w:val="auto"/>
                <w:kern w:val="0"/>
                <w:sz w:val="24"/>
                <w:szCs w:val="24"/>
                <w:lang w:val="en-US" w:eastAsia="zh-CN"/>
              </w:rPr>
              <w:t>。</w:t>
            </w:r>
          </w:p>
          <w:p w14:paraId="21B6FEE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建设内容及规模：本项目主要建设建筑垃圾调配场及配套设施，</w:t>
            </w:r>
            <w:r>
              <w:rPr>
                <w:rFonts w:hint="eastAsia" w:cs="Times New Roman"/>
                <w:bCs/>
                <w:color w:val="auto"/>
                <w:sz w:val="24"/>
                <w:szCs w:val="24"/>
                <w:lang w:val="en-US" w:eastAsia="zh-CN"/>
              </w:rPr>
              <w:t>场地</w:t>
            </w:r>
            <w:r>
              <w:rPr>
                <w:rFonts w:hint="eastAsia" w:ascii="Times New Roman" w:hAnsi="Times New Roman" w:cs="Times New Roman"/>
                <w:bCs/>
                <w:color w:val="auto"/>
                <w:sz w:val="24"/>
                <w:szCs w:val="24"/>
                <w:lang w:val="en-US" w:eastAsia="zh-CN"/>
              </w:rPr>
              <w:t>总坪面积约16230m²，</w:t>
            </w:r>
            <w:r>
              <w:rPr>
                <w:rFonts w:hint="eastAsia" w:cs="Times New Roman"/>
                <w:bCs/>
                <w:color w:val="auto"/>
                <w:sz w:val="24"/>
                <w:szCs w:val="24"/>
                <w:lang w:val="en-US" w:eastAsia="zh-CN"/>
              </w:rPr>
              <w:t>地坪结构自上而下为</w:t>
            </w:r>
            <w:r>
              <w:rPr>
                <w:rFonts w:hint="eastAsia" w:ascii="Times New Roman" w:hAnsi="Times New Roman" w:cs="Times New Roman"/>
                <w:bCs/>
                <w:color w:val="auto"/>
                <w:sz w:val="24"/>
                <w:szCs w:val="24"/>
                <w:lang w:val="en-US" w:eastAsia="zh-CN"/>
              </w:rPr>
              <w:t>C30钢筋混凝土面层、C20素混凝土垫层及</w:t>
            </w:r>
            <w:r>
              <w:rPr>
                <w:rFonts w:hint="eastAsia" w:cs="Times New Roman"/>
                <w:bCs/>
                <w:color w:val="auto"/>
                <w:sz w:val="24"/>
                <w:szCs w:val="24"/>
                <w:lang w:val="en-US" w:eastAsia="zh-CN"/>
              </w:rPr>
              <w:t>压实的</w:t>
            </w:r>
            <w:r>
              <w:rPr>
                <w:rFonts w:hint="eastAsia" w:ascii="Times New Roman" w:hAnsi="Times New Roman" w:cs="Times New Roman"/>
                <w:bCs/>
                <w:color w:val="auto"/>
                <w:sz w:val="24"/>
                <w:szCs w:val="24"/>
                <w:lang w:val="en-US" w:eastAsia="zh-CN"/>
              </w:rPr>
              <w:t>原土</w:t>
            </w:r>
            <w:r>
              <w:rPr>
                <w:rFonts w:hint="eastAsia" w:cs="Times New Roman"/>
                <w:bCs/>
                <w:color w:val="auto"/>
                <w:sz w:val="24"/>
                <w:szCs w:val="24"/>
                <w:lang w:val="en-US" w:eastAsia="zh-CN"/>
              </w:rPr>
              <w:t>层</w:t>
            </w:r>
            <w:r>
              <w:rPr>
                <w:rFonts w:hint="eastAsia" w:ascii="Times New Roman" w:hAnsi="Times New Roman" w:cs="Times New Roman"/>
                <w:bCs/>
                <w:color w:val="auto"/>
                <w:sz w:val="24"/>
                <w:szCs w:val="24"/>
                <w:lang w:val="en-US" w:eastAsia="zh-CN"/>
              </w:rPr>
              <w:t>；建筑垃圾调配场</w:t>
            </w:r>
            <w:r>
              <w:rPr>
                <w:rFonts w:hint="eastAsia" w:cs="Times New Roman"/>
                <w:bCs/>
                <w:color w:val="auto"/>
                <w:sz w:val="24"/>
                <w:szCs w:val="24"/>
                <w:lang w:val="en-US" w:eastAsia="zh-CN"/>
              </w:rPr>
              <w:t>主要分为4个区域，分别为工程渣土区、工程垃圾区、装修垃圾区、拆除垃圾区，堆放高度3m；</w:t>
            </w:r>
            <w:r>
              <w:rPr>
                <w:rFonts w:hint="eastAsia" w:ascii="Times New Roman" w:hAnsi="Times New Roman" w:cs="Times New Roman"/>
                <w:bCs/>
                <w:color w:val="auto"/>
                <w:sz w:val="24"/>
                <w:szCs w:val="24"/>
                <w:lang w:val="en-US" w:eastAsia="zh-CN"/>
              </w:rPr>
              <w:t>建设约755m雨水排水沟、130mHDPE废水管道，配套三格沉淀池等排水系统；在调配场四周布设总长约725m的防风抑散网，结合钢筋混凝土栏杆与斜撑加固；同步完善消防、通讯、弱电等管线及出入口、抑尘设施。</w:t>
            </w:r>
          </w:p>
          <w:p w14:paraId="15B283D4">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bCs/>
                <w:color w:val="auto"/>
                <w:sz w:val="24"/>
                <w:szCs w:val="24"/>
                <w:lang w:val="en-US" w:eastAsia="zh-CN"/>
              </w:rPr>
            </w:pPr>
            <w:r>
              <w:rPr>
                <w:rFonts w:hint="eastAsia" w:ascii="Times New Roman" w:hAnsi="Times New Roman" w:cs="Times New Roman"/>
                <w:b/>
                <w:bCs w:val="0"/>
                <w:color w:val="auto"/>
                <w:sz w:val="24"/>
                <w:szCs w:val="24"/>
                <w:lang w:val="en-US" w:eastAsia="zh-CN"/>
              </w:rPr>
              <w:t>2.2 项目组成</w:t>
            </w:r>
          </w:p>
          <w:p w14:paraId="40B47C7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本项目工程内容组成情况见下表。</w:t>
            </w:r>
          </w:p>
          <w:p w14:paraId="3F5E36A5">
            <w:pPr>
              <w:jc w:val="center"/>
              <w:rPr>
                <w:b/>
                <w:bCs/>
                <w:color w:val="auto"/>
              </w:rPr>
            </w:pPr>
            <w:r>
              <w:rPr>
                <w:rFonts w:hint="eastAsia"/>
                <w:b/>
                <w:bCs/>
                <w:color w:val="auto"/>
              </w:rPr>
              <w:t>表</w:t>
            </w:r>
            <w:r>
              <w:rPr>
                <w:rFonts w:hint="eastAsia"/>
                <w:b/>
                <w:bCs/>
                <w:color w:val="auto"/>
                <w:lang w:val="en-US" w:eastAsia="zh-CN"/>
              </w:rPr>
              <w:t>2-1   项目组成</w:t>
            </w:r>
            <w:r>
              <w:rPr>
                <w:b/>
                <w:bCs/>
                <w:color w:val="auto"/>
              </w:rPr>
              <w:t>一览表</w:t>
            </w:r>
          </w:p>
          <w:tbl>
            <w:tblPr>
              <w:tblStyle w:val="28"/>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28"/>
              <w:gridCol w:w="1038"/>
              <w:gridCol w:w="5377"/>
              <w:gridCol w:w="746"/>
            </w:tblGrid>
            <w:tr w14:paraId="153D30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61" w:type="pct"/>
                  <w:tcBorders>
                    <w:bottom w:val="single" w:color="auto" w:sz="12" w:space="0"/>
                  </w:tcBorders>
                  <w:noWrap w:val="0"/>
                  <w:vAlign w:val="center"/>
                </w:tcPr>
                <w:p w14:paraId="5F89431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val="0"/>
                      <w:color w:val="auto"/>
                      <w:sz w:val="21"/>
                      <w:szCs w:val="21"/>
                      <w:vertAlign w:val="baseline"/>
                      <w:lang w:val="en-US" w:eastAsia="zh-CN"/>
                    </w:rPr>
                  </w:pPr>
                  <w:r>
                    <w:rPr>
                      <w:rFonts w:hint="eastAsia" w:ascii="Times New Roman" w:hAnsi="Times New Roman" w:cs="Times New Roman"/>
                      <w:b/>
                      <w:bCs w:val="0"/>
                      <w:color w:val="auto"/>
                      <w:sz w:val="21"/>
                      <w:szCs w:val="21"/>
                      <w:vertAlign w:val="baseline"/>
                      <w:lang w:val="en-US" w:eastAsia="zh-CN"/>
                    </w:rPr>
                    <w:t>项目组成</w:t>
                  </w:r>
                </w:p>
              </w:tc>
              <w:tc>
                <w:tcPr>
                  <w:tcW w:w="658" w:type="pct"/>
                  <w:tcBorders>
                    <w:bottom w:val="single" w:color="auto" w:sz="12" w:space="0"/>
                  </w:tcBorders>
                  <w:noWrap w:val="0"/>
                  <w:vAlign w:val="center"/>
                </w:tcPr>
                <w:p w14:paraId="61D88B8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val="0"/>
                      <w:color w:val="auto"/>
                      <w:sz w:val="21"/>
                      <w:szCs w:val="21"/>
                      <w:vertAlign w:val="baseline"/>
                      <w:lang w:val="en-US" w:eastAsia="zh-CN"/>
                    </w:rPr>
                  </w:pPr>
                  <w:r>
                    <w:rPr>
                      <w:rFonts w:hint="eastAsia" w:ascii="Times New Roman" w:hAnsi="Times New Roman" w:cs="Times New Roman"/>
                      <w:b/>
                      <w:bCs w:val="0"/>
                      <w:color w:val="auto"/>
                      <w:sz w:val="21"/>
                      <w:szCs w:val="21"/>
                      <w:vertAlign w:val="baseline"/>
                      <w:lang w:val="en-US" w:eastAsia="zh-CN"/>
                    </w:rPr>
                    <w:t>项目名称</w:t>
                  </w:r>
                </w:p>
              </w:tc>
              <w:tc>
                <w:tcPr>
                  <w:tcW w:w="3407" w:type="pct"/>
                  <w:tcBorders>
                    <w:bottom w:val="single" w:color="auto" w:sz="12" w:space="0"/>
                  </w:tcBorders>
                  <w:noWrap w:val="0"/>
                  <w:vAlign w:val="center"/>
                </w:tcPr>
                <w:p w14:paraId="3310AE6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val="0"/>
                      <w:color w:val="auto"/>
                      <w:sz w:val="21"/>
                      <w:szCs w:val="21"/>
                      <w:vertAlign w:val="baseline"/>
                      <w:lang w:val="en-US" w:eastAsia="zh-CN"/>
                    </w:rPr>
                  </w:pPr>
                  <w:r>
                    <w:rPr>
                      <w:rFonts w:hint="eastAsia" w:ascii="Times New Roman" w:hAnsi="Times New Roman" w:cs="Times New Roman"/>
                      <w:b/>
                      <w:bCs w:val="0"/>
                      <w:color w:val="auto"/>
                      <w:sz w:val="21"/>
                      <w:szCs w:val="21"/>
                      <w:vertAlign w:val="baseline"/>
                      <w:lang w:val="en-US" w:eastAsia="zh-CN"/>
                    </w:rPr>
                    <w:t>主要建设内容</w:t>
                  </w:r>
                </w:p>
              </w:tc>
              <w:tc>
                <w:tcPr>
                  <w:tcW w:w="473" w:type="pct"/>
                  <w:tcBorders>
                    <w:bottom w:val="single" w:color="auto" w:sz="12" w:space="0"/>
                  </w:tcBorders>
                  <w:noWrap w:val="0"/>
                  <w:vAlign w:val="center"/>
                </w:tcPr>
                <w:p w14:paraId="2A34CDA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val="0"/>
                      <w:color w:val="auto"/>
                      <w:sz w:val="21"/>
                      <w:szCs w:val="21"/>
                      <w:vertAlign w:val="baseline"/>
                      <w:lang w:val="en-US" w:eastAsia="zh-CN"/>
                    </w:rPr>
                  </w:pPr>
                  <w:r>
                    <w:rPr>
                      <w:rFonts w:hint="eastAsia" w:ascii="Times New Roman" w:hAnsi="Times New Roman" w:cs="Times New Roman"/>
                      <w:b/>
                      <w:bCs w:val="0"/>
                      <w:color w:val="auto"/>
                      <w:sz w:val="21"/>
                      <w:szCs w:val="21"/>
                      <w:vertAlign w:val="baseline"/>
                      <w:lang w:val="en-US" w:eastAsia="zh-CN"/>
                    </w:rPr>
                    <w:t>备注</w:t>
                  </w:r>
                </w:p>
              </w:tc>
            </w:tr>
            <w:tr w14:paraId="64C6EB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61" w:type="pct"/>
                  <w:tcBorders>
                    <w:tl2br w:val="nil"/>
                    <w:tr2bl w:val="nil"/>
                  </w:tcBorders>
                  <w:noWrap w:val="0"/>
                  <w:vAlign w:val="center"/>
                </w:tcPr>
                <w:p w14:paraId="72EF83E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主体工程</w:t>
                  </w:r>
                </w:p>
              </w:tc>
              <w:tc>
                <w:tcPr>
                  <w:tcW w:w="658" w:type="pct"/>
                  <w:tcBorders>
                    <w:tl2br w:val="nil"/>
                    <w:tr2bl w:val="nil"/>
                  </w:tcBorders>
                  <w:noWrap w:val="0"/>
                  <w:vAlign w:val="center"/>
                </w:tcPr>
                <w:p w14:paraId="0447D3E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调配场</w:t>
                  </w:r>
                </w:p>
              </w:tc>
              <w:tc>
                <w:tcPr>
                  <w:tcW w:w="3407" w:type="pct"/>
                  <w:tcBorders>
                    <w:tl2br w:val="nil"/>
                    <w:tr2bl w:val="nil"/>
                  </w:tcBorders>
                  <w:noWrap w:val="0"/>
                  <w:vAlign w:val="center"/>
                </w:tcPr>
                <w:p w14:paraId="710D37EE">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eastAsia="宋体" w:cs="Times New Roman"/>
                      <w:bCs/>
                      <w:color w:val="auto"/>
                      <w:sz w:val="21"/>
                      <w:szCs w:val="21"/>
                      <w:vertAlign w:val="baseline"/>
                      <w:lang w:val="en-US" w:eastAsia="zh-CN"/>
                    </w:rPr>
                  </w:pPr>
                  <w:r>
                    <w:rPr>
                      <w:rFonts w:hint="eastAsia" w:ascii="Times New Roman" w:hAnsi="Times New Roman" w:eastAsia="宋体" w:cs="Times New Roman"/>
                      <w:bCs/>
                      <w:color w:val="auto"/>
                      <w:sz w:val="21"/>
                      <w:szCs w:val="21"/>
                      <w:vertAlign w:val="baseline"/>
                      <w:lang w:val="en-US" w:eastAsia="zh-CN"/>
                    </w:rPr>
                    <w:t>调配场总占地为16230m²，地坪结构自上而下为C30钢筋混凝土面层、C20素混凝土垫层及压实的原土层</w:t>
                  </w:r>
                  <w:r>
                    <w:rPr>
                      <w:rFonts w:hint="eastAsia" w:cs="Times New Roman"/>
                      <w:bCs/>
                      <w:color w:val="auto"/>
                      <w:sz w:val="21"/>
                      <w:szCs w:val="21"/>
                      <w:vertAlign w:val="baseline"/>
                      <w:lang w:val="en-US" w:eastAsia="zh-CN"/>
                    </w:rPr>
                    <w:t>；</w:t>
                  </w:r>
                  <w:r>
                    <w:rPr>
                      <w:rFonts w:hint="eastAsia" w:ascii="Times New Roman" w:hAnsi="Times New Roman" w:eastAsia="宋体" w:cs="Times New Roman"/>
                      <w:bCs/>
                      <w:color w:val="auto"/>
                      <w:sz w:val="21"/>
                      <w:szCs w:val="21"/>
                      <w:vertAlign w:val="baseline"/>
                      <w:lang w:val="en-US" w:eastAsia="zh-CN"/>
                    </w:rPr>
                    <w:t>主要分为4个区域，</w:t>
                  </w:r>
                  <w:r>
                    <w:rPr>
                      <w:rFonts w:hint="eastAsia" w:cs="Times New Roman"/>
                      <w:bCs/>
                      <w:color w:val="auto"/>
                      <w:sz w:val="21"/>
                      <w:szCs w:val="21"/>
                      <w:vertAlign w:val="baseline"/>
                      <w:lang w:val="en-US" w:eastAsia="zh-CN"/>
                    </w:rPr>
                    <w:t>分别为</w:t>
                  </w:r>
                  <w:r>
                    <w:rPr>
                      <w:rFonts w:hint="eastAsia" w:ascii="Times New Roman" w:hAnsi="Times New Roman" w:eastAsia="宋体" w:cs="Times New Roman"/>
                      <w:bCs/>
                      <w:color w:val="auto"/>
                      <w:sz w:val="21"/>
                      <w:szCs w:val="21"/>
                      <w:vertAlign w:val="baseline"/>
                      <w:lang w:val="en-US" w:eastAsia="zh-CN"/>
                    </w:rPr>
                    <w:t>工程渣土区、工程垃圾区、装修垃圾区、拆除垃圾区，堆放高度3m</w:t>
                  </w:r>
                  <w:r>
                    <w:rPr>
                      <w:rFonts w:hint="eastAsia" w:cs="Times New Roman"/>
                      <w:bCs/>
                      <w:color w:val="auto"/>
                      <w:sz w:val="21"/>
                      <w:szCs w:val="21"/>
                      <w:vertAlign w:val="baseline"/>
                      <w:lang w:val="en-US" w:eastAsia="zh-CN"/>
                    </w:rPr>
                    <w:t>；</w:t>
                  </w:r>
                  <w:r>
                    <w:rPr>
                      <w:rFonts w:hint="eastAsia" w:ascii="Times New Roman" w:hAnsi="Times New Roman" w:eastAsia="宋体" w:cs="Times New Roman"/>
                      <w:bCs/>
                      <w:color w:val="auto"/>
                      <w:sz w:val="21"/>
                      <w:szCs w:val="21"/>
                      <w:vertAlign w:val="baseline"/>
                      <w:lang w:val="en-US" w:eastAsia="zh-CN"/>
                    </w:rPr>
                    <w:t>四周设置725m防风</w:t>
                  </w:r>
                  <w:r>
                    <w:rPr>
                      <w:rFonts w:hint="default" w:ascii="Times New Roman" w:hAnsi="Times New Roman" w:cs="Times New Roman"/>
                      <w:bCs/>
                      <w:color w:val="auto"/>
                      <w:sz w:val="21"/>
                      <w:szCs w:val="21"/>
                      <w:vertAlign w:val="baseline"/>
                      <w:lang w:val="en-US" w:eastAsia="zh-CN"/>
                    </w:rPr>
                    <w:t>抑散网</w:t>
                  </w:r>
                  <w:r>
                    <w:rPr>
                      <w:rFonts w:hint="eastAsia" w:cs="Times New Roman"/>
                      <w:bCs/>
                      <w:color w:val="auto"/>
                      <w:sz w:val="21"/>
                      <w:szCs w:val="21"/>
                      <w:vertAlign w:val="baseline"/>
                      <w:lang w:val="en-US" w:eastAsia="zh-CN"/>
                    </w:rPr>
                    <w:t>，</w:t>
                  </w:r>
                  <w:r>
                    <w:rPr>
                      <w:rFonts w:hint="default" w:ascii="Times New Roman" w:hAnsi="Times New Roman" w:cs="Times New Roman"/>
                      <w:bCs/>
                      <w:color w:val="auto"/>
                      <w:sz w:val="21"/>
                      <w:szCs w:val="21"/>
                      <w:vertAlign w:val="baseline"/>
                      <w:lang w:val="en-US" w:eastAsia="zh-CN"/>
                    </w:rPr>
                    <w:t>并结合喷淋等抑尘设施</w:t>
                  </w:r>
                  <w:r>
                    <w:rPr>
                      <w:rFonts w:hint="eastAsia" w:cs="Times New Roman"/>
                      <w:bCs/>
                      <w:color w:val="auto"/>
                      <w:sz w:val="21"/>
                      <w:szCs w:val="21"/>
                      <w:vertAlign w:val="baseline"/>
                      <w:lang w:val="en-US" w:eastAsia="zh-CN"/>
                    </w:rPr>
                    <w:t>，每2米建设一个高压雾化喷嘴，共设置喷嘴数量363个</w:t>
                  </w:r>
                  <w:r>
                    <w:rPr>
                      <w:rFonts w:hint="eastAsia" w:ascii="Times New Roman" w:hAnsi="Times New Roman" w:eastAsia="宋体" w:cs="Times New Roman"/>
                      <w:bCs/>
                      <w:color w:val="auto"/>
                      <w:sz w:val="21"/>
                      <w:szCs w:val="21"/>
                      <w:vertAlign w:val="baseline"/>
                      <w:lang w:val="en-US" w:eastAsia="zh-CN"/>
                    </w:rPr>
                    <w:t>。</w:t>
                  </w:r>
                </w:p>
              </w:tc>
              <w:tc>
                <w:tcPr>
                  <w:tcW w:w="473" w:type="pct"/>
                  <w:tcBorders>
                    <w:tl2br w:val="nil"/>
                    <w:tr2bl w:val="nil"/>
                  </w:tcBorders>
                  <w:noWrap w:val="0"/>
                  <w:vAlign w:val="center"/>
                </w:tcPr>
                <w:p w14:paraId="7553C04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z w:val="21"/>
                      <w:szCs w:val="21"/>
                      <w:vertAlign w:val="baseline"/>
                      <w:lang w:val="en-US" w:eastAsia="zh-CN"/>
                    </w:rPr>
                  </w:pPr>
                  <w:r>
                    <w:rPr>
                      <w:rFonts w:hint="eastAsia" w:ascii="Times New Roman" w:hAnsi="Times New Roman" w:eastAsia="宋体" w:cs="Times New Roman"/>
                      <w:bCs/>
                      <w:color w:val="auto"/>
                      <w:sz w:val="21"/>
                      <w:szCs w:val="21"/>
                      <w:vertAlign w:val="baseline"/>
                      <w:lang w:val="en-US" w:eastAsia="zh-CN"/>
                    </w:rPr>
                    <w:t>新建</w:t>
                  </w:r>
                </w:p>
              </w:tc>
            </w:tr>
            <w:tr w14:paraId="78D21C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66" w:hRule="atLeast"/>
              </w:trPr>
              <w:tc>
                <w:tcPr>
                  <w:tcW w:w="461" w:type="pct"/>
                  <w:vMerge w:val="restart"/>
                  <w:tcBorders>
                    <w:tl2br w:val="nil"/>
                    <w:tr2bl w:val="nil"/>
                  </w:tcBorders>
                  <w:noWrap w:val="0"/>
                  <w:vAlign w:val="center"/>
                </w:tcPr>
                <w:p w14:paraId="5DB3FF9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辅助工程</w:t>
                  </w:r>
                </w:p>
              </w:tc>
              <w:tc>
                <w:tcPr>
                  <w:tcW w:w="658" w:type="pct"/>
                  <w:tcBorders>
                    <w:tl2br w:val="nil"/>
                    <w:tr2bl w:val="nil"/>
                  </w:tcBorders>
                  <w:noWrap w:val="0"/>
                  <w:vAlign w:val="center"/>
                </w:tcPr>
                <w:p w14:paraId="0738EFA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地磅</w:t>
                  </w:r>
                </w:p>
              </w:tc>
              <w:tc>
                <w:tcPr>
                  <w:tcW w:w="3407" w:type="pct"/>
                  <w:tcBorders>
                    <w:tl2br w:val="nil"/>
                    <w:tr2bl w:val="nil"/>
                  </w:tcBorders>
                  <w:noWrap w:val="0"/>
                  <w:vAlign w:val="center"/>
                </w:tcPr>
                <w:p w14:paraId="0567FE5A">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用于</w:t>
                  </w:r>
                  <w:r>
                    <w:rPr>
                      <w:rFonts w:hint="default" w:ascii="Times New Roman" w:hAnsi="Times New Roman" w:cs="Times New Roman"/>
                      <w:bCs/>
                      <w:color w:val="auto"/>
                      <w:sz w:val="21"/>
                      <w:szCs w:val="21"/>
                      <w:vertAlign w:val="baseline"/>
                      <w:lang w:val="en-US" w:eastAsia="zh-CN"/>
                    </w:rPr>
                    <w:t>称量</w:t>
                  </w:r>
                  <w:r>
                    <w:rPr>
                      <w:rFonts w:hint="eastAsia" w:ascii="Times New Roman" w:hAnsi="Times New Roman" w:cs="Times New Roman"/>
                      <w:bCs/>
                      <w:color w:val="auto"/>
                      <w:sz w:val="21"/>
                      <w:szCs w:val="21"/>
                      <w:vertAlign w:val="baseline"/>
                      <w:lang w:val="en-US" w:eastAsia="zh-CN"/>
                    </w:rPr>
                    <w:t>运输车辆</w:t>
                  </w:r>
                  <w:r>
                    <w:rPr>
                      <w:rFonts w:hint="default" w:ascii="Times New Roman" w:hAnsi="Times New Roman" w:cs="Times New Roman"/>
                      <w:bCs/>
                      <w:color w:val="auto"/>
                      <w:sz w:val="21"/>
                      <w:szCs w:val="21"/>
                      <w:vertAlign w:val="baseline"/>
                      <w:lang w:val="en-US" w:eastAsia="zh-CN"/>
                    </w:rPr>
                    <w:t>及所载</w:t>
                  </w:r>
                  <w:r>
                    <w:rPr>
                      <w:rFonts w:hint="eastAsia" w:ascii="Times New Roman" w:hAnsi="Times New Roman" w:cs="Times New Roman"/>
                      <w:bCs/>
                      <w:color w:val="auto"/>
                      <w:sz w:val="21"/>
                      <w:szCs w:val="21"/>
                      <w:vertAlign w:val="baseline"/>
                      <w:lang w:val="en-US" w:eastAsia="zh-CN"/>
                    </w:rPr>
                    <w:t>垃圾</w:t>
                  </w:r>
                  <w:r>
                    <w:rPr>
                      <w:rFonts w:hint="default" w:ascii="Times New Roman" w:hAnsi="Times New Roman" w:cs="Times New Roman"/>
                      <w:bCs/>
                      <w:color w:val="auto"/>
                      <w:sz w:val="21"/>
                      <w:szCs w:val="21"/>
                      <w:vertAlign w:val="baseline"/>
                      <w:lang w:val="en-US" w:eastAsia="zh-CN"/>
                    </w:rPr>
                    <w:t>重量</w:t>
                  </w:r>
                </w:p>
              </w:tc>
              <w:tc>
                <w:tcPr>
                  <w:tcW w:w="473" w:type="pct"/>
                  <w:tcBorders>
                    <w:tl2br w:val="nil"/>
                    <w:tr2bl w:val="nil"/>
                  </w:tcBorders>
                  <w:noWrap w:val="0"/>
                  <w:vAlign w:val="center"/>
                </w:tcPr>
                <w:p w14:paraId="358AB44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新建</w:t>
                  </w:r>
                </w:p>
              </w:tc>
            </w:tr>
            <w:tr w14:paraId="3A479B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61" w:type="pct"/>
                  <w:vMerge w:val="continue"/>
                  <w:tcBorders>
                    <w:tl2br w:val="nil"/>
                    <w:tr2bl w:val="nil"/>
                  </w:tcBorders>
                  <w:noWrap w:val="0"/>
                  <w:vAlign w:val="center"/>
                </w:tcPr>
                <w:p w14:paraId="59D9C14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bCs/>
                      <w:color w:val="auto"/>
                      <w:sz w:val="21"/>
                      <w:szCs w:val="21"/>
                      <w:vertAlign w:val="baseline"/>
                      <w:lang w:val="en-US" w:eastAsia="zh-CN"/>
                    </w:rPr>
                  </w:pPr>
                </w:p>
              </w:tc>
              <w:tc>
                <w:tcPr>
                  <w:tcW w:w="658" w:type="pct"/>
                  <w:tcBorders>
                    <w:tl2br w:val="nil"/>
                    <w:tr2bl w:val="nil"/>
                  </w:tcBorders>
                  <w:noWrap w:val="0"/>
                  <w:vAlign w:val="center"/>
                </w:tcPr>
                <w:p w14:paraId="34B910B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车辆冲洗平台</w:t>
                  </w:r>
                </w:p>
              </w:tc>
              <w:tc>
                <w:tcPr>
                  <w:tcW w:w="3407" w:type="pct"/>
                  <w:tcBorders>
                    <w:tl2br w:val="nil"/>
                    <w:tr2bl w:val="nil"/>
                  </w:tcBorders>
                  <w:noWrap w:val="0"/>
                  <w:vAlign w:val="center"/>
                </w:tcPr>
                <w:p w14:paraId="2E4FF93C">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位于调配场车辆出口处。</w:t>
                  </w:r>
                </w:p>
              </w:tc>
              <w:tc>
                <w:tcPr>
                  <w:tcW w:w="473" w:type="pct"/>
                  <w:tcBorders>
                    <w:tl2br w:val="nil"/>
                    <w:tr2bl w:val="nil"/>
                  </w:tcBorders>
                  <w:noWrap w:val="0"/>
                  <w:vAlign w:val="center"/>
                </w:tcPr>
                <w:p w14:paraId="65DE3AE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新建</w:t>
                  </w:r>
                </w:p>
              </w:tc>
            </w:tr>
            <w:tr w14:paraId="578190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61" w:type="pct"/>
                  <w:vMerge w:val="continue"/>
                  <w:tcBorders>
                    <w:tl2br w:val="nil"/>
                    <w:tr2bl w:val="nil"/>
                  </w:tcBorders>
                  <w:noWrap w:val="0"/>
                  <w:vAlign w:val="center"/>
                </w:tcPr>
                <w:p w14:paraId="3DE37DB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bCs/>
                      <w:color w:val="auto"/>
                      <w:sz w:val="21"/>
                      <w:szCs w:val="21"/>
                      <w:vertAlign w:val="baseline"/>
                      <w:lang w:val="en-US" w:eastAsia="zh-CN"/>
                    </w:rPr>
                  </w:pPr>
                </w:p>
              </w:tc>
              <w:tc>
                <w:tcPr>
                  <w:tcW w:w="658" w:type="pct"/>
                  <w:tcBorders>
                    <w:tl2br w:val="nil"/>
                    <w:tr2bl w:val="nil"/>
                  </w:tcBorders>
                  <w:noWrap w:val="0"/>
                  <w:vAlign w:val="center"/>
                </w:tcPr>
                <w:p w14:paraId="44BF923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管理用房</w:t>
                  </w:r>
                </w:p>
              </w:tc>
              <w:tc>
                <w:tcPr>
                  <w:tcW w:w="3407" w:type="pct"/>
                  <w:tcBorders>
                    <w:tl2br w:val="nil"/>
                    <w:tr2bl w:val="nil"/>
                  </w:tcBorders>
                  <w:noWrap w:val="0"/>
                  <w:vAlign w:val="center"/>
                </w:tcPr>
                <w:p w14:paraId="6E135ADE">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依托项目区现有房屋</w:t>
                  </w:r>
                </w:p>
              </w:tc>
              <w:tc>
                <w:tcPr>
                  <w:tcW w:w="473" w:type="pct"/>
                  <w:tcBorders>
                    <w:tl2br w:val="nil"/>
                    <w:tr2bl w:val="nil"/>
                  </w:tcBorders>
                  <w:noWrap w:val="0"/>
                  <w:vAlign w:val="center"/>
                </w:tcPr>
                <w:p w14:paraId="49F5C64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依托</w:t>
                  </w:r>
                </w:p>
              </w:tc>
            </w:tr>
            <w:tr w14:paraId="33EC21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61" w:type="pct"/>
                  <w:tcBorders>
                    <w:tl2br w:val="nil"/>
                    <w:tr2bl w:val="nil"/>
                  </w:tcBorders>
                  <w:noWrap w:val="0"/>
                  <w:vAlign w:val="center"/>
                </w:tcPr>
                <w:p w14:paraId="2FA228B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储运工程</w:t>
                  </w:r>
                </w:p>
              </w:tc>
              <w:tc>
                <w:tcPr>
                  <w:tcW w:w="658" w:type="pct"/>
                  <w:tcBorders>
                    <w:tl2br w:val="nil"/>
                    <w:tr2bl w:val="nil"/>
                  </w:tcBorders>
                  <w:noWrap w:val="0"/>
                  <w:vAlign w:val="center"/>
                </w:tcPr>
                <w:p w14:paraId="529E358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bCs/>
                      <w:color w:val="auto"/>
                      <w:kern w:val="2"/>
                      <w:sz w:val="21"/>
                      <w:szCs w:val="21"/>
                      <w:vertAlign w:val="baseline"/>
                      <w:lang w:val="en-US" w:eastAsia="zh-CN" w:bidi="ar-SA"/>
                    </w:rPr>
                  </w:pPr>
                  <w:r>
                    <w:rPr>
                      <w:rFonts w:hint="default" w:ascii="Times New Roman" w:hAnsi="Times New Roman" w:cs="Times New Roman"/>
                      <w:bCs/>
                      <w:color w:val="auto"/>
                      <w:sz w:val="21"/>
                      <w:szCs w:val="21"/>
                      <w:vertAlign w:val="baseline"/>
                      <w:lang w:val="en-US" w:eastAsia="zh-CN"/>
                    </w:rPr>
                    <w:t>进</w:t>
                  </w:r>
                  <w:r>
                    <w:rPr>
                      <w:rFonts w:hint="eastAsia" w:ascii="Times New Roman" w:hAnsi="Times New Roman" w:cs="Times New Roman"/>
                      <w:bCs/>
                      <w:color w:val="auto"/>
                      <w:sz w:val="21"/>
                      <w:szCs w:val="21"/>
                      <w:vertAlign w:val="baseline"/>
                      <w:lang w:val="en-US" w:eastAsia="zh-CN"/>
                    </w:rPr>
                    <w:t>出</w:t>
                  </w:r>
                  <w:r>
                    <w:rPr>
                      <w:rFonts w:hint="default" w:ascii="Times New Roman" w:hAnsi="Times New Roman" w:cs="Times New Roman"/>
                      <w:bCs/>
                      <w:color w:val="auto"/>
                      <w:sz w:val="21"/>
                      <w:szCs w:val="21"/>
                      <w:vertAlign w:val="baseline"/>
                      <w:lang w:val="en-US" w:eastAsia="zh-CN"/>
                    </w:rPr>
                    <w:t>场道路</w:t>
                  </w:r>
                </w:p>
              </w:tc>
              <w:tc>
                <w:tcPr>
                  <w:tcW w:w="3407" w:type="pct"/>
                  <w:tcBorders>
                    <w:tl2br w:val="nil"/>
                    <w:tr2bl w:val="nil"/>
                  </w:tcBorders>
                  <w:noWrap w:val="0"/>
                  <w:vAlign w:val="center"/>
                </w:tcPr>
                <w:p w14:paraId="2D84FABA">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cs="Times New Roman"/>
                      <w:bCs/>
                      <w:color w:val="auto"/>
                      <w:kern w:val="2"/>
                      <w:sz w:val="21"/>
                      <w:szCs w:val="21"/>
                      <w:vertAlign w:val="baseline"/>
                      <w:lang w:val="en-US" w:eastAsia="zh-CN" w:bidi="ar-SA"/>
                    </w:rPr>
                  </w:pPr>
                  <w:r>
                    <w:rPr>
                      <w:rFonts w:hint="eastAsia" w:ascii="Times New Roman" w:hAnsi="Times New Roman" w:cs="Times New Roman"/>
                      <w:bCs/>
                      <w:color w:val="auto"/>
                      <w:sz w:val="21"/>
                      <w:szCs w:val="21"/>
                      <w:vertAlign w:val="baseline"/>
                      <w:lang w:val="en-US" w:eastAsia="zh-CN"/>
                    </w:rPr>
                    <w:t>依托项目区原有道路</w:t>
                  </w:r>
                </w:p>
              </w:tc>
              <w:tc>
                <w:tcPr>
                  <w:tcW w:w="473" w:type="pct"/>
                  <w:tcBorders>
                    <w:tl2br w:val="nil"/>
                    <w:tr2bl w:val="nil"/>
                  </w:tcBorders>
                  <w:noWrap w:val="0"/>
                  <w:vAlign w:val="center"/>
                </w:tcPr>
                <w:p w14:paraId="2119345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bCs/>
                      <w:color w:val="auto"/>
                      <w:kern w:val="2"/>
                      <w:sz w:val="21"/>
                      <w:szCs w:val="21"/>
                      <w:vertAlign w:val="baseline"/>
                      <w:lang w:val="en-US" w:eastAsia="zh-CN" w:bidi="ar-SA"/>
                    </w:rPr>
                  </w:pPr>
                  <w:r>
                    <w:rPr>
                      <w:rFonts w:hint="eastAsia" w:ascii="Times New Roman" w:hAnsi="Times New Roman" w:cs="Times New Roman"/>
                      <w:bCs/>
                      <w:color w:val="auto"/>
                      <w:sz w:val="21"/>
                      <w:szCs w:val="21"/>
                      <w:vertAlign w:val="baseline"/>
                      <w:lang w:val="en-US" w:eastAsia="zh-CN"/>
                    </w:rPr>
                    <w:t>新建</w:t>
                  </w:r>
                </w:p>
              </w:tc>
            </w:tr>
            <w:tr w14:paraId="371743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61" w:type="pct"/>
                  <w:vMerge w:val="restart"/>
                  <w:tcBorders>
                    <w:tl2br w:val="nil"/>
                    <w:tr2bl w:val="nil"/>
                  </w:tcBorders>
                  <w:noWrap w:val="0"/>
                  <w:vAlign w:val="center"/>
                </w:tcPr>
                <w:p w14:paraId="1DBE52A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公用工程</w:t>
                  </w:r>
                </w:p>
              </w:tc>
              <w:tc>
                <w:tcPr>
                  <w:tcW w:w="658" w:type="pct"/>
                  <w:tcBorders>
                    <w:tl2br w:val="nil"/>
                    <w:tr2bl w:val="nil"/>
                  </w:tcBorders>
                  <w:noWrap w:val="0"/>
                  <w:vAlign w:val="center"/>
                </w:tcPr>
                <w:p w14:paraId="60B1557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供水工程</w:t>
                  </w:r>
                </w:p>
              </w:tc>
              <w:tc>
                <w:tcPr>
                  <w:tcW w:w="3407" w:type="pct"/>
                  <w:tcBorders>
                    <w:tl2br w:val="nil"/>
                    <w:tr2bl w:val="nil"/>
                  </w:tcBorders>
                  <w:noWrap w:val="0"/>
                  <w:vAlign w:val="center"/>
                </w:tcPr>
                <w:p w14:paraId="4CC8F2B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本项目供水由昌吉市供水系统提供，接项目区周边供水管网</w:t>
                  </w:r>
                </w:p>
              </w:tc>
              <w:tc>
                <w:tcPr>
                  <w:tcW w:w="473" w:type="pct"/>
                  <w:tcBorders>
                    <w:tl2br w:val="nil"/>
                    <w:tr2bl w:val="nil"/>
                  </w:tcBorders>
                  <w:noWrap w:val="0"/>
                  <w:vAlign w:val="center"/>
                </w:tcPr>
                <w:p w14:paraId="5FF6A86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新建</w:t>
                  </w:r>
                </w:p>
              </w:tc>
            </w:tr>
            <w:tr w14:paraId="6F12E7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61" w:type="pct"/>
                  <w:vMerge w:val="continue"/>
                  <w:tcBorders>
                    <w:tl2br w:val="nil"/>
                    <w:tr2bl w:val="nil"/>
                  </w:tcBorders>
                  <w:noWrap w:val="0"/>
                  <w:vAlign w:val="center"/>
                </w:tcPr>
                <w:p w14:paraId="226CB4D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vertAlign w:val="baseline"/>
                      <w:lang w:val="en-US" w:eastAsia="zh-CN"/>
                    </w:rPr>
                  </w:pPr>
                </w:p>
              </w:tc>
              <w:tc>
                <w:tcPr>
                  <w:tcW w:w="658" w:type="pct"/>
                  <w:tcBorders>
                    <w:tl2br w:val="nil"/>
                    <w:tr2bl w:val="nil"/>
                  </w:tcBorders>
                  <w:noWrap w:val="0"/>
                  <w:vAlign w:val="center"/>
                </w:tcPr>
                <w:p w14:paraId="57A33FA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排水工程</w:t>
                  </w:r>
                </w:p>
              </w:tc>
              <w:tc>
                <w:tcPr>
                  <w:tcW w:w="3407" w:type="pct"/>
                  <w:tcBorders>
                    <w:tl2br w:val="nil"/>
                    <w:tr2bl w:val="nil"/>
                  </w:tcBorders>
                  <w:noWrap w:val="0"/>
                  <w:vAlign w:val="center"/>
                </w:tcPr>
                <w:p w14:paraId="4623D13E">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将车辆冲洗废水及</w:t>
                  </w:r>
                  <w:r>
                    <w:rPr>
                      <w:rFonts w:hint="eastAsia" w:ascii="Times New Roman" w:hAnsi="Times New Roman" w:cs="Times New Roman"/>
                      <w:bCs/>
                      <w:color w:val="auto"/>
                      <w:sz w:val="21"/>
                      <w:szCs w:val="21"/>
                      <w:vertAlign w:val="baseline"/>
                      <w:lang w:val="en-US" w:eastAsia="zh-CN"/>
                    </w:rPr>
                    <w:t>调配场</w:t>
                  </w:r>
                  <w:r>
                    <w:rPr>
                      <w:rFonts w:hint="default" w:ascii="Times New Roman" w:hAnsi="Times New Roman" w:cs="Times New Roman"/>
                      <w:bCs/>
                      <w:color w:val="auto"/>
                      <w:sz w:val="21"/>
                      <w:szCs w:val="21"/>
                      <w:vertAlign w:val="baseline"/>
                      <w:lang w:val="en-US" w:eastAsia="zh-CN"/>
                    </w:rPr>
                    <w:t>的雨水全部收集</w:t>
                  </w:r>
                  <w:r>
                    <w:rPr>
                      <w:rFonts w:hint="eastAsia" w:ascii="Times New Roman" w:hAnsi="Times New Roman" w:cs="Times New Roman"/>
                      <w:bCs/>
                      <w:color w:val="auto"/>
                      <w:sz w:val="21"/>
                      <w:szCs w:val="21"/>
                      <w:vertAlign w:val="baseline"/>
                      <w:lang w:val="en-US" w:eastAsia="zh-CN"/>
                    </w:rPr>
                    <w:t>后经沉淀池处理后回用；</w:t>
                  </w:r>
                  <w:r>
                    <w:rPr>
                      <w:rFonts w:hint="default" w:ascii="Times New Roman" w:hAnsi="Times New Roman" w:cs="Times New Roman"/>
                      <w:bCs/>
                      <w:color w:val="auto"/>
                      <w:sz w:val="21"/>
                      <w:szCs w:val="21"/>
                      <w:vertAlign w:val="baseline"/>
                      <w:lang w:val="en-US" w:eastAsia="zh-CN"/>
                    </w:rPr>
                    <w:t>生活污水</w:t>
                  </w:r>
                  <w:r>
                    <w:rPr>
                      <w:rFonts w:hint="eastAsia" w:ascii="Times New Roman" w:hAnsi="Times New Roman" w:cs="Times New Roman"/>
                      <w:bCs/>
                      <w:color w:val="auto"/>
                      <w:sz w:val="21"/>
                      <w:szCs w:val="21"/>
                      <w:vertAlign w:val="baseline"/>
                      <w:lang w:val="en-US" w:eastAsia="zh-CN"/>
                    </w:rPr>
                    <w:t>排入管网最终进入昌吉市城北污水处理厂处理</w:t>
                  </w:r>
                </w:p>
              </w:tc>
              <w:tc>
                <w:tcPr>
                  <w:tcW w:w="473" w:type="pct"/>
                  <w:tcBorders>
                    <w:tl2br w:val="nil"/>
                    <w:tr2bl w:val="nil"/>
                  </w:tcBorders>
                  <w:noWrap w:val="0"/>
                  <w:vAlign w:val="center"/>
                </w:tcPr>
                <w:p w14:paraId="2BCAEB0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新建</w:t>
                  </w:r>
                </w:p>
              </w:tc>
            </w:tr>
            <w:tr w14:paraId="36AEF8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61" w:type="pct"/>
                  <w:vMerge w:val="continue"/>
                  <w:tcBorders>
                    <w:tl2br w:val="nil"/>
                    <w:tr2bl w:val="nil"/>
                  </w:tcBorders>
                  <w:noWrap w:val="0"/>
                  <w:vAlign w:val="center"/>
                </w:tcPr>
                <w:p w14:paraId="1D07AB3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vertAlign w:val="baseline"/>
                      <w:lang w:val="en-US" w:eastAsia="zh-CN"/>
                    </w:rPr>
                  </w:pPr>
                </w:p>
              </w:tc>
              <w:tc>
                <w:tcPr>
                  <w:tcW w:w="658" w:type="pct"/>
                  <w:tcBorders>
                    <w:tl2br w:val="nil"/>
                    <w:tr2bl w:val="nil"/>
                  </w:tcBorders>
                  <w:noWrap w:val="0"/>
                  <w:vAlign w:val="center"/>
                </w:tcPr>
                <w:p w14:paraId="1ADCC73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供热工程</w:t>
                  </w:r>
                </w:p>
              </w:tc>
              <w:tc>
                <w:tcPr>
                  <w:tcW w:w="3407" w:type="pct"/>
                  <w:tcBorders>
                    <w:tl2br w:val="nil"/>
                    <w:tr2bl w:val="nil"/>
                  </w:tcBorders>
                  <w:noWrap w:val="0"/>
                  <w:vAlign w:val="center"/>
                </w:tcPr>
                <w:p w14:paraId="45B45E47">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值班室</w:t>
                  </w:r>
                  <w:r>
                    <w:rPr>
                      <w:rFonts w:hint="eastAsia" w:ascii="Times New Roman" w:hAnsi="Times New Roman" w:cs="Times New Roman"/>
                      <w:bCs/>
                      <w:color w:val="auto"/>
                      <w:sz w:val="21"/>
                      <w:szCs w:val="21"/>
                      <w:vertAlign w:val="baseline"/>
                      <w:lang w:val="en-US" w:eastAsia="zh-CN"/>
                    </w:rPr>
                    <w:t>采</w:t>
                  </w:r>
                  <w:r>
                    <w:rPr>
                      <w:rFonts w:hint="default" w:ascii="Times New Roman" w:hAnsi="Times New Roman" w:cs="Times New Roman"/>
                      <w:bCs/>
                      <w:color w:val="auto"/>
                      <w:sz w:val="21"/>
                      <w:szCs w:val="21"/>
                      <w:vertAlign w:val="baseline"/>
                      <w:lang w:val="en-US" w:eastAsia="zh-CN"/>
                    </w:rPr>
                    <w:t>用电散热器</w:t>
                  </w:r>
                </w:p>
              </w:tc>
              <w:tc>
                <w:tcPr>
                  <w:tcW w:w="473" w:type="pct"/>
                  <w:tcBorders>
                    <w:tl2br w:val="nil"/>
                    <w:tr2bl w:val="nil"/>
                  </w:tcBorders>
                  <w:noWrap w:val="0"/>
                  <w:vAlign w:val="center"/>
                </w:tcPr>
                <w:p w14:paraId="51826F0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新建</w:t>
                  </w:r>
                </w:p>
              </w:tc>
            </w:tr>
            <w:tr w14:paraId="685B9E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61" w:type="pct"/>
                  <w:vMerge w:val="continue"/>
                  <w:tcBorders>
                    <w:tl2br w:val="nil"/>
                    <w:tr2bl w:val="nil"/>
                  </w:tcBorders>
                  <w:noWrap w:val="0"/>
                  <w:vAlign w:val="center"/>
                </w:tcPr>
                <w:p w14:paraId="699F9C7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vertAlign w:val="baseline"/>
                      <w:lang w:val="en-US" w:eastAsia="zh-CN"/>
                    </w:rPr>
                  </w:pPr>
                </w:p>
              </w:tc>
              <w:tc>
                <w:tcPr>
                  <w:tcW w:w="658" w:type="pct"/>
                  <w:tcBorders>
                    <w:tl2br w:val="nil"/>
                    <w:tr2bl w:val="nil"/>
                  </w:tcBorders>
                  <w:noWrap w:val="0"/>
                  <w:vAlign w:val="center"/>
                </w:tcPr>
                <w:p w14:paraId="781716B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供电工程</w:t>
                  </w:r>
                </w:p>
              </w:tc>
              <w:tc>
                <w:tcPr>
                  <w:tcW w:w="3407" w:type="pct"/>
                  <w:tcBorders>
                    <w:tl2br w:val="nil"/>
                    <w:tr2bl w:val="nil"/>
                  </w:tcBorders>
                  <w:noWrap w:val="0"/>
                  <w:vAlign w:val="center"/>
                </w:tcPr>
                <w:p w14:paraId="6AF498DB">
                  <w:pPr>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市政供电系统提供</w:t>
                  </w:r>
                </w:p>
              </w:tc>
              <w:tc>
                <w:tcPr>
                  <w:tcW w:w="473" w:type="pct"/>
                  <w:tcBorders>
                    <w:tl2br w:val="nil"/>
                    <w:tr2bl w:val="nil"/>
                  </w:tcBorders>
                  <w:noWrap w:val="0"/>
                  <w:vAlign w:val="center"/>
                </w:tcPr>
                <w:p w14:paraId="65789E9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新建</w:t>
                  </w:r>
                </w:p>
              </w:tc>
            </w:tr>
            <w:tr w14:paraId="3D3821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61" w:type="pct"/>
                  <w:vMerge w:val="restart"/>
                  <w:tcBorders>
                    <w:tl2br w:val="nil"/>
                    <w:tr2bl w:val="nil"/>
                  </w:tcBorders>
                  <w:noWrap w:val="0"/>
                  <w:vAlign w:val="center"/>
                </w:tcPr>
                <w:p w14:paraId="1CE111A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环保工程</w:t>
                  </w:r>
                </w:p>
              </w:tc>
              <w:tc>
                <w:tcPr>
                  <w:tcW w:w="658" w:type="pct"/>
                  <w:tcBorders>
                    <w:tl2br w:val="nil"/>
                    <w:tr2bl w:val="nil"/>
                  </w:tcBorders>
                  <w:noWrap w:val="0"/>
                  <w:vAlign w:val="center"/>
                </w:tcPr>
                <w:p w14:paraId="51216A9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废气治理</w:t>
                  </w:r>
                </w:p>
              </w:tc>
              <w:tc>
                <w:tcPr>
                  <w:tcW w:w="3407" w:type="pct"/>
                  <w:tcBorders>
                    <w:tl2br w:val="nil"/>
                    <w:tr2bl w:val="nil"/>
                  </w:tcBorders>
                  <w:noWrap w:val="0"/>
                  <w:vAlign w:val="center"/>
                </w:tcPr>
                <w:p w14:paraId="02513A6B">
                  <w:pPr>
                    <w:pStyle w:val="24"/>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firstLine="0"/>
                    <w:jc w:val="left"/>
                    <w:textAlignment w:val="center"/>
                    <w:rPr>
                      <w:rFonts w:hint="eastAsia" w:ascii="宋体" w:hAnsi="宋体" w:eastAsia="宋体" w:cs="宋体"/>
                      <w:color w:val="auto"/>
                      <w:spacing w:val="0"/>
                      <w:position w:val="0"/>
                      <w:sz w:val="21"/>
                      <w:szCs w:val="21"/>
                      <w:lang w:eastAsia="zh-CN"/>
                    </w:rPr>
                  </w:pPr>
                  <w:r>
                    <w:rPr>
                      <w:rFonts w:hint="default" w:ascii="Times New Roman" w:hAnsi="Times New Roman" w:cs="Times New Roman"/>
                      <w:bCs/>
                      <w:color w:val="auto"/>
                      <w:sz w:val="21"/>
                      <w:szCs w:val="21"/>
                      <w:vertAlign w:val="baseline"/>
                      <w:lang w:val="en-US" w:eastAsia="zh-CN"/>
                    </w:rPr>
                    <w:t>①</w:t>
                  </w:r>
                  <w:r>
                    <w:rPr>
                      <w:rFonts w:hint="eastAsia" w:ascii="Times New Roman" w:hAnsi="Times New Roman" w:cs="Times New Roman"/>
                      <w:bCs/>
                      <w:color w:val="auto"/>
                      <w:sz w:val="21"/>
                      <w:szCs w:val="21"/>
                      <w:vertAlign w:val="baseline"/>
                      <w:lang w:val="en-US" w:eastAsia="zh-CN"/>
                    </w:rPr>
                    <w:t>车辆运输扬尘</w:t>
                  </w:r>
                  <w:r>
                    <w:rPr>
                      <w:rFonts w:hint="default" w:ascii="Times New Roman" w:hAnsi="Times New Roman" w:cs="Times New Roman"/>
                      <w:bCs/>
                      <w:color w:val="auto"/>
                      <w:sz w:val="21"/>
                      <w:szCs w:val="21"/>
                      <w:vertAlign w:val="baseline"/>
                      <w:lang w:val="en-US" w:eastAsia="zh-CN"/>
                    </w:rPr>
                    <w:t>：使用专用车辆运输，上部加盖篷布苫盖</w:t>
                  </w:r>
                  <w:r>
                    <w:rPr>
                      <w:rFonts w:hint="eastAsia" w:ascii="宋体" w:hAnsi="宋体" w:eastAsia="宋体" w:cs="宋体"/>
                      <w:color w:val="auto"/>
                      <w:spacing w:val="0"/>
                      <w:position w:val="0"/>
                      <w:sz w:val="21"/>
                      <w:szCs w:val="21"/>
                    </w:rPr>
                    <w:t>；在场区出口设置</w:t>
                  </w:r>
                  <w:r>
                    <w:rPr>
                      <w:rFonts w:hint="eastAsia" w:eastAsia="宋体" w:cs="宋体"/>
                      <w:color w:val="auto"/>
                      <w:spacing w:val="0"/>
                      <w:position w:val="0"/>
                      <w:sz w:val="21"/>
                      <w:szCs w:val="21"/>
                      <w:lang w:val="en-US" w:eastAsia="zh-CN"/>
                    </w:rPr>
                    <w:t>专用洗车台</w:t>
                  </w:r>
                  <w:r>
                    <w:rPr>
                      <w:rFonts w:hint="eastAsia" w:eastAsia="宋体" w:cs="宋体"/>
                      <w:color w:val="auto"/>
                      <w:spacing w:val="0"/>
                      <w:position w:val="0"/>
                      <w:sz w:val="21"/>
                      <w:szCs w:val="21"/>
                      <w:lang w:eastAsia="zh-CN"/>
                    </w:rPr>
                    <w:t>；</w:t>
                  </w:r>
                  <w:r>
                    <w:rPr>
                      <w:rFonts w:hint="eastAsia" w:ascii="宋体" w:hAnsi="宋体" w:eastAsia="宋体" w:cs="宋体"/>
                      <w:color w:val="auto"/>
                      <w:spacing w:val="0"/>
                      <w:position w:val="0"/>
                      <w:sz w:val="21"/>
                      <w:szCs w:val="21"/>
                    </w:rPr>
                    <w:t>路面清扫，对入场道路采取洒水增湿降尘；限制车速，车速在</w:t>
                  </w:r>
                  <w:r>
                    <w:rPr>
                      <w:rFonts w:hint="default" w:ascii="Times New Roman" w:hAnsi="Times New Roman" w:cs="Times New Roman"/>
                      <w:color w:val="auto"/>
                      <w:spacing w:val="0"/>
                      <w:position w:val="0"/>
                      <w:sz w:val="21"/>
                      <w:szCs w:val="21"/>
                    </w:rPr>
                    <w:t>20km/h</w:t>
                  </w:r>
                  <w:r>
                    <w:rPr>
                      <w:rFonts w:hint="eastAsia" w:ascii="宋体" w:hAnsi="宋体" w:eastAsia="宋体" w:cs="宋体"/>
                      <w:color w:val="auto"/>
                      <w:spacing w:val="0"/>
                      <w:position w:val="0"/>
                      <w:sz w:val="21"/>
                      <w:szCs w:val="21"/>
                    </w:rPr>
                    <w:t>以下；加强对运输车辆装载量的管理，严禁超载</w:t>
                  </w:r>
                  <w:r>
                    <w:rPr>
                      <w:rFonts w:hint="eastAsia" w:eastAsia="宋体" w:cs="宋体"/>
                      <w:color w:val="auto"/>
                      <w:spacing w:val="0"/>
                      <w:position w:val="0"/>
                      <w:sz w:val="21"/>
                      <w:szCs w:val="21"/>
                      <w:lang w:eastAsia="zh-CN"/>
                    </w:rPr>
                    <w:t>。</w:t>
                  </w:r>
                </w:p>
                <w:p w14:paraId="67B6CAF5">
                  <w:pPr>
                    <w:pStyle w:val="24"/>
                    <w:keepNext w:val="0"/>
                    <w:keepLines w:val="0"/>
                    <w:pageBreakBefore w:val="0"/>
                    <w:widowControl/>
                    <w:suppressLineNumbers w:val="0"/>
                    <w:kinsoku/>
                    <w:wordWrap/>
                    <w:overflowPunct/>
                    <w:topLinePunct w:val="0"/>
                    <w:autoSpaceDE/>
                    <w:autoSpaceDN/>
                    <w:bidi w:val="0"/>
                    <w:spacing w:before="0" w:beforeAutospacing="0" w:after="0" w:afterAutospacing="0" w:line="240" w:lineRule="auto"/>
                    <w:ind w:left="0" w:firstLine="0"/>
                    <w:jc w:val="left"/>
                    <w:textAlignment w:val="center"/>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②装卸扬尘：车辆装卸点应集中，倾倒垃圾时降低倾倒高度，并</w:t>
                  </w:r>
                  <w:r>
                    <w:rPr>
                      <w:rFonts w:hint="eastAsia" w:ascii="Times New Roman" w:hAnsi="Times New Roman" w:cs="Times New Roman"/>
                      <w:bCs/>
                      <w:color w:val="auto"/>
                      <w:sz w:val="21"/>
                      <w:szCs w:val="21"/>
                      <w:vertAlign w:val="baseline"/>
                      <w:lang w:val="en-US" w:eastAsia="zh-CN"/>
                    </w:rPr>
                    <w:t>及时</w:t>
                  </w:r>
                  <w:r>
                    <w:rPr>
                      <w:rFonts w:hint="default" w:ascii="Times New Roman" w:hAnsi="Times New Roman" w:cs="Times New Roman"/>
                      <w:bCs/>
                      <w:color w:val="auto"/>
                      <w:sz w:val="21"/>
                      <w:szCs w:val="21"/>
                      <w:vertAlign w:val="baseline"/>
                      <w:lang w:val="en-US" w:eastAsia="zh-CN"/>
                    </w:rPr>
                    <w:t>进行洒水降尘。</w:t>
                  </w:r>
                </w:p>
                <w:p w14:paraId="2745B732">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jc w:val="left"/>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③</w:t>
                  </w:r>
                  <w:r>
                    <w:rPr>
                      <w:rFonts w:hint="eastAsia" w:ascii="Times New Roman" w:hAnsi="Times New Roman" w:cs="Times New Roman"/>
                      <w:bCs/>
                      <w:color w:val="auto"/>
                      <w:sz w:val="21"/>
                      <w:szCs w:val="21"/>
                      <w:vertAlign w:val="baseline"/>
                      <w:lang w:val="en-US" w:eastAsia="zh-CN"/>
                    </w:rPr>
                    <w:t>堆放扬尘</w:t>
                  </w:r>
                  <w:r>
                    <w:rPr>
                      <w:rFonts w:hint="default" w:ascii="Times New Roman" w:hAnsi="Times New Roman" w:cs="Times New Roman"/>
                      <w:bCs/>
                      <w:color w:val="auto"/>
                      <w:sz w:val="21"/>
                      <w:szCs w:val="21"/>
                      <w:vertAlign w:val="baseline"/>
                      <w:lang w:val="en-US" w:eastAsia="zh-CN"/>
                    </w:rPr>
                    <w:t>：</w:t>
                  </w:r>
                  <w:r>
                    <w:rPr>
                      <w:rFonts w:hint="eastAsia" w:ascii="Times New Roman" w:hAnsi="Times New Roman" w:cs="Times New Roman"/>
                      <w:bCs/>
                      <w:color w:val="auto"/>
                      <w:sz w:val="21"/>
                      <w:szCs w:val="21"/>
                      <w:vertAlign w:val="baseline"/>
                      <w:lang w:val="en-US" w:eastAsia="zh-CN"/>
                    </w:rPr>
                    <w:t>堆存的建筑垃圾采用防尘网覆盖，</w:t>
                  </w:r>
                  <w:r>
                    <w:rPr>
                      <w:rFonts w:hint="default" w:ascii="Times New Roman" w:hAnsi="Times New Roman" w:cs="Times New Roman"/>
                      <w:bCs/>
                      <w:color w:val="auto"/>
                      <w:sz w:val="21"/>
                      <w:szCs w:val="21"/>
                      <w:vertAlign w:val="baseline"/>
                      <w:lang w:val="en-US" w:eastAsia="zh-CN"/>
                    </w:rPr>
                    <w:t>场区四周布设总长约725m的防风抑散网，并结合喷淋等抑尘设施</w:t>
                  </w:r>
                  <w:r>
                    <w:rPr>
                      <w:rFonts w:hint="eastAsia" w:cs="Times New Roman"/>
                      <w:bCs/>
                      <w:color w:val="auto"/>
                      <w:sz w:val="21"/>
                      <w:szCs w:val="21"/>
                      <w:vertAlign w:val="baseline"/>
                      <w:lang w:val="en-US" w:eastAsia="zh-CN"/>
                    </w:rPr>
                    <w:t>，每2米建设一个高压雾化喷嘴，共设置喷嘴数量363个</w:t>
                  </w:r>
                  <w:r>
                    <w:rPr>
                      <w:rFonts w:hint="eastAsia" w:ascii="Times New Roman" w:hAnsi="Times New Roman" w:cs="Times New Roman"/>
                      <w:bCs/>
                      <w:color w:val="auto"/>
                      <w:sz w:val="21"/>
                      <w:szCs w:val="21"/>
                      <w:vertAlign w:val="baseline"/>
                      <w:lang w:val="en-US" w:eastAsia="zh-CN"/>
                    </w:rPr>
                    <w:t>；</w:t>
                  </w:r>
                </w:p>
              </w:tc>
              <w:tc>
                <w:tcPr>
                  <w:tcW w:w="473" w:type="pct"/>
                  <w:tcBorders>
                    <w:tl2br w:val="nil"/>
                    <w:tr2bl w:val="nil"/>
                  </w:tcBorders>
                  <w:noWrap w:val="0"/>
                  <w:vAlign w:val="center"/>
                </w:tcPr>
                <w:p w14:paraId="5724F58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新建</w:t>
                  </w:r>
                </w:p>
              </w:tc>
            </w:tr>
            <w:tr w14:paraId="0E9A6F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90" w:hRule="atLeast"/>
              </w:trPr>
              <w:tc>
                <w:tcPr>
                  <w:tcW w:w="461" w:type="pct"/>
                  <w:vMerge w:val="continue"/>
                  <w:tcBorders>
                    <w:tl2br w:val="nil"/>
                    <w:tr2bl w:val="nil"/>
                  </w:tcBorders>
                  <w:noWrap w:val="0"/>
                  <w:vAlign w:val="center"/>
                </w:tcPr>
                <w:p w14:paraId="35FFA19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vertAlign w:val="baseline"/>
                      <w:lang w:val="en-US" w:eastAsia="zh-CN"/>
                    </w:rPr>
                  </w:pPr>
                </w:p>
              </w:tc>
              <w:tc>
                <w:tcPr>
                  <w:tcW w:w="658" w:type="pct"/>
                  <w:tcBorders>
                    <w:tl2br w:val="nil"/>
                    <w:tr2bl w:val="nil"/>
                  </w:tcBorders>
                  <w:noWrap w:val="0"/>
                  <w:vAlign w:val="center"/>
                </w:tcPr>
                <w:p w14:paraId="1EBB5B1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废水治理</w:t>
                  </w:r>
                </w:p>
              </w:tc>
              <w:tc>
                <w:tcPr>
                  <w:tcW w:w="3407" w:type="pct"/>
                  <w:tcBorders>
                    <w:tl2br w:val="nil"/>
                    <w:tr2bl w:val="nil"/>
                  </w:tcBorders>
                  <w:noWrap w:val="0"/>
                  <w:vAlign w:val="center"/>
                </w:tcPr>
                <w:p w14:paraId="7ACCEE99">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生活污水</w:t>
                  </w:r>
                  <w:r>
                    <w:rPr>
                      <w:rFonts w:hint="eastAsia" w:ascii="Times New Roman" w:hAnsi="Times New Roman" w:cs="Times New Roman"/>
                      <w:bCs/>
                      <w:color w:val="auto"/>
                      <w:sz w:val="21"/>
                      <w:szCs w:val="21"/>
                      <w:vertAlign w:val="baseline"/>
                      <w:lang w:val="en-US" w:eastAsia="zh-CN"/>
                    </w:rPr>
                    <w:t>排入管网最终进入昌吉市城北污水处理厂处理</w:t>
                  </w:r>
                  <w:r>
                    <w:rPr>
                      <w:rFonts w:hint="default" w:ascii="Times New Roman" w:hAnsi="Times New Roman" w:cs="Times New Roman"/>
                      <w:bCs/>
                      <w:color w:val="auto"/>
                      <w:sz w:val="21"/>
                      <w:szCs w:val="21"/>
                      <w:vertAlign w:val="baseline"/>
                      <w:lang w:val="en-US" w:eastAsia="zh-CN"/>
                    </w:rPr>
                    <w:t>；将车辆冲洗废水、调配场</w:t>
                  </w:r>
                  <w:r>
                    <w:rPr>
                      <w:rFonts w:hint="eastAsia" w:ascii="Times New Roman" w:hAnsi="Times New Roman" w:cs="Times New Roman"/>
                      <w:bCs/>
                      <w:color w:val="auto"/>
                      <w:sz w:val="21"/>
                      <w:szCs w:val="21"/>
                      <w:vertAlign w:val="baseline"/>
                      <w:lang w:val="en-US" w:eastAsia="zh-CN"/>
                    </w:rPr>
                    <w:t>收集</w:t>
                  </w:r>
                  <w:r>
                    <w:rPr>
                      <w:rFonts w:hint="default" w:ascii="Times New Roman" w:hAnsi="Times New Roman" w:cs="Times New Roman"/>
                      <w:bCs/>
                      <w:color w:val="auto"/>
                      <w:sz w:val="21"/>
                      <w:szCs w:val="21"/>
                      <w:vertAlign w:val="baseline"/>
                      <w:lang w:val="en-US" w:eastAsia="zh-CN"/>
                    </w:rPr>
                    <w:t>的雨水全部收集后经</w:t>
                  </w:r>
                  <w:r>
                    <w:rPr>
                      <w:rFonts w:hint="eastAsia" w:cs="Times New Roman"/>
                      <w:bCs/>
                      <w:color w:val="auto"/>
                      <w:sz w:val="21"/>
                      <w:szCs w:val="21"/>
                      <w:vertAlign w:val="baseline"/>
                      <w:lang w:val="en-US" w:eastAsia="zh-CN"/>
                    </w:rPr>
                    <w:t>三级</w:t>
                  </w:r>
                  <w:r>
                    <w:rPr>
                      <w:rFonts w:hint="default" w:ascii="Times New Roman" w:hAnsi="Times New Roman" w:cs="Times New Roman"/>
                      <w:bCs/>
                      <w:color w:val="auto"/>
                      <w:sz w:val="21"/>
                      <w:szCs w:val="21"/>
                      <w:vertAlign w:val="baseline"/>
                      <w:lang w:val="en-US" w:eastAsia="zh-CN"/>
                    </w:rPr>
                    <w:t>沉淀池处理后回用</w:t>
                  </w:r>
                </w:p>
              </w:tc>
              <w:tc>
                <w:tcPr>
                  <w:tcW w:w="473" w:type="pct"/>
                  <w:tcBorders>
                    <w:tl2br w:val="nil"/>
                    <w:tr2bl w:val="nil"/>
                  </w:tcBorders>
                  <w:noWrap w:val="0"/>
                  <w:vAlign w:val="center"/>
                </w:tcPr>
                <w:p w14:paraId="013499E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新建</w:t>
                  </w:r>
                </w:p>
              </w:tc>
            </w:tr>
            <w:tr w14:paraId="3FDD63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61" w:type="pct"/>
                  <w:vMerge w:val="continue"/>
                  <w:tcBorders>
                    <w:tl2br w:val="nil"/>
                    <w:tr2bl w:val="nil"/>
                  </w:tcBorders>
                  <w:noWrap w:val="0"/>
                  <w:vAlign w:val="center"/>
                </w:tcPr>
                <w:p w14:paraId="04EAB4B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vertAlign w:val="baseline"/>
                      <w:lang w:val="en-US" w:eastAsia="zh-CN"/>
                    </w:rPr>
                  </w:pPr>
                </w:p>
              </w:tc>
              <w:tc>
                <w:tcPr>
                  <w:tcW w:w="658" w:type="pct"/>
                  <w:tcBorders>
                    <w:tl2br w:val="nil"/>
                    <w:tr2bl w:val="nil"/>
                  </w:tcBorders>
                  <w:noWrap w:val="0"/>
                  <w:vAlign w:val="center"/>
                </w:tcPr>
                <w:p w14:paraId="2DFCEAA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噪声治理</w:t>
                  </w:r>
                </w:p>
              </w:tc>
              <w:tc>
                <w:tcPr>
                  <w:tcW w:w="3407" w:type="pct"/>
                  <w:tcBorders>
                    <w:tl2br w:val="nil"/>
                    <w:tr2bl w:val="nil"/>
                  </w:tcBorders>
                  <w:noWrap w:val="0"/>
                  <w:vAlign w:val="center"/>
                </w:tcPr>
                <w:p w14:paraId="74ECF532">
                  <w:pPr>
                    <w:keepNext w:val="0"/>
                    <w:keepLines w:val="0"/>
                    <w:pageBreakBefore w:val="0"/>
                    <w:widowControl w:val="0"/>
                    <w:kinsoku/>
                    <w:wordWrap/>
                    <w:overflowPunct/>
                    <w:topLinePunct w:val="0"/>
                    <w:autoSpaceDE/>
                    <w:autoSpaceDN/>
                    <w:bidi w:val="0"/>
                    <w:adjustRightInd w:val="0"/>
                    <w:snapToGrid w:val="0"/>
                    <w:spacing w:line="240" w:lineRule="auto"/>
                    <w:jc w:val="left"/>
                    <w:textAlignment w:val="auto"/>
                    <w:rPr>
                      <w:rFonts w:hint="default" w:ascii="Times New Roman" w:hAnsi="Times New Roman" w:cs="Times New Roman"/>
                      <w:bCs/>
                      <w:color w:val="auto"/>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选用低噪声设备，合理规划厂区内外运输路线，减少车辆鸣笛等降噪措施。</w:t>
                  </w:r>
                </w:p>
              </w:tc>
              <w:tc>
                <w:tcPr>
                  <w:tcW w:w="473" w:type="pct"/>
                  <w:tcBorders>
                    <w:tl2br w:val="nil"/>
                    <w:tr2bl w:val="nil"/>
                  </w:tcBorders>
                  <w:noWrap w:val="0"/>
                  <w:vAlign w:val="center"/>
                </w:tcPr>
                <w:p w14:paraId="1C28511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新建</w:t>
                  </w:r>
                </w:p>
              </w:tc>
            </w:tr>
            <w:tr w14:paraId="05F0CE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461" w:type="pct"/>
                  <w:vMerge w:val="continue"/>
                  <w:tcBorders>
                    <w:tl2br w:val="nil"/>
                    <w:tr2bl w:val="nil"/>
                  </w:tcBorders>
                  <w:noWrap w:val="0"/>
                  <w:vAlign w:val="center"/>
                </w:tcPr>
                <w:p w14:paraId="3AF9BD0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vertAlign w:val="baseline"/>
                      <w:lang w:val="en-US" w:eastAsia="zh-CN"/>
                    </w:rPr>
                  </w:pPr>
                </w:p>
              </w:tc>
              <w:tc>
                <w:tcPr>
                  <w:tcW w:w="658" w:type="pct"/>
                  <w:tcBorders>
                    <w:tl2br w:val="nil"/>
                    <w:tr2bl w:val="nil"/>
                  </w:tcBorders>
                  <w:noWrap w:val="0"/>
                  <w:vAlign w:val="center"/>
                </w:tcPr>
                <w:p w14:paraId="2F3007B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固废治理</w:t>
                  </w:r>
                </w:p>
              </w:tc>
              <w:tc>
                <w:tcPr>
                  <w:tcW w:w="3407" w:type="pct"/>
                  <w:tcBorders>
                    <w:tl2br w:val="nil"/>
                    <w:tr2bl w:val="nil"/>
                  </w:tcBorders>
                  <w:noWrap w:val="0"/>
                  <w:vAlign w:val="center"/>
                </w:tcPr>
                <w:p w14:paraId="06002C8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vertAlign w:val="baseline"/>
                      <w:lang w:val="en-US" w:eastAsia="zh-CN"/>
                    </w:rPr>
                  </w:pPr>
                  <w:r>
                    <w:rPr>
                      <w:rFonts w:hint="eastAsia" w:cs="Times New Roman"/>
                      <w:bCs/>
                      <w:color w:val="auto"/>
                      <w:sz w:val="21"/>
                      <w:szCs w:val="21"/>
                      <w:vertAlign w:val="baseline"/>
                      <w:lang w:val="en-US" w:eastAsia="zh-CN"/>
                    </w:rPr>
                    <w:t>应急</w:t>
                  </w:r>
                  <w:r>
                    <w:rPr>
                      <w:rFonts w:hint="default" w:ascii="Times New Roman" w:hAnsi="Times New Roman" w:cs="Times New Roman"/>
                      <w:bCs/>
                      <w:color w:val="auto"/>
                      <w:sz w:val="21"/>
                      <w:szCs w:val="21"/>
                      <w:vertAlign w:val="baseline"/>
                      <w:lang w:val="en-US" w:eastAsia="zh-CN"/>
                    </w:rPr>
                    <w:t>分拣发现的危险废物单独收集，转运至危废贮存点规范暂存</w:t>
                  </w:r>
                  <w:r>
                    <w:rPr>
                      <w:rFonts w:hint="eastAsia" w:cs="Times New Roman"/>
                      <w:bCs/>
                      <w:color w:val="auto"/>
                      <w:sz w:val="21"/>
                      <w:szCs w:val="21"/>
                      <w:vertAlign w:val="baseline"/>
                      <w:lang w:val="en-US" w:eastAsia="zh-CN"/>
                    </w:rPr>
                    <w:t>；废机油收集后暂存在危险废物贮存点，交由有资质单位处置；</w:t>
                  </w:r>
                  <w:r>
                    <w:rPr>
                      <w:rFonts w:hint="eastAsia" w:ascii="Times New Roman" w:hAnsi="Times New Roman" w:cs="Times New Roman"/>
                      <w:bCs/>
                      <w:color w:val="auto"/>
                      <w:sz w:val="21"/>
                      <w:szCs w:val="21"/>
                      <w:vertAlign w:val="baseline"/>
                      <w:lang w:val="en-US" w:eastAsia="zh-CN"/>
                    </w:rPr>
                    <w:t>生活垃圾经收集后，由环卫部门统一处理。</w:t>
                  </w:r>
                </w:p>
              </w:tc>
              <w:tc>
                <w:tcPr>
                  <w:tcW w:w="473" w:type="pct"/>
                  <w:tcBorders>
                    <w:tl2br w:val="nil"/>
                    <w:tr2bl w:val="nil"/>
                  </w:tcBorders>
                  <w:noWrap w:val="0"/>
                  <w:vAlign w:val="center"/>
                </w:tcPr>
                <w:p w14:paraId="3E4E041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z w:val="21"/>
                      <w:szCs w:val="21"/>
                      <w:vertAlign w:val="baseline"/>
                      <w:lang w:val="en-US" w:eastAsia="zh-CN"/>
                    </w:rPr>
                  </w:pPr>
                  <w:r>
                    <w:rPr>
                      <w:rFonts w:hint="eastAsia" w:ascii="Times New Roman" w:hAnsi="Times New Roman" w:cs="Times New Roman"/>
                      <w:bCs/>
                      <w:color w:val="auto"/>
                      <w:sz w:val="21"/>
                      <w:szCs w:val="21"/>
                      <w:vertAlign w:val="baseline"/>
                      <w:lang w:val="en-US" w:eastAsia="zh-CN"/>
                    </w:rPr>
                    <w:t>新建</w:t>
                  </w:r>
                </w:p>
              </w:tc>
            </w:tr>
          </w:tbl>
          <w:p w14:paraId="25F6FF13">
            <w:pPr>
              <w:adjustRightInd w:val="0"/>
              <w:snapToGrid w:val="0"/>
              <w:spacing w:line="360" w:lineRule="auto"/>
              <w:rPr>
                <w:rFonts w:ascii="Times New Roman" w:hAnsi="Times New Roman" w:eastAsia="宋体" w:cs="Times New Roman"/>
                <w:b/>
                <w:bCs/>
                <w:color w:val="auto"/>
                <w:sz w:val="24"/>
                <w:szCs w:val="20"/>
              </w:rPr>
            </w:pPr>
            <w:r>
              <w:rPr>
                <w:rFonts w:hint="eastAsia" w:ascii="Times New Roman" w:hAnsi="Times New Roman" w:eastAsia="宋体" w:cs="Times New Roman"/>
                <w:b/>
                <w:bCs/>
                <w:color w:val="auto"/>
                <w:sz w:val="24"/>
                <w:szCs w:val="20"/>
                <w:lang w:val="en-US" w:eastAsia="zh-CN"/>
              </w:rPr>
              <w:t xml:space="preserve">3 </w:t>
            </w:r>
            <w:r>
              <w:rPr>
                <w:rFonts w:ascii="Times New Roman" w:hAnsi="Times New Roman" w:eastAsia="宋体" w:cs="Times New Roman"/>
                <w:b/>
                <w:bCs/>
                <w:color w:val="auto"/>
                <w:sz w:val="24"/>
                <w:szCs w:val="20"/>
              </w:rPr>
              <w:t>主要生产设备</w:t>
            </w:r>
          </w:p>
          <w:p w14:paraId="3D662FC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
                <w:bCs/>
                <w:color w:val="auto"/>
                <w:kern w:val="2"/>
                <w:sz w:val="21"/>
                <w:szCs w:val="21"/>
                <w:u w:val="none"/>
                <w:lang w:val="en-US" w:eastAsia="zh-CN" w:bidi="ar-SA"/>
              </w:rPr>
            </w:pPr>
            <w:r>
              <w:rPr>
                <w:rFonts w:hint="eastAsia" w:ascii="Times New Roman" w:hAnsi="Times New Roman" w:eastAsia="宋体" w:cs="Times New Roman"/>
                <w:bCs/>
                <w:color w:val="auto"/>
                <w:sz w:val="24"/>
                <w:szCs w:val="24"/>
                <w:lang w:val="en-US" w:eastAsia="zh-CN"/>
              </w:rPr>
              <w:t>本项目不设置筛分、分拣、破碎等预处理生产工艺，</w:t>
            </w:r>
            <w:r>
              <w:rPr>
                <w:rFonts w:hint="eastAsia" w:ascii="Times New Roman" w:hAnsi="Times New Roman" w:eastAsia="宋体" w:cs="Times New Roman"/>
                <w:color w:val="auto"/>
                <w:sz w:val="24"/>
                <w:szCs w:val="24"/>
                <w:highlight w:val="none"/>
                <w:u w:val="none"/>
                <w:lang w:val="en-US" w:eastAsia="zh-CN"/>
              </w:rPr>
              <w:t>根据建筑垃圾处理技术标准的要求，转运调配场应配备装载机等作业机械，本项目设备详见下表。</w:t>
            </w:r>
          </w:p>
          <w:p w14:paraId="4D924397">
            <w:pPr>
              <w:widowControl w:val="0"/>
              <w:numPr>
                <w:ilvl w:val="0"/>
                <w:numId w:val="0"/>
              </w:numPr>
              <w:adjustRightInd w:val="0"/>
              <w:snapToGrid w:val="0"/>
              <w:spacing w:line="240" w:lineRule="auto"/>
              <w:ind w:left="0" w:firstLine="0" w:firstLineChars="0"/>
              <w:jc w:val="center"/>
              <w:rPr>
                <w:rFonts w:ascii="Times New Roman" w:hAnsi="Times New Roman" w:eastAsia="宋体" w:cs="Times New Roman"/>
                <w:b/>
                <w:bCs/>
                <w:color w:val="auto"/>
                <w:kern w:val="0"/>
                <w:sz w:val="21"/>
                <w:szCs w:val="21"/>
                <w:u w:val="none"/>
                <w:lang w:val="en-US" w:eastAsia="zh-CN" w:bidi="ar-SA"/>
              </w:rPr>
            </w:pPr>
            <w:r>
              <w:rPr>
                <w:rFonts w:hint="eastAsia" w:ascii="Times New Roman" w:hAnsi="Times New Roman" w:eastAsia="宋体" w:cs="Times New Roman"/>
                <w:b/>
                <w:bCs/>
                <w:color w:val="auto"/>
                <w:kern w:val="2"/>
                <w:sz w:val="21"/>
                <w:szCs w:val="21"/>
                <w:u w:val="none"/>
                <w:lang w:val="en-US" w:eastAsia="zh-CN" w:bidi="ar-SA"/>
              </w:rPr>
              <w:t xml:space="preserve">表2-2   </w:t>
            </w:r>
            <w:r>
              <w:rPr>
                <w:rFonts w:ascii="Times New Roman" w:hAnsi="Times New Roman" w:eastAsia="宋体" w:cs="Times New Roman"/>
                <w:b/>
                <w:bCs/>
                <w:color w:val="auto"/>
                <w:kern w:val="2"/>
                <w:sz w:val="21"/>
                <w:szCs w:val="21"/>
                <w:u w:val="none"/>
                <w:lang w:val="en-US" w:eastAsia="zh-CN" w:bidi="ar-SA"/>
              </w:rPr>
              <w:t>主要生产设备一览表</w:t>
            </w:r>
          </w:p>
          <w:tbl>
            <w:tblPr>
              <w:tblStyle w:val="27"/>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414"/>
              <w:gridCol w:w="1888"/>
              <w:gridCol w:w="2685"/>
              <w:gridCol w:w="1902"/>
            </w:tblGrid>
            <w:tr w14:paraId="4E9C2E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896" w:type="pct"/>
                  <w:tcBorders>
                    <w:bottom w:val="single" w:color="auto" w:sz="12" w:space="0"/>
                  </w:tcBorders>
                  <w:noWrap w:val="0"/>
                  <w:tcMar>
                    <w:top w:w="15" w:type="dxa"/>
                    <w:left w:w="15" w:type="dxa"/>
                    <w:bottom w:w="0" w:type="dxa"/>
                    <w:right w:w="15" w:type="dxa"/>
                  </w:tcMar>
                  <w:vAlign w:val="center"/>
                </w:tcPr>
                <w:p w14:paraId="49681CEE">
                  <w:pPr>
                    <w:widowControl w:val="0"/>
                    <w:numPr>
                      <w:ilvl w:val="0"/>
                      <w:numId w:val="0"/>
                    </w:numPr>
                    <w:adjustRightInd w:val="0"/>
                    <w:snapToGrid w:val="0"/>
                    <w:spacing w:line="240" w:lineRule="auto"/>
                    <w:ind w:firstLine="0" w:firstLineChars="0"/>
                    <w:jc w:val="center"/>
                    <w:rPr>
                      <w:rFonts w:ascii="Times New Roman" w:hAnsi="Times New Roman" w:eastAsia="宋体" w:cs="Times New Roman"/>
                      <w:b/>
                      <w:bCs/>
                      <w:color w:val="auto"/>
                      <w:kern w:val="2"/>
                      <w:sz w:val="21"/>
                      <w:u w:val="none"/>
                      <w:lang w:val="en-US" w:eastAsia="zh-CN" w:bidi="ar-SA"/>
                    </w:rPr>
                  </w:pPr>
                  <w:r>
                    <w:rPr>
                      <w:rFonts w:hint="eastAsia" w:ascii="Times New Roman" w:hAnsi="Times New Roman" w:eastAsia="宋体" w:cs="Times New Roman"/>
                      <w:b/>
                      <w:bCs/>
                      <w:color w:val="auto"/>
                      <w:kern w:val="2"/>
                      <w:sz w:val="21"/>
                      <w:u w:val="none"/>
                      <w:lang w:val="en-US" w:eastAsia="zh-CN" w:bidi="ar-SA"/>
                    </w:rPr>
                    <w:t>序号</w:t>
                  </w:r>
                </w:p>
              </w:tc>
              <w:tc>
                <w:tcPr>
                  <w:tcW w:w="1196" w:type="pct"/>
                  <w:tcBorders>
                    <w:bottom w:val="single" w:color="auto" w:sz="12" w:space="0"/>
                  </w:tcBorders>
                  <w:noWrap w:val="0"/>
                  <w:tcMar>
                    <w:top w:w="15" w:type="dxa"/>
                    <w:left w:w="15" w:type="dxa"/>
                    <w:bottom w:w="0" w:type="dxa"/>
                    <w:right w:w="15" w:type="dxa"/>
                  </w:tcMar>
                  <w:vAlign w:val="center"/>
                </w:tcPr>
                <w:p w14:paraId="468E6CC6">
                  <w:pPr>
                    <w:widowControl w:val="0"/>
                    <w:numPr>
                      <w:ilvl w:val="0"/>
                      <w:numId w:val="0"/>
                    </w:numPr>
                    <w:adjustRightInd w:val="0"/>
                    <w:snapToGrid w:val="0"/>
                    <w:spacing w:line="240" w:lineRule="auto"/>
                    <w:ind w:firstLine="0" w:firstLineChars="0"/>
                    <w:jc w:val="center"/>
                    <w:rPr>
                      <w:rFonts w:ascii="Times New Roman" w:hAnsi="Times New Roman" w:eastAsia="宋体" w:cs="Times New Roman"/>
                      <w:b/>
                      <w:bCs/>
                      <w:color w:val="auto"/>
                      <w:kern w:val="2"/>
                      <w:sz w:val="21"/>
                      <w:u w:val="none"/>
                      <w:lang w:val="en-US" w:eastAsia="zh-CN" w:bidi="ar-SA"/>
                    </w:rPr>
                  </w:pPr>
                  <w:r>
                    <w:rPr>
                      <w:rFonts w:hint="eastAsia" w:ascii="Times New Roman" w:hAnsi="Times New Roman" w:eastAsia="宋体" w:cs="Times New Roman"/>
                      <w:b/>
                      <w:bCs/>
                      <w:color w:val="auto"/>
                      <w:kern w:val="2"/>
                      <w:sz w:val="21"/>
                      <w:u w:val="none"/>
                      <w:lang w:val="en-US" w:eastAsia="zh-CN" w:bidi="ar-SA"/>
                    </w:rPr>
                    <w:t>名称</w:t>
                  </w:r>
                </w:p>
              </w:tc>
              <w:tc>
                <w:tcPr>
                  <w:tcW w:w="1701" w:type="pct"/>
                  <w:tcBorders>
                    <w:bottom w:val="single" w:color="auto" w:sz="12" w:space="0"/>
                  </w:tcBorders>
                  <w:noWrap w:val="0"/>
                  <w:tcMar>
                    <w:top w:w="15" w:type="dxa"/>
                    <w:left w:w="15" w:type="dxa"/>
                    <w:bottom w:w="0" w:type="dxa"/>
                    <w:right w:w="15" w:type="dxa"/>
                  </w:tcMar>
                  <w:vAlign w:val="center"/>
                </w:tcPr>
                <w:p w14:paraId="2F8D8773">
                  <w:pPr>
                    <w:widowControl w:val="0"/>
                    <w:numPr>
                      <w:ilvl w:val="0"/>
                      <w:numId w:val="0"/>
                    </w:numPr>
                    <w:adjustRightInd w:val="0"/>
                    <w:snapToGrid w:val="0"/>
                    <w:spacing w:line="240" w:lineRule="auto"/>
                    <w:ind w:firstLine="0" w:firstLineChars="0"/>
                    <w:jc w:val="center"/>
                    <w:rPr>
                      <w:rFonts w:ascii="Times New Roman" w:hAnsi="Times New Roman" w:eastAsia="宋体" w:cs="Times New Roman"/>
                      <w:b/>
                      <w:bCs/>
                      <w:color w:val="auto"/>
                      <w:kern w:val="2"/>
                      <w:sz w:val="21"/>
                      <w:u w:val="none"/>
                      <w:lang w:val="en-US" w:eastAsia="zh-CN" w:bidi="ar-SA"/>
                    </w:rPr>
                  </w:pPr>
                  <w:r>
                    <w:rPr>
                      <w:rFonts w:hint="eastAsia" w:ascii="Times New Roman" w:hAnsi="Times New Roman" w:eastAsia="宋体" w:cs="Times New Roman"/>
                      <w:b/>
                      <w:bCs/>
                      <w:color w:val="auto"/>
                      <w:kern w:val="2"/>
                      <w:sz w:val="21"/>
                      <w:u w:val="none"/>
                      <w:lang w:val="en-US" w:eastAsia="zh-CN" w:bidi="ar-SA"/>
                    </w:rPr>
                    <w:t>规格/型号</w:t>
                  </w:r>
                </w:p>
              </w:tc>
              <w:tc>
                <w:tcPr>
                  <w:tcW w:w="1205" w:type="pct"/>
                  <w:tcBorders>
                    <w:bottom w:val="single" w:color="auto" w:sz="12" w:space="0"/>
                  </w:tcBorders>
                  <w:noWrap w:val="0"/>
                  <w:tcMar>
                    <w:top w:w="15" w:type="dxa"/>
                    <w:left w:w="15" w:type="dxa"/>
                    <w:bottom w:w="0" w:type="dxa"/>
                    <w:right w:w="15" w:type="dxa"/>
                  </w:tcMar>
                  <w:vAlign w:val="center"/>
                </w:tcPr>
                <w:p w14:paraId="4DF9FAC6">
                  <w:pPr>
                    <w:widowControl w:val="0"/>
                    <w:numPr>
                      <w:ilvl w:val="0"/>
                      <w:numId w:val="0"/>
                    </w:numPr>
                    <w:adjustRightInd w:val="0"/>
                    <w:snapToGrid w:val="0"/>
                    <w:spacing w:line="240" w:lineRule="auto"/>
                    <w:ind w:firstLine="0" w:firstLineChars="0"/>
                    <w:jc w:val="center"/>
                    <w:rPr>
                      <w:rFonts w:ascii="Times New Roman" w:hAnsi="Times New Roman" w:eastAsia="宋体" w:cs="Times New Roman"/>
                      <w:b/>
                      <w:bCs/>
                      <w:color w:val="auto"/>
                      <w:kern w:val="2"/>
                      <w:sz w:val="21"/>
                      <w:u w:val="none"/>
                      <w:lang w:val="en-US" w:eastAsia="zh-CN" w:bidi="ar-SA"/>
                    </w:rPr>
                  </w:pPr>
                  <w:r>
                    <w:rPr>
                      <w:rFonts w:hint="eastAsia" w:ascii="Times New Roman" w:hAnsi="Times New Roman" w:eastAsia="宋体" w:cs="Times New Roman"/>
                      <w:b/>
                      <w:bCs/>
                      <w:color w:val="auto"/>
                      <w:kern w:val="2"/>
                      <w:sz w:val="21"/>
                      <w:u w:val="none"/>
                      <w:lang w:val="en-US" w:eastAsia="zh-CN" w:bidi="ar-SA"/>
                    </w:rPr>
                    <w:t>数量（台/套）</w:t>
                  </w:r>
                </w:p>
              </w:tc>
            </w:tr>
            <w:tr w14:paraId="3266DF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62" w:hRule="atLeast"/>
                <w:jc w:val="center"/>
              </w:trPr>
              <w:tc>
                <w:tcPr>
                  <w:tcW w:w="896" w:type="pct"/>
                  <w:tcBorders>
                    <w:top w:val="single" w:color="auto" w:sz="12" w:space="0"/>
                  </w:tcBorders>
                  <w:noWrap w:val="0"/>
                  <w:tcMar>
                    <w:top w:w="15" w:type="dxa"/>
                    <w:left w:w="15" w:type="dxa"/>
                    <w:bottom w:w="0" w:type="dxa"/>
                    <w:right w:w="15" w:type="dxa"/>
                  </w:tcMar>
                  <w:vAlign w:val="center"/>
                </w:tcPr>
                <w:p w14:paraId="47E08B03">
                  <w:pPr>
                    <w:widowControl w:val="0"/>
                    <w:numPr>
                      <w:ilvl w:val="0"/>
                      <w:numId w:val="0"/>
                    </w:numPr>
                    <w:adjustRightInd w:val="0"/>
                    <w:snapToGrid w:val="0"/>
                    <w:spacing w:line="240" w:lineRule="auto"/>
                    <w:ind w:firstLine="0" w:firstLineChars="0"/>
                    <w:jc w:val="center"/>
                    <w:rPr>
                      <w:rFonts w:ascii="Times New Roman" w:hAnsi="Times New Roman" w:eastAsia="宋体" w:cs="Times New Roman"/>
                      <w:color w:val="auto"/>
                      <w:kern w:val="2"/>
                      <w:sz w:val="21"/>
                      <w:u w:val="none"/>
                      <w:lang w:val="en-US" w:eastAsia="zh-CN" w:bidi="ar-SA"/>
                    </w:rPr>
                  </w:pPr>
                  <w:r>
                    <w:rPr>
                      <w:rFonts w:hint="eastAsia" w:ascii="Times New Roman" w:hAnsi="Times New Roman" w:eastAsia="宋体" w:cs="Times New Roman"/>
                      <w:color w:val="auto"/>
                      <w:kern w:val="2"/>
                      <w:sz w:val="21"/>
                      <w:u w:val="none"/>
                      <w:lang w:val="en-US" w:eastAsia="zh-CN" w:bidi="ar-SA"/>
                    </w:rPr>
                    <w:t>1</w:t>
                  </w:r>
                </w:p>
              </w:tc>
              <w:tc>
                <w:tcPr>
                  <w:tcW w:w="1196" w:type="pct"/>
                  <w:tcBorders>
                    <w:top w:val="single" w:color="auto" w:sz="12" w:space="0"/>
                  </w:tcBorders>
                  <w:noWrap w:val="0"/>
                  <w:tcMar>
                    <w:top w:w="15" w:type="dxa"/>
                    <w:left w:w="15" w:type="dxa"/>
                    <w:bottom w:w="0" w:type="dxa"/>
                    <w:right w:w="15" w:type="dxa"/>
                  </w:tcMar>
                  <w:vAlign w:val="center"/>
                </w:tcPr>
                <w:p w14:paraId="5B8C07C6">
                  <w:pPr>
                    <w:widowControl w:val="0"/>
                    <w:numPr>
                      <w:ilvl w:val="0"/>
                      <w:numId w:val="0"/>
                    </w:numPr>
                    <w:adjustRightInd w:val="0"/>
                    <w:snapToGrid w:val="0"/>
                    <w:spacing w:line="240" w:lineRule="auto"/>
                    <w:ind w:firstLine="0" w:firstLineChars="0"/>
                    <w:jc w:val="center"/>
                    <w:rPr>
                      <w:rFonts w:ascii="Times New Roman" w:hAnsi="Times New Roman" w:eastAsia="宋体" w:cs="Times New Roman"/>
                      <w:color w:val="auto"/>
                      <w:kern w:val="2"/>
                      <w:sz w:val="21"/>
                      <w:u w:val="none"/>
                      <w:lang w:val="en-US" w:eastAsia="zh-CN" w:bidi="ar-SA"/>
                    </w:rPr>
                  </w:pPr>
                  <w:r>
                    <w:rPr>
                      <w:rFonts w:hint="eastAsia" w:ascii="Times New Roman" w:hAnsi="Times New Roman" w:eastAsia="宋体" w:cs="Times New Roman"/>
                      <w:color w:val="auto"/>
                      <w:kern w:val="2"/>
                      <w:sz w:val="21"/>
                      <w:u w:val="none"/>
                      <w:lang w:val="en-US" w:eastAsia="zh-CN" w:bidi="ar-SA"/>
                    </w:rPr>
                    <w:t>装载机</w:t>
                  </w:r>
                </w:p>
              </w:tc>
              <w:tc>
                <w:tcPr>
                  <w:tcW w:w="1701" w:type="pct"/>
                  <w:tcBorders>
                    <w:top w:val="single" w:color="auto" w:sz="12" w:space="0"/>
                  </w:tcBorders>
                  <w:noWrap w:val="0"/>
                  <w:tcMar>
                    <w:top w:w="15" w:type="dxa"/>
                    <w:left w:w="15" w:type="dxa"/>
                    <w:bottom w:w="0" w:type="dxa"/>
                    <w:right w:w="15" w:type="dxa"/>
                  </w:tcMar>
                  <w:vAlign w:val="center"/>
                </w:tcPr>
                <w:p w14:paraId="426D1CF6">
                  <w:pPr>
                    <w:widowControl w:val="0"/>
                    <w:numPr>
                      <w:ilvl w:val="0"/>
                      <w:numId w:val="0"/>
                    </w:numPr>
                    <w:adjustRightInd w:val="0"/>
                    <w:snapToGrid w:val="0"/>
                    <w:spacing w:line="240" w:lineRule="auto"/>
                    <w:ind w:firstLine="0" w:firstLineChars="0"/>
                    <w:jc w:val="center"/>
                    <w:rPr>
                      <w:rFonts w:ascii="Times New Roman" w:hAnsi="Times New Roman" w:eastAsia="宋体" w:cs="Times New Roman"/>
                      <w:color w:val="auto"/>
                      <w:kern w:val="2"/>
                      <w:sz w:val="21"/>
                      <w:u w:val="none"/>
                      <w:lang w:val="en-US" w:eastAsia="zh-CN" w:bidi="ar-SA"/>
                    </w:rPr>
                  </w:pPr>
                  <w:r>
                    <w:rPr>
                      <w:rFonts w:ascii="Times New Roman" w:hAnsi="Times New Roman" w:eastAsia="宋体" w:cs="Times New Roman"/>
                      <w:color w:val="auto"/>
                      <w:kern w:val="2"/>
                      <w:sz w:val="21"/>
                      <w:u w:val="none"/>
                      <w:lang w:val="en-US" w:eastAsia="zh-CN" w:bidi="ar-SA"/>
                    </w:rPr>
                    <w:t>ZL50</w:t>
                  </w:r>
                </w:p>
              </w:tc>
              <w:tc>
                <w:tcPr>
                  <w:tcW w:w="1205" w:type="pct"/>
                  <w:tcBorders>
                    <w:top w:val="single" w:color="auto" w:sz="12" w:space="0"/>
                  </w:tcBorders>
                  <w:noWrap w:val="0"/>
                  <w:tcMar>
                    <w:top w:w="15" w:type="dxa"/>
                    <w:left w:w="15" w:type="dxa"/>
                    <w:bottom w:w="0" w:type="dxa"/>
                    <w:right w:w="15" w:type="dxa"/>
                  </w:tcMar>
                  <w:vAlign w:val="center"/>
                </w:tcPr>
                <w:p w14:paraId="57DC6201">
                  <w:pPr>
                    <w:widowControl w:val="0"/>
                    <w:numPr>
                      <w:ilvl w:val="0"/>
                      <w:numId w:val="0"/>
                    </w:numPr>
                    <w:adjustRightInd w:val="0"/>
                    <w:snapToGrid w:val="0"/>
                    <w:spacing w:line="240" w:lineRule="auto"/>
                    <w:ind w:firstLine="0" w:firstLineChars="0"/>
                    <w:jc w:val="center"/>
                    <w:rPr>
                      <w:rFonts w:ascii="Times New Roman" w:hAnsi="Times New Roman" w:eastAsia="宋体" w:cs="Times New Roman"/>
                      <w:color w:val="auto"/>
                      <w:kern w:val="2"/>
                      <w:sz w:val="21"/>
                      <w:u w:val="none"/>
                      <w:lang w:val="en-US" w:eastAsia="zh-CN" w:bidi="ar-SA"/>
                    </w:rPr>
                  </w:pPr>
                  <w:r>
                    <w:rPr>
                      <w:rFonts w:hint="eastAsia" w:ascii="Times New Roman" w:hAnsi="Times New Roman" w:eastAsia="宋体" w:cs="Times New Roman"/>
                      <w:color w:val="auto"/>
                      <w:kern w:val="2"/>
                      <w:sz w:val="21"/>
                      <w:u w:val="none"/>
                      <w:lang w:val="en-US" w:eastAsia="zh-CN" w:bidi="ar-SA"/>
                    </w:rPr>
                    <w:t>2</w:t>
                  </w:r>
                </w:p>
              </w:tc>
            </w:tr>
            <w:tr w14:paraId="0EE279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896" w:type="pct"/>
                  <w:noWrap w:val="0"/>
                  <w:tcMar>
                    <w:top w:w="15" w:type="dxa"/>
                    <w:left w:w="15" w:type="dxa"/>
                    <w:bottom w:w="0" w:type="dxa"/>
                    <w:right w:w="15" w:type="dxa"/>
                  </w:tcMar>
                  <w:vAlign w:val="center"/>
                </w:tcPr>
                <w:p w14:paraId="785C7FEB">
                  <w:pPr>
                    <w:widowControl w:val="0"/>
                    <w:numPr>
                      <w:ilvl w:val="0"/>
                      <w:numId w:val="0"/>
                    </w:numPr>
                    <w:adjustRightInd w:val="0"/>
                    <w:snapToGrid w:val="0"/>
                    <w:spacing w:line="240" w:lineRule="auto"/>
                    <w:ind w:firstLine="0" w:firstLineChars="0"/>
                    <w:jc w:val="center"/>
                    <w:rPr>
                      <w:rFonts w:ascii="Times New Roman" w:hAnsi="Times New Roman" w:eastAsia="宋体" w:cs="Times New Roman"/>
                      <w:color w:val="auto"/>
                      <w:kern w:val="2"/>
                      <w:sz w:val="21"/>
                      <w:u w:val="none"/>
                      <w:lang w:val="en-US" w:eastAsia="zh-CN" w:bidi="ar-SA"/>
                    </w:rPr>
                  </w:pPr>
                  <w:r>
                    <w:rPr>
                      <w:rFonts w:hint="eastAsia" w:ascii="Times New Roman" w:hAnsi="Times New Roman" w:eastAsia="宋体" w:cs="Times New Roman"/>
                      <w:color w:val="auto"/>
                      <w:kern w:val="2"/>
                      <w:sz w:val="21"/>
                      <w:u w:val="none"/>
                      <w:lang w:val="en-US" w:eastAsia="zh-CN" w:bidi="ar-SA"/>
                    </w:rPr>
                    <w:t>2</w:t>
                  </w:r>
                </w:p>
              </w:tc>
              <w:tc>
                <w:tcPr>
                  <w:tcW w:w="1196" w:type="pct"/>
                  <w:noWrap w:val="0"/>
                  <w:tcMar>
                    <w:top w:w="15" w:type="dxa"/>
                    <w:left w:w="15" w:type="dxa"/>
                    <w:bottom w:w="0" w:type="dxa"/>
                    <w:right w:w="15" w:type="dxa"/>
                  </w:tcMar>
                  <w:vAlign w:val="center"/>
                </w:tcPr>
                <w:p w14:paraId="78BE72A9">
                  <w:pPr>
                    <w:widowControl w:val="0"/>
                    <w:numPr>
                      <w:ilvl w:val="0"/>
                      <w:numId w:val="0"/>
                    </w:numPr>
                    <w:adjustRightInd w:val="0"/>
                    <w:snapToGrid w:val="0"/>
                    <w:spacing w:line="240" w:lineRule="auto"/>
                    <w:ind w:firstLine="0" w:firstLineChars="0"/>
                    <w:jc w:val="center"/>
                    <w:rPr>
                      <w:rFonts w:ascii="Times New Roman" w:hAnsi="Times New Roman" w:eastAsia="宋体" w:cs="Times New Roman"/>
                      <w:color w:val="auto"/>
                      <w:kern w:val="2"/>
                      <w:sz w:val="21"/>
                      <w:u w:val="none"/>
                      <w:lang w:val="en-US" w:eastAsia="zh-CN" w:bidi="ar-SA"/>
                    </w:rPr>
                  </w:pPr>
                  <w:r>
                    <w:rPr>
                      <w:rFonts w:hint="eastAsia" w:ascii="Times New Roman" w:hAnsi="Times New Roman" w:eastAsia="宋体" w:cs="Times New Roman"/>
                      <w:color w:val="auto"/>
                      <w:kern w:val="2"/>
                      <w:sz w:val="21"/>
                      <w:u w:val="none"/>
                      <w:lang w:val="en-US" w:eastAsia="zh-CN" w:bidi="ar-SA"/>
                    </w:rPr>
                    <w:t>挖掘机</w:t>
                  </w:r>
                </w:p>
              </w:tc>
              <w:tc>
                <w:tcPr>
                  <w:tcW w:w="1701" w:type="pct"/>
                  <w:noWrap w:val="0"/>
                  <w:tcMar>
                    <w:top w:w="15" w:type="dxa"/>
                    <w:left w:w="15" w:type="dxa"/>
                    <w:bottom w:w="0" w:type="dxa"/>
                    <w:right w:w="15" w:type="dxa"/>
                  </w:tcMar>
                  <w:vAlign w:val="center"/>
                </w:tcPr>
                <w:p w14:paraId="5C710253">
                  <w:pPr>
                    <w:widowControl w:val="0"/>
                    <w:numPr>
                      <w:ilvl w:val="0"/>
                      <w:numId w:val="0"/>
                    </w:numPr>
                    <w:adjustRightInd w:val="0"/>
                    <w:snapToGrid w:val="0"/>
                    <w:spacing w:line="240" w:lineRule="auto"/>
                    <w:ind w:firstLine="0" w:firstLineChars="0"/>
                    <w:jc w:val="center"/>
                    <w:rPr>
                      <w:rFonts w:hint="default" w:ascii="Times New Roman" w:hAnsi="Times New Roman" w:eastAsia="宋体" w:cs="Times New Roman"/>
                      <w:color w:val="auto"/>
                      <w:kern w:val="2"/>
                      <w:sz w:val="21"/>
                      <w:u w:val="none"/>
                      <w:lang w:val="en-US" w:eastAsia="zh-CN" w:bidi="ar-SA"/>
                    </w:rPr>
                  </w:pPr>
                  <w:r>
                    <w:rPr>
                      <w:rFonts w:hint="eastAsia" w:ascii="Times New Roman" w:hAnsi="Times New Roman" w:eastAsia="宋体" w:cs="Times New Roman"/>
                      <w:color w:val="auto"/>
                      <w:kern w:val="2"/>
                      <w:sz w:val="21"/>
                      <w:u w:val="none"/>
                      <w:lang w:val="en-US" w:eastAsia="zh-CN" w:bidi="ar-SA"/>
                    </w:rPr>
                    <w:t>/</w:t>
                  </w:r>
                </w:p>
              </w:tc>
              <w:tc>
                <w:tcPr>
                  <w:tcW w:w="1205" w:type="pct"/>
                  <w:noWrap w:val="0"/>
                  <w:tcMar>
                    <w:top w:w="15" w:type="dxa"/>
                    <w:left w:w="15" w:type="dxa"/>
                    <w:bottom w:w="0" w:type="dxa"/>
                    <w:right w:w="15" w:type="dxa"/>
                  </w:tcMar>
                  <w:vAlign w:val="center"/>
                </w:tcPr>
                <w:p w14:paraId="53FA9598">
                  <w:pPr>
                    <w:widowControl w:val="0"/>
                    <w:numPr>
                      <w:ilvl w:val="0"/>
                      <w:numId w:val="0"/>
                    </w:numPr>
                    <w:adjustRightInd w:val="0"/>
                    <w:snapToGrid w:val="0"/>
                    <w:spacing w:line="240" w:lineRule="auto"/>
                    <w:ind w:firstLine="0" w:firstLineChars="0"/>
                    <w:jc w:val="center"/>
                    <w:rPr>
                      <w:rFonts w:ascii="Times New Roman" w:hAnsi="Times New Roman" w:eastAsia="宋体" w:cs="Times New Roman"/>
                      <w:color w:val="auto"/>
                      <w:kern w:val="2"/>
                      <w:sz w:val="21"/>
                      <w:u w:val="none"/>
                      <w:lang w:val="en-US" w:eastAsia="zh-CN" w:bidi="ar-SA"/>
                    </w:rPr>
                  </w:pPr>
                  <w:r>
                    <w:rPr>
                      <w:rFonts w:hint="eastAsia" w:ascii="Times New Roman" w:hAnsi="Times New Roman" w:eastAsia="宋体" w:cs="Times New Roman"/>
                      <w:color w:val="auto"/>
                      <w:kern w:val="2"/>
                      <w:sz w:val="21"/>
                      <w:u w:val="none"/>
                      <w:lang w:val="en-US" w:eastAsia="zh-CN" w:bidi="ar-SA"/>
                    </w:rPr>
                    <w:t>1</w:t>
                  </w:r>
                </w:p>
              </w:tc>
            </w:tr>
            <w:tr w14:paraId="2BA846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896" w:type="pct"/>
                  <w:noWrap w:val="0"/>
                  <w:tcMar>
                    <w:top w:w="15" w:type="dxa"/>
                    <w:left w:w="15" w:type="dxa"/>
                    <w:bottom w:w="0" w:type="dxa"/>
                    <w:right w:w="15" w:type="dxa"/>
                  </w:tcMar>
                  <w:vAlign w:val="center"/>
                </w:tcPr>
                <w:p w14:paraId="3FC5EBF9">
                  <w:pPr>
                    <w:widowControl w:val="0"/>
                    <w:numPr>
                      <w:ilvl w:val="0"/>
                      <w:numId w:val="0"/>
                    </w:numPr>
                    <w:adjustRightInd w:val="0"/>
                    <w:snapToGrid w:val="0"/>
                    <w:spacing w:line="240" w:lineRule="auto"/>
                    <w:ind w:firstLine="0" w:firstLineChars="0"/>
                    <w:jc w:val="center"/>
                    <w:rPr>
                      <w:rFonts w:hint="default" w:ascii="Times New Roman" w:hAnsi="Times New Roman" w:eastAsia="宋体" w:cs="Times New Roman"/>
                      <w:color w:val="auto"/>
                      <w:kern w:val="2"/>
                      <w:sz w:val="21"/>
                      <w:u w:val="none"/>
                      <w:lang w:val="en-US" w:eastAsia="zh-CN" w:bidi="ar-SA"/>
                    </w:rPr>
                  </w:pPr>
                  <w:r>
                    <w:rPr>
                      <w:rFonts w:hint="eastAsia" w:ascii="Times New Roman" w:hAnsi="Times New Roman" w:eastAsia="宋体" w:cs="Times New Roman"/>
                      <w:color w:val="auto"/>
                      <w:kern w:val="2"/>
                      <w:sz w:val="21"/>
                      <w:u w:val="none"/>
                      <w:lang w:val="en-US" w:eastAsia="zh-CN" w:bidi="ar-SA"/>
                    </w:rPr>
                    <w:t>3</w:t>
                  </w:r>
                </w:p>
              </w:tc>
              <w:tc>
                <w:tcPr>
                  <w:tcW w:w="1196" w:type="pct"/>
                  <w:noWrap w:val="0"/>
                  <w:tcMar>
                    <w:top w:w="15" w:type="dxa"/>
                    <w:left w:w="15" w:type="dxa"/>
                    <w:bottom w:w="0" w:type="dxa"/>
                    <w:right w:w="15" w:type="dxa"/>
                  </w:tcMar>
                  <w:vAlign w:val="center"/>
                </w:tcPr>
                <w:p w14:paraId="320ECE13">
                  <w:pPr>
                    <w:widowControl w:val="0"/>
                    <w:numPr>
                      <w:ilvl w:val="0"/>
                      <w:numId w:val="0"/>
                    </w:numPr>
                    <w:adjustRightInd w:val="0"/>
                    <w:snapToGrid w:val="0"/>
                    <w:spacing w:line="240" w:lineRule="auto"/>
                    <w:ind w:firstLine="0" w:firstLineChars="0"/>
                    <w:jc w:val="center"/>
                    <w:rPr>
                      <w:rFonts w:hint="default" w:ascii="Times New Roman" w:hAnsi="Times New Roman" w:eastAsia="宋体" w:cs="Times New Roman"/>
                      <w:color w:val="auto"/>
                      <w:kern w:val="2"/>
                      <w:sz w:val="21"/>
                      <w:u w:val="none"/>
                      <w:lang w:val="en-US" w:eastAsia="zh-CN" w:bidi="ar-SA"/>
                    </w:rPr>
                  </w:pPr>
                  <w:r>
                    <w:rPr>
                      <w:rFonts w:hint="eastAsia" w:ascii="Times New Roman" w:hAnsi="Times New Roman" w:eastAsia="宋体" w:cs="Times New Roman"/>
                      <w:color w:val="auto"/>
                      <w:kern w:val="2"/>
                      <w:sz w:val="21"/>
                      <w:u w:val="none"/>
                      <w:lang w:val="en-US" w:eastAsia="zh-CN" w:bidi="ar-SA"/>
                    </w:rPr>
                    <w:t>自卸车</w:t>
                  </w:r>
                </w:p>
              </w:tc>
              <w:tc>
                <w:tcPr>
                  <w:tcW w:w="1701" w:type="pct"/>
                  <w:noWrap w:val="0"/>
                  <w:tcMar>
                    <w:top w:w="15" w:type="dxa"/>
                    <w:left w:w="15" w:type="dxa"/>
                    <w:bottom w:w="0" w:type="dxa"/>
                    <w:right w:w="15" w:type="dxa"/>
                  </w:tcMar>
                  <w:vAlign w:val="center"/>
                </w:tcPr>
                <w:p w14:paraId="1226DAF9">
                  <w:pPr>
                    <w:widowControl w:val="0"/>
                    <w:numPr>
                      <w:ilvl w:val="0"/>
                      <w:numId w:val="0"/>
                    </w:numPr>
                    <w:adjustRightInd w:val="0"/>
                    <w:snapToGrid w:val="0"/>
                    <w:spacing w:line="240" w:lineRule="auto"/>
                    <w:ind w:firstLine="0" w:firstLineChars="0"/>
                    <w:jc w:val="center"/>
                    <w:rPr>
                      <w:rFonts w:hint="default" w:ascii="Times New Roman" w:hAnsi="Times New Roman" w:eastAsia="宋体" w:cs="Times New Roman"/>
                      <w:color w:val="auto"/>
                      <w:kern w:val="2"/>
                      <w:sz w:val="21"/>
                      <w:u w:val="none"/>
                      <w:lang w:val="en-US" w:eastAsia="zh-CN" w:bidi="ar-SA"/>
                    </w:rPr>
                  </w:pPr>
                  <w:r>
                    <w:rPr>
                      <w:rFonts w:hint="eastAsia" w:ascii="Times New Roman" w:hAnsi="Times New Roman" w:eastAsia="宋体" w:cs="Times New Roman"/>
                      <w:color w:val="auto"/>
                      <w:kern w:val="2"/>
                      <w:sz w:val="21"/>
                      <w:u w:val="none"/>
                      <w:lang w:val="en-US" w:eastAsia="zh-CN" w:bidi="ar-SA"/>
                    </w:rPr>
                    <w:t>20t</w:t>
                  </w:r>
                </w:p>
              </w:tc>
              <w:tc>
                <w:tcPr>
                  <w:tcW w:w="1205" w:type="pct"/>
                  <w:noWrap w:val="0"/>
                  <w:tcMar>
                    <w:top w:w="15" w:type="dxa"/>
                    <w:left w:w="15" w:type="dxa"/>
                    <w:bottom w:w="0" w:type="dxa"/>
                    <w:right w:w="15" w:type="dxa"/>
                  </w:tcMar>
                  <w:vAlign w:val="center"/>
                </w:tcPr>
                <w:p w14:paraId="65462386">
                  <w:pPr>
                    <w:widowControl w:val="0"/>
                    <w:numPr>
                      <w:ilvl w:val="0"/>
                      <w:numId w:val="0"/>
                    </w:numPr>
                    <w:adjustRightInd w:val="0"/>
                    <w:snapToGrid w:val="0"/>
                    <w:spacing w:line="240" w:lineRule="auto"/>
                    <w:ind w:firstLine="0" w:firstLineChars="0"/>
                    <w:jc w:val="center"/>
                    <w:rPr>
                      <w:rFonts w:ascii="Times New Roman" w:hAnsi="Times New Roman" w:eastAsia="宋体" w:cs="Times New Roman"/>
                      <w:color w:val="auto"/>
                      <w:kern w:val="2"/>
                      <w:sz w:val="21"/>
                      <w:u w:val="none"/>
                      <w:lang w:val="en-US" w:eastAsia="zh-CN" w:bidi="ar-SA"/>
                    </w:rPr>
                  </w:pPr>
                  <w:r>
                    <w:rPr>
                      <w:rFonts w:hint="eastAsia" w:ascii="Times New Roman" w:hAnsi="Times New Roman" w:eastAsia="宋体" w:cs="Times New Roman"/>
                      <w:color w:val="auto"/>
                      <w:kern w:val="2"/>
                      <w:sz w:val="21"/>
                      <w:u w:val="none"/>
                      <w:lang w:val="en-US" w:eastAsia="zh-CN" w:bidi="ar-SA"/>
                    </w:rPr>
                    <w:t>3</w:t>
                  </w:r>
                </w:p>
              </w:tc>
            </w:tr>
            <w:tr w14:paraId="17D1FF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896" w:type="pct"/>
                  <w:noWrap w:val="0"/>
                  <w:tcMar>
                    <w:top w:w="15" w:type="dxa"/>
                    <w:left w:w="15" w:type="dxa"/>
                    <w:bottom w:w="0" w:type="dxa"/>
                    <w:right w:w="15" w:type="dxa"/>
                  </w:tcMar>
                  <w:vAlign w:val="center"/>
                </w:tcPr>
                <w:p w14:paraId="3C7659B8">
                  <w:pPr>
                    <w:widowControl w:val="0"/>
                    <w:numPr>
                      <w:ilvl w:val="0"/>
                      <w:numId w:val="0"/>
                    </w:numPr>
                    <w:adjustRightInd w:val="0"/>
                    <w:snapToGrid w:val="0"/>
                    <w:spacing w:line="240" w:lineRule="auto"/>
                    <w:ind w:firstLine="0" w:firstLineChars="0"/>
                    <w:jc w:val="center"/>
                    <w:rPr>
                      <w:rFonts w:hint="default" w:ascii="Times New Roman" w:hAnsi="Times New Roman" w:eastAsia="宋体" w:cs="Times New Roman"/>
                      <w:color w:val="auto"/>
                      <w:kern w:val="2"/>
                      <w:sz w:val="21"/>
                      <w:u w:val="none"/>
                      <w:lang w:val="en-US" w:eastAsia="zh-CN" w:bidi="ar-SA"/>
                    </w:rPr>
                  </w:pPr>
                  <w:r>
                    <w:rPr>
                      <w:rFonts w:hint="eastAsia" w:ascii="Times New Roman" w:hAnsi="Times New Roman" w:eastAsia="宋体" w:cs="Times New Roman"/>
                      <w:color w:val="auto"/>
                      <w:kern w:val="2"/>
                      <w:sz w:val="21"/>
                      <w:u w:val="none"/>
                      <w:lang w:val="en-US" w:eastAsia="zh-CN" w:bidi="ar-SA"/>
                    </w:rPr>
                    <w:t>4</w:t>
                  </w:r>
                </w:p>
              </w:tc>
              <w:tc>
                <w:tcPr>
                  <w:tcW w:w="1196" w:type="pct"/>
                  <w:noWrap w:val="0"/>
                  <w:tcMar>
                    <w:top w:w="15" w:type="dxa"/>
                    <w:left w:w="15" w:type="dxa"/>
                    <w:bottom w:w="0" w:type="dxa"/>
                    <w:right w:w="15" w:type="dxa"/>
                  </w:tcMar>
                  <w:vAlign w:val="center"/>
                </w:tcPr>
                <w:p w14:paraId="760A52D5">
                  <w:pPr>
                    <w:widowControl w:val="0"/>
                    <w:numPr>
                      <w:ilvl w:val="0"/>
                      <w:numId w:val="0"/>
                    </w:numPr>
                    <w:adjustRightInd w:val="0"/>
                    <w:snapToGrid w:val="0"/>
                    <w:spacing w:line="240" w:lineRule="auto"/>
                    <w:ind w:left="0" w:leftChars="0" w:firstLine="0" w:firstLineChars="0"/>
                    <w:jc w:val="center"/>
                    <w:rPr>
                      <w:rFonts w:hint="eastAsia" w:ascii="Times New Roman" w:hAnsi="Times New Roman" w:eastAsia="宋体" w:cs="Times New Roman"/>
                      <w:color w:val="auto"/>
                      <w:kern w:val="2"/>
                      <w:sz w:val="21"/>
                      <w:szCs w:val="24"/>
                      <w:u w:val="none"/>
                      <w:lang w:val="en-US" w:eastAsia="zh-CN" w:bidi="ar-SA"/>
                    </w:rPr>
                  </w:pPr>
                  <w:r>
                    <w:rPr>
                      <w:rFonts w:hint="eastAsia" w:ascii="Times New Roman" w:hAnsi="Times New Roman" w:eastAsia="宋体" w:cs="Times New Roman"/>
                      <w:color w:val="auto"/>
                      <w:kern w:val="2"/>
                      <w:sz w:val="21"/>
                      <w:u w:val="none"/>
                      <w:lang w:val="en-US" w:eastAsia="zh-CN" w:bidi="ar-SA"/>
                    </w:rPr>
                    <w:t>地磅</w:t>
                  </w:r>
                </w:p>
              </w:tc>
              <w:tc>
                <w:tcPr>
                  <w:tcW w:w="1701" w:type="pct"/>
                  <w:noWrap w:val="0"/>
                  <w:tcMar>
                    <w:top w:w="15" w:type="dxa"/>
                    <w:left w:w="15" w:type="dxa"/>
                    <w:bottom w:w="0" w:type="dxa"/>
                    <w:right w:w="15" w:type="dxa"/>
                  </w:tcMar>
                  <w:vAlign w:val="center"/>
                </w:tcPr>
                <w:p w14:paraId="07E85CBE">
                  <w:pPr>
                    <w:widowControl w:val="0"/>
                    <w:numPr>
                      <w:ilvl w:val="0"/>
                      <w:numId w:val="0"/>
                    </w:numPr>
                    <w:adjustRightInd w:val="0"/>
                    <w:snapToGrid w:val="0"/>
                    <w:spacing w:line="240" w:lineRule="auto"/>
                    <w:ind w:left="0" w:leftChars="0" w:firstLine="0" w:firstLineChars="0"/>
                    <w:jc w:val="center"/>
                    <w:rPr>
                      <w:rFonts w:ascii="Times New Roman" w:hAnsi="Times New Roman" w:eastAsia="宋体" w:cs="Times New Roman"/>
                      <w:color w:val="auto"/>
                      <w:kern w:val="2"/>
                      <w:sz w:val="21"/>
                      <w:szCs w:val="24"/>
                      <w:u w:val="none"/>
                      <w:lang w:val="en-US" w:eastAsia="zh-CN" w:bidi="ar-SA"/>
                    </w:rPr>
                  </w:pPr>
                  <w:r>
                    <w:rPr>
                      <w:rFonts w:ascii="Times New Roman" w:hAnsi="Times New Roman" w:eastAsia="宋体" w:cs="Times New Roman"/>
                      <w:color w:val="auto"/>
                      <w:kern w:val="2"/>
                      <w:sz w:val="21"/>
                      <w:u w:val="none"/>
                      <w:lang w:val="en-US" w:eastAsia="zh-CN" w:bidi="ar-SA"/>
                    </w:rPr>
                    <w:t>100</w:t>
                  </w:r>
                  <w:r>
                    <w:rPr>
                      <w:rFonts w:hint="eastAsia" w:ascii="Times New Roman" w:hAnsi="Times New Roman" w:eastAsia="宋体" w:cs="Times New Roman"/>
                      <w:color w:val="auto"/>
                      <w:kern w:val="2"/>
                      <w:sz w:val="21"/>
                      <w:u w:val="none"/>
                      <w:lang w:val="en-US" w:eastAsia="zh-CN" w:bidi="ar-SA"/>
                    </w:rPr>
                    <w:t>吨</w:t>
                  </w:r>
                </w:p>
              </w:tc>
              <w:tc>
                <w:tcPr>
                  <w:tcW w:w="1205" w:type="pct"/>
                  <w:noWrap w:val="0"/>
                  <w:tcMar>
                    <w:top w:w="15" w:type="dxa"/>
                    <w:left w:w="15" w:type="dxa"/>
                    <w:bottom w:w="0" w:type="dxa"/>
                    <w:right w:w="15" w:type="dxa"/>
                  </w:tcMar>
                  <w:vAlign w:val="center"/>
                </w:tcPr>
                <w:p w14:paraId="04BE14A1">
                  <w:pPr>
                    <w:widowControl w:val="0"/>
                    <w:numPr>
                      <w:ilvl w:val="0"/>
                      <w:numId w:val="0"/>
                    </w:numPr>
                    <w:adjustRightInd w:val="0"/>
                    <w:snapToGrid w:val="0"/>
                    <w:spacing w:line="240" w:lineRule="auto"/>
                    <w:ind w:left="0" w:leftChars="0" w:firstLine="0" w:firstLineChars="0"/>
                    <w:jc w:val="center"/>
                    <w:rPr>
                      <w:rFonts w:hint="eastAsia" w:ascii="Times New Roman" w:hAnsi="Times New Roman" w:eastAsia="宋体" w:cs="Times New Roman"/>
                      <w:color w:val="auto"/>
                      <w:kern w:val="2"/>
                      <w:sz w:val="21"/>
                      <w:szCs w:val="24"/>
                      <w:u w:val="none"/>
                      <w:lang w:val="en-US" w:eastAsia="zh-CN" w:bidi="ar-SA"/>
                    </w:rPr>
                  </w:pPr>
                  <w:r>
                    <w:rPr>
                      <w:rFonts w:ascii="Times New Roman" w:hAnsi="Times New Roman" w:eastAsia="宋体" w:cs="Times New Roman"/>
                      <w:color w:val="auto"/>
                      <w:kern w:val="2"/>
                      <w:sz w:val="21"/>
                      <w:u w:val="none"/>
                      <w:lang w:val="en-US" w:eastAsia="zh-CN" w:bidi="ar-SA"/>
                    </w:rPr>
                    <w:t>1</w:t>
                  </w:r>
                </w:p>
              </w:tc>
            </w:tr>
            <w:tr w14:paraId="7D67D6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896" w:type="pct"/>
                  <w:noWrap w:val="0"/>
                  <w:tcMar>
                    <w:top w:w="15" w:type="dxa"/>
                    <w:left w:w="15" w:type="dxa"/>
                    <w:bottom w:w="0" w:type="dxa"/>
                    <w:right w:w="15" w:type="dxa"/>
                  </w:tcMar>
                  <w:vAlign w:val="center"/>
                </w:tcPr>
                <w:p w14:paraId="7083B530">
                  <w:pPr>
                    <w:widowControl w:val="0"/>
                    <w:numPr>
                      <w:ilvl w:val="0"/>
                      <w:numId w:val="0"/>
                    </w:numPr>
                    <w:adjustRightInd w:val="0"/>
                    <w:snapToGrid w:val="0"/>
                    <w:spacing w:line="240" w:lineRule="auto"/>
                    <w:ind w:firstLine="0" w:firstLineChars="0"/>
                    <w:jc w:val="center"/>
                    <w:rPr>
                      <w:rFonts w:hint="default" w:ascii="Times New Roman" w:hAnsi="Times New Roman" w:eastAsia="宋体" w:cs="Times New Roman"/>
                      <w:color w:val="auto"/>
                      <w:kern w:val="2"/>
                      <w:sz w:val="21"/>
                      <w:u w:val="none"/>
                      <w:lang w:val="en-US" w:eastAsia="zh-CN" w:bidi="ar-SA"/>
                    </w:rPr>
                  </w:pPr>
                  <w:r>
                    <w:rPr>
                      <w:rFonts w:hint="eastAsia" w:ascii="Times New Roman" w:hAnsi="Times New Roman" w:eastAsia="宋体" w:cs="Times New Roman"/>
                      <w:color w:val="auto"/>
                      <w:kern w:val="2"/>
                      <w:sz w:val="21"/>
                      <w:u w:val="none"/>
                      <w:lang w:val="en-US" w:eastAsia="zh-CN" w:bidi="ar-SA"/>
                    </w:rPr>
                    <w:t>5</w:t>
                  </w:r>
                </w:p>
              </w:tc>
              <w:tc>
                <w:tcPr>
                  <w:tcW w:w="1196" w:type="pct"/>
                  <w:noWrap w:val="0"/>
                  <w:tcMar>
                    <w:top w:w="15" w:type="dxa"/>
                    <w:left w:w="15" w:type="dxa"/>
                    <w:bottom w:w="0" w:type="dxa"/>
                    <w:right w:w="15" w:type="dxa"/>
                  </w:tcMar>
                  <w:vAlign w:val="center"/>
                </w:tcPr>
                <w:p w14:paraId="1ED718A9">
                  <w:pPr>
                    <w:widowControl w:val="0"/>
                    <w:numPr>
                      <w:ilvl w:val="0"/>
                      <w:numId w:val="0"/>
                    </w:numPr>
                    <w:adjustRightInd w:val="0"/>
                    <w:snapToGrid w:val="0"/>
                    <w:spacing w:line="240" w:lineRule="auto"/>
                    <w:ind w:firstLine="0" w:firstLineChars="0"/>
                    <w:jc w:val="center"/>
                    <w:rPr>
                      <w:rFonts w:hint="default" w:ascii="Times New Roman" w:hAnsi="Times New Roman" w:eastAsia="宋体" w:cs="Times New Roman"/>
                      <w:color w:val="auto"/>
                      <w:kern w:val="2"/>
                      <w:sz w:val="21"/>
                      <w:u w:val="none"/>
                      <w:lang w:val="en-US" w:eastAsia="zh-CN" w:bidi="ar-SA"/>
                    </w:rPr>
                  </w:pPr>
                  <w:r>
                    <w:rPr>
                      <w:rFonts w:hint="eastAsia" w:ascii="Times New Roman" w:hAnsi="Times New Roman" w:eastAsia="宋体" w:cs="Times New Roman"/>
                      <w:color w:val="auto"/>
                      <w:kern w:val="2"/>
                      <w:sz w:val="21"/>
                      <w:u w:val="none"/>
                      <w:lang w:val="en-US" w:eastAsia="zh-CN" w:bidi="ar-SA"/>
                    </w:rPr>
                    <w:t>洒水车</w:t>
                  </w:r>
                </w:p>
              </w:tc>
              <w:tc>
                <w:tcPr>
                  <w:tcW w:w="1701" w:type="pct"/>
                  <w:noWrap w:val="0"/>
                  <w:tcMar>
                    <w:top w:w="15" w:type="dxa"/>
                    <w:left w:w="15" w:type="dxa"/>
                    <w:bottom w:w="0" w:type="dxa"/>
                    <w:right w:w="15" w:type="dxa"/>
                  </w:tcMar>
                  <w:vAlign w:val="center"/>
                </w:tcPr>
                <w:p w14:paraId="593BB35C">
                  <w:pPr>
                    <w:widowControl w:val="0"/>
                    <w:numPr>
                      <w:ilvl w:val="0"/>
                      <w:numId w:val="0"/>
                    </w:numPr>
                    <w:adjustRightInd w:val="0"/>
                    <w:snapToGrid w:val="0"/>
                    <w:spacing w:line="240" w:lineRule="auto"/>
                    <w:ind w:firstLine="0" w:firstLineChars="0"/>
                    <w:jc w:val="center"/>
                    <w:rPr>
                      <w:rFonts w:hint="default" w:ascii="Times New Roman" w:hAnsi="Times New Roman" w:eastAsia="宋体" w:cs="Times New Roman"/>
                      <w:color w:val="auto"/>
                      <w:kern w:val="2"/>
                      <w:sz w:val="21"/>
                      <w:u w:val="none"/>
                      <w:lang w:val="en-US" w:eastAsia="zh-CN" w:bidi="ar-SA"/>
                    </w:rPr>
                  </w:pPr>
                  <w:r>
                    <w:rPr>
                      <w:rFonts w:hint="eastAsia" w:ascii="Times New Roman" w:hAnsi="Times New Roman" w:eastAsia="宋体" w:cs="Times New Roman"/>
                      <w:color w:val="auto"/>
                      <w:kern w:val="2"/>
                      <w:sz w:val="21"/>
                      <w:u w:val="none"/>
                      <w:lang w:val="en-US" w:eastAsia="zh-CN" w:bidi="ar-SA"/>
                    </w:rPr>
                    <w:t>10m</w:t>
                  </w:r>
                  <w:r>
                    <w:rPr>
                      <w:rFonts w:hint="eastAsia" w:ascii="Times New Roman" w:hAnsi="Times New Roman" w:eastAsia="宋体" w:cs="Times New Roman"/>
                      <w:color w:val="auto"/>
                      <w:kern w:val="2"/>
                      <w:sz w:val="21"/>
                      <w:u w:val="none"/>
                      <w:vertAlign w:val="superscript"/>
                      <w:lang w:val="en-US" w:eastAsia="zh-CN" w:bidi="ar-SA"/>
                    </w:rPr>
                    <w:t>3</w:t>
                  </w:r>
                </w:p>
              </w:tc>
              <w:tc>
                <w:tcPr>
                  <w:tcW w:w="1205" w:type="pct"/>
                  <w:noWrap w:val="0"/>
                  <w:tcMar>
                    <w:top w:w="15" w:type="dxa"/>
                    <w:left w:w="15" w:type="dxa"/>
                    <w:bottom w:w="0" w:type="dxa"/>
                    <w:right w:w="15" w:type="dxa"/>
                  </w:tcMar>
                  <w:vAlign w:val="center"/>
                </w:tcPr>
                <w:p w14:paraId="198E9ED6">
                  <w:pPr>
                    <w:widowControl w:val="0"/>
                    <w:numPr>
                      <w:ilvl w:val="0"/>
                      <w:numId w:val="0"/>
                    </w:numPr>
                    <w:adjustRightInd w:val="0"/>
                    <w:snapToGrid w:val="0"/>
                    <w:spacing w:line="240" w:lineRule="auto"/>
                    <w:ind w:firstLine="0" w:firstLineChars="0"/>
                    <w:jc w:val="center"/>
                    <w:rPr>
                      <w:rFonts w:hint="default" w:ascii="Times New Roman" w:hAnsi="Times New Roman" w:eastAsia="宋体" w:cs="Times New Roman"/>
                      <w:color w:val="auto"/>
                      <w:kern w:val="2"/>
                      <w:sz w:val="21"/>
                      <w:u w:val="none"/>
                      <w:lang w:val="en-US" w:eastAsia="zh-CN" w:bidi="ar-SA"/>
                    </w:rPr>
                  </w:pPr>
                  <w:r>
                    <w:rPr>
                      <w:rFonts w:hint="eastAsia" w:ascii="Times New Roman" w:hAnsi="Times New Roman" w:eastAsia="宋体" w:cs="Times New Roman"/>
                      <w:color w:val="auto"/>
                      <w:kern w:val="2"/>
                      <w:sz w:val="21"/>
                      <w:u w:val="none"/>
                      <w:lang w:val="en-US" w:eastAsia="zh-CN" w:bidi="ar-SA"/>
                    </w:rPr>
                    <w:t>1</w:t>
                  </w:r>
                </w:p>
              </w:tc>
            </w:tr>
          </w:tbl>
          <w:p w14:paraId="074C82BA">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b/>
                <w:bCs w:val="0"/>
                <w:color w:val="auto"/>
                <w:sz w:val="24"/>
                <w:szCs w:val="24"/>
                <w:lang w:val="en-US" w:eastAsia="zh-CN"/>
              </w:rPr>
            </w:pPr>
            <w:r>
              <w:rPr>
                <w:rFonts w:hint="eastAsia" w:ascii="Times New Roman" w:hAnsi="Times New Roman" w:cs="Times New Roman"/>
                <w:b/>
                <w:bCs w:val="0"/>
                <w:color w:val="auto"/>
                <w:sz w:val="24"/>
                <w:szCs w:val="24"/>
                <w:lang w:val="en-US" w:eastAsia="zh-CN"/>
              </w:rPr>
              <w:t>4 建筑垃圾中转量及入场要求</w:t>
            </w:r>
          </w:p>
          <w:p w14:paraId="005E6234">
            <w:pPr>
              <w:spacing w:line="360" w:lineRule="auto"/>
              <w:rPr>
                <w:rFonts w:hint="default" w:ascii="Times New Roman" w:hAnsi="Times New Roman" w:eastAsia="宋体" w:cs="Times New Roman"/>
                <w:b/>
                <w:bCs/>
                <w:color w:val="auto"/>
                <w:sz w:val="24"/>
                <w:szCs w:val="24"/>
                <w:highlight w:val="none"/>
                <w:u w:val="none"/>
                <w:lang w:val="en-US" w:eastAsia="zh-CN"/>
              </w:rPr>
            </w:pPr>
            <w:r>
              <w:rPr>
                <w:rFonts w:hint="eastAsia" w:ascii="Times New Roman" w:hAnsi="Times New Roman" w:eastAsia="宋体" w:cs="Times New Roman"/>
                <w:b/>
                <w:bCs/>
                <w:color w:val="auto"/>
                <w:sz w:val="24"/>
                <w:szCs w:val="24"/>
                <w:highlight w:val="none"/>
                <w:u w:val="none"/>
                <w:lang w:val="en-US" w:eastAsia="zh-CN"/>
              </w:rPr>
              <w:t>4.1 建筑垃圾年中转量</w:t>
            </w:r>
          </w:p>
          <w:p w14:paraId="1518A956">
            <w:pPr>
              <w:spacing w:line="360" w:lineRule="auto"/>
              <w:ind w:firstLine="480" w:firstLineChars="200"/>
              <w:rPr>
                <w:rFonts w:hint="eastAsia"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color w:val="auto"/>
                <w:sz w:val="24"/>
                <w:szCs w:val="24"/>
                <w:highlight w:val="none"/>
                <w:u w:val="none"/>
                <w:lang w:val="en-US" w:eastAsia="zh-CN"/>
              </w:rPr>
              <w:t>根据</w:t>
            </w:r>
            <w:r>
              <w:rPr>
                <w:rFonts w:hint="eastAsia" w:ascii="Times New Roman" w:hAnsi="Times New Roman" w:eastAsia="宋体" w:cs="Times New Roman"/>
                <w:color w:val="auto"/>
                <w:kern w:val="0"/>
                <w:sz w:val="24"/>
                <w:szCs w:val="24"/>
                <w:lang w:val="en-US" w:eastAsia="zh-CN"/>
              </w:rPr>
              <w:t>《</w:t>
            </w:r>
            <w:r>
              <w:rPr>
                <w:rFonts w:hint="eastAsia" w:cs="Times New Roman"/>
                <w:color w:val="auto"/>
                <w:kern w:val="0"/>
                <w:sz w:val="24"/>
                <w:szCs w:val="24"/>
                <w:lang w:val="en-US" w:eastAsia="zh-CN"/>
              </w:rPr>
              <w:t>昌吉市“一市两区”建筑垃圾污染环境防治工作规划（2025-2030年）</w:t>
            </w:r>
            <w:r>
              <w:rPr>
                <w:rFonts w:hint="eastAsia" w:ascii="Times New Roman" w:hAnsi="Times New Roman" w:eastAsia="宋体" w:cs="Times New Roman"/>
                <w:color w:val="auto"/>
                <w:kern w:val="0"/>
                <w:sz w:val="24"/>
                <w:szCs w:val="24"/>
                <w:lang w:val="en-US" w:eastAsia="zh-CN"/>
              </w:rPr>
              <w:t>》，</w:t>
            </w:r>
            <w:r>
              <w:rPr>
                <w:rFonts w:hint="eastAsia" w:cs="Times New Roman"/>
                <w:color w:val="auto"/>
                <w:kern w:val="0"/>
                <w:sz w:val="24"/>
                <w:szCs w:val="24"/>
                <w:lang w:val="en-US" w:eastAsia="zh-CN"/>
              </w:rPr>
              <w:t>2</w:t>
            </w:r>
            <w:r>
              <w:rPr>
                <w:rFonts w:hint="eastAsia" w:ascii="Times New Roman" w:hAnsi="Times New Roman" w:eastAsia="宋体" w:cs="Times New Roman"/>
                <w:color w:val="auto"/>
                <w:kern w:val="0"/>
                <w:sz w:val="24"/>
                <w:szCs w:val="24"/>
                <w:lang w:val="en-US" w:eastAsia="zh-CN"/>
              </w:rPr>
              <w:t>030年昌吉市合计建筑垃圾产生量35.57万t，其中工程渣土产生量2.74万t，工程垃圾产生量0.3万t，拆除垃圾产生量16.80万t，装修垃圾产生量15.73万t。</w:t>
            </w:r>
          </w:p>
          <w:p w14:paraId="49375B06">
            <w:pPr>
              <w:widowControl w:val="0"/>
              <w:numPr>
                <w:ilvl w:val="0"/>
                <w:numId w:val="0"/>
              </w:numPr>
              <w:adjustRightInd w:val="0"/>
              <w:snapToGrid w:val="0"/>
              <w:spacing w:line="240" w:lineRule="auto"/>
              <w:ind w:left="0" w:firstLine="0" w:firstLineChars="0"/>
              <w:jc w:val="center"/>
              <w:rPr>
                <w:rFonts w:ascii="Times New Roman" w:hAnsi="Times New Roman" w:eastAsia="宋体" w:cs="Times New Roman"/>
                <w:b/>
                <w:bCs/>
                <w:color w:val="auto"/>
                <w:kern w:val="2"/>
                <w:sz w:val="21"/>
                <w:szCs w:val="21"/>
                <w:u w:val="none"/>
                <w:lang w:val="en-US" w:eastAsia="zh-CN" w:bidi="ar-SA"/>
              </w:rPr>
            </w:pPr>
            <w:r>
              <w:rPr>
                <w:rFonts w:hint="eastAsia" w:ascii="Times New Roman" w:hAnsi="Times New Roman" w:eastAsia="宋体" w:cs="Times New Roman"/>
                <w:b/>
                <w:bCs/>
                <w:color w:val="auto"/>
                <w:kern w:val="2"/>
                <w:sz w:val="21"/>
                <w:szCs w:val="21"/>
                <w:u w:val="none"/>
                <w:lang w:val="en-US" w:eastAsia="zh-CN" w:bidi="ar-SA"/>
              </w:rPr>
              <w:t>表2-4   建筑垃圾中转情况</w:t>
            </w:r>
            <w:r>
              <w:rPr>
                <w:rFonts w:ascii="Times New Roman" w:hAnsi="Times New Roman" w:eastAsia="宋体" w:cs="Times New Roman"/>
                <w:b/>
                <w:bCs/>
                <w:color w:val="auto"/>
                <w:kern w:val="2"/>
                <w:sz w:val="21"/>
                <w:szCs w:val="21"/>
                <w:u w:val="none"/>
                <w:lang w:val="en-US" w:eastAsia="zh-CN" w:bidi="ar-SA"/>
              </w:rPr>
              <w:t>一览表</w:t>
            </w:r>
          </w:p>
          <w:tbl>
            <w:tblPr>
              <w:tblStyle w:val="27"/>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38"/>
              <w:gridCol w:w="1875"/>
              <w:gridCol w:w="2554"/>
              <w:gridCol w:w="2222"/>
            </w:tblGrid>
            <w:tr w14:paraId="29CC45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7" w:hRule="atLeast"/>
                <w:tblHeader/>
                <w:jc w:val="center"/>
              </w:trPr>
              <w:tc>
                <w:tcPr>
                  <w:tcW w:w="785" w:type="pct"/>
                  <w:tcBorders>
                    <w:bottom w:val="single" w:color="auto" w:sz="12" w:space="0"/>
                  </w:tcBorders>
                  <w:noWrap w:val="0"/>
                  <w:vAlign w:val="center"/>
                </w:tcPr>
                <w:p w14:paraId="5EF6716B">
                  <w:pPr>
                    <w:widowControl w:val="0"/>
                    <w:numPr>
                      <w:ilvl w:val="0"/>
                      <w:numId w:val="0"/>
                    </w:numPr>
                    <w:adjustRightInd w:val="0"/>
                    <w:snapToGrid w:val="0"/>
                    <w:spacing w:line="240" w:lineRule="auto"/>
                    <w:ind w:left="-105" w:leftChars="-50" w:right="-105" w:rightChars="-50" w:firstLine="0" w:firstLineChars="0"/>
                    <w:jc w:val="center"/>
                    <w:rPr>
                      <w:rFonts w:ascii="Times New Roman" w:hAnsi="Times New Roman" w:eastAsia="宋体" w:cs="Times New Roman"/>
                      <w:b/>
                      <w:bCs/>
                      <w:color w:val="auto"/>
                      <w:kern w:val="2"/>
                      <w:sz w:val="21"/>
                      <w:szCs w:val="21"/>
                      <w:u w:val="none"/>
                      <w:lang w:val="en-US" w:eastAsia="zh-CN" w:bidi="ar-SA"/>
                    </w:rPr>
                  </w:pPr>
                  <w:r>
                    <w:rPr>
                      <w:rFonts w:hint="eastAsia" w:ascii="Times New Roman" w:hAnsi="Times New Roman" w:eastAsia="宋体" w:cs="Times New Roman"/>
                      <w:b/>
                      <w:bCs/>
                      <w:color w:val="auto"/>
                      <w:kern w:val="2"/>
                      <w:sz w:val="21"/>
                      <w:szCs w:val="21"/>
                      <w:u w:val="none"/>
                      <w:lang w:val="en-US" w:eastAsia="zh-CN" w:bidi="ar-SA"/>
                    </w:rPr>
                    <w:t>名称</w:t>
                  </w:r>
                </w:p>
              </w:tc>
              <w:tc>
                <w:tcPr>
                  <w:tcW w:w="1188" w:type="pct"/>
                  <w:tcBorders>
                    <w:bottom w:val="single" w:color="auto" w:sz="12" w:space="0"/>
                  </w:tcBorders>
                  <w:noWrap w:val="0"/>
                  <w:vAlign w:val="center"/>
                </w:tcPr>
                <w:p w14:paraId="73702F17">
                  <w:pPr>
                    <w:widowControl w:val="0"/>
                    <w:numPr>
                      <w:ilvl w:val="0"/>
                      <w:numId w:val="0"/>
                    </w:numPr>
                    <w:adjustRightInd w:val="0"/>
                    <w:snapToGrid w:val="0"/>
                    <w:spacing w:line="240" w:lineRule="auto"/>
                    <w:ind w:left="-105" w:leftChars="-50" w:right="-105" w:rightChars="-50" w:firstLine="0" w:firstLineChars="0"/>
                    <w:jc w:val="center"/>
                    <w:rPr>
                      <w:rFonts w:hint="default" w:ascii="Times New Roman" w:hAnsi="Times New Roman" w:eastAsia="宋体" w:cs="Times New Roman"/>
                      <w:b/>
                      <w:bCs/>
                      <w:color w:val="auto"/>
                      <w:kern w:val="2"/>
                      <w:sz w:val="21"/>
                      <w:szCs w:val="21"/>
                      <w:u w:val="none"/>
                      <w:lang w:val="en-US" w:eastAsia="zh-CN" w:bidi="ar-SA"/>
                    </w:rPr>
                  </w:pPr>
                  <w:r>
                    <w:rPr>
                      <w:rFonts w:hint="eastAsia" w:ascii="Times New Roman" w:hAnsi="Times New Roman" w:eastAsia="宋体" w:cs="Times New Roman"/>
                      <w:b/>
                      <w:bCs/>
                      <w:color w:val="auto"/>
                      <w:kern w:val="2"/>
                      <w:sz w:val="21"/>
                      <w:szCs w:val="21"/>
                      <w:u w:val="none"/>
                      <w:lang w:val="en-US" w:eastAsia="zh-CN" w:bidi="ar-SA"/>
                    </w:rPr>
                    <w:t>分类</w:t>
                  </w:r>
                </w:p>
              </w:tc>
              <w:tc>
                <w:tcPr>
                  <w:tcW w:w="1618" w:type="pct"/>
                  <w:tcBorders>
                    <w:bottom w:val="single" w:color="auto" w:sz="12" w:space="0"/>
                  </w:tcBorders>
                  <w:noWrap w:val="0"/>
                  <w:vAlign w:val="center"/>
                </w:tcPr>
                <w:p w14:paraId="31172D58">
                  <w:pPr>
                    <w:widowControl w:val="0"/>
                    <w:numPr>
                      <w:ilvl w:val="0"/>
                      <w:numId w:val="0"/>
                    </w:numPr>
                    <w:adjustRightInd w:val="0"/>
                    <w:snapToGrid w:val="0"/>
                    <w:spacing w:line="240" w:lineRule="auto"/>
                    <w:ind w:left="-105" w:leftChars="-50" w:right="-105" w:rightChars="-50" w:firstLine="0" w:firstLineChars="0"/>
                    <w:jc w:val="center"/>
                    <w:rPr>
                      <w:rFonts w:ascii="Times New Roman" w:hAnsi="Times New Roman" w:eastAsia="宋体" w:cs="Times New Roman"/>
                      <w:b/>
                      <w:bCs/>
                      <w:color w:val="auto"/>
                      <w:kern w:val="2"/>
                      <w:sz w:val="21"/>
                      <w:szCs w:val="21"/>
                      <w:u w:val="none"/>
                      <w:lang w:val="en-US" w:eastAsia="zh-CN" w:bidi="ar-SA"/>
                    </w:rPr>
                  </w:pPr>
                  <w:r>
                    <w:rPr>
                      <w:rFonts w:hint="eastAsia" w:ascii="Times New Roman" w:hAnsi="Times New Roman" w:eastAsia="宋体" w:cs="Times New Roman"/>
                      <w:b/>
                      <w:bCs/>
                      <w:color w:val="auto"/>
                      <w:kern w:val="2"/>
                      <w:sz w:val="21"/>
                      <w:szCs w:val="21"/>
                      <w:u w:val="none"/>
                      <w:lang w:val="en-US" w:eastAsia="zh-CN" w:bidi="ar-SA"/>
                    </w:rPr>
                    <w:t>年中转量（万t/年）</w:t>
                  </w:r>
                </w:p>
              </w:tc>
              <w:tc>
                <w:tcPr>
                  <w:tcW w:w="1408" w:type="pct"/>
                  <w:tcBorders>
                    <w:bottom w:val="single" w:color="auto" w:sz="12" w:space="0"/>
                  </w:tcBorders>
                  <w:noWrap w:val="0"/>
                  <w:vAlign w:val="center"/>
                </w:tcPr>
                <w:p w14:paraId="0C126877">
                  <w:pPr>
                    <w:widowControl w:val="0"/>
                    <w:numPr>
                      <w:ilvl w:val="0"/>
                      <w:numId w:val="0"/>
                    </w:numPr>
                    <w:adjustRightInd w:val="0"/>
                    <w:snapToGrid w:val="0"/>
                    <w:spacing w:line="240" w:lineRule="auto"/>
                    <w:ind w:left="-105" w:leftChars="-50" w:right="-105" w:rightChars="-50" w:firstLine="0" w:firstLineChars="0"/>
                    <w:jc w:val="center"/>
                    <w:rPr>
                      <w:rFonts w:hint="default" w:ascii="Times New Roman" w:hAnsi="Times New Roman" w:eastAsia="宋体" w:cs="Times New Roman"/>
                      <w:b/>
                      <w:bCs/>
                      <w:color w:val="auto"/>
                      <w:kern w:val="2"/>
                      <w:sz w:val="21"/>
                      <w:szCs w:val="21"/>
                      <w:u w:val="none"/>
                      <w:lang w:val="en-US" w:eastAsia="zh-CN" w:bidi="ar-SA"/>
                    </w:rPr>
                  </w:pPr>
                  <w:r>
                    <w:rPr>
                      <w:rFonts w:hint="eastAsia" w:ascii="Times New Roman" w:hAnsi="Times New Roman" w:eastAsia="宋体" w:cs="Times New Roman"/>
                      <w:b/>
                      <w:bCs/>
                      <w:color w:val="auto"/>
                      <w:kern w:val="2"/>
                      <w:sz w:val="21"/>
                      <w:szCs w:val="21"/>
                      <w:u w:val="none"/>
                      <w:lang w:val="en-US" w:eastAsia="zh-CN" w:bidi="ar-SA"/>
                    </w:rPr>
                    <w:t>堆放区域</w:t>
                  </w:r>
                </w:p>
              </w:tc>
            </w:tr>
            <w:tr w14:paraId="1F09DC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785" w:type="pct"/>
                  <w:vMerge w:val="restart"/>
                  <w:tcBorders>
                    <w:top w:val="single" w:color="auto" w:sz="12" w:space="0"/>
                  </w:tcBorders>
                  <w:noWrap w:val="0"/>
                  <w:vAlign w:val="center"/>
                </w:tcPr>
                <w:p w14:paraId="5E2CA7EF">
                  <w:pPr>
                    <w:widowControl w:val="0"/>
                    <w:numPr>
                      <w:ilvl w:val="0"/>
                      <w:numId w:val="0"/>
                    </w:numPr>
                    <w:adjustRightInd w:val="0"/>
                    <w:snapToGrid w:val="0"/>
                    <w:spacing w:line="240" w:lineRule="auto"/>
                    <w:ind w:left="-105" w:leftChars="-50" w:right="-105" w:rightChars="-50" w:firstLine="0" w:firstLineChars="0"/>
                    <w:jc w:val="center"/>
                    <w:rPr>
                      <w:rFonts w:ascii="Times New Roman" w:hAnsi="Times New Roman" w:eastAsia="宋体" w:cs="Times New Roman"/>
                      <w:color w:val="auto"/>
                      <w:kern w:val="2"/>
                      <w:sz w:val="21"/>
                      <w:szCs w:val="21"/>
                      <w:u w:val="none"/>
                      <w:lang w:val="en-US" w:eastAsia="zh-CN" w:bidi="ar-SA"/>
                    </w:rPr>
                  </w:pPr>
                  <w:r>
                    <w:rPr>
                      <w:rFonts w:hint="eastAsia" w:ascii="Times New Roman" w:hAnsi="Times New Roman" w:eastAsia="宋体" w:cs="Times New Roman"/>
                      <w:color w:val="auto"/>
                      <w:kern w:val="2"/>
                      <w:sz w:val="21"/>
                      <w:szCs w:val="21"/>
                      <w:u w:val="none"/>
                      <w:lang w:val="en-US" w:eastAsia="zh-CN" w:bidi="ar-SA"/>
                    </w:rPr>
                    <w:t>建筑垃圾</w:t>
                  </w:r>
                </w:p>
              </w:tc>
              <w:tc>
                <w:tcPr>
                  <w:tcW w:w="1188" w:type="pct"/>
                  <w:tcBorders>
                    <w:top w:val="single" w:color="auto" w:sz="12" w:space="0"/>
                  </w:tcBorders>
                  <w:noWrap w:val="0"/>
                  <w:vAlign w:val="center"/>
                </w:tcPr>
                <w:p w14:paraId="2CF7EC6D">
                  <w:pPr>
                    <w:widowControl w:val="0"/>
                    <w:numPr>
                      <w:ilvl w:val="0"/>
                      <w:numId w:val="0"/>
                    </w:numPr>
                    <w:adjustRightInd w:val="0"/>
                    <w:snapToGrid w:val="0"/>
                    <w:spacing w:line="240" w:lineRule="auto"/>
                    <w:ind w:left="-105" w:leftChars="-50" w:right="-105" w:rightChars="-50" w:firstLine="0" w:firstLineChars="0"/>
                    <w:jc w:val="center"/>
                    <w:rPr>
                      <w:rFonts w:hint="default" w:ascii="Times New Roman" w:hAnsi="Times New Roman" w:eastAsia="宋体" w:cs="Times New Roman"/>
                      <w:color w:val="auto"/>
                      <w:kern w:val="2"/>
                      <w:sz w:val="21"/>
                      <w:szCs w:val="21"/>
                      <w:u w:val="none"/>
                      <w:lang w:val="en-US" w:eastAsia="zh-CN" w:bidi="ar-SA"/>
                    </w:rPr>
                  </w:pPr>
                  <w:r>
                    <w:rPr>
                      <w:rFonts w:hint="eastAsia" w:ascii="Times New Roman" w:hAnsi="Times New Roman" w:eastAsia="宋体" w:cs="Times New Roman"/>
                      <w:color w:val="auto"/>
                      <w:kern w:val="2"/>
                      <w:sz w:val="21"/>
                      <w:szCs w:val="21"/>
                      <w:u w:val="none"/>
                      <w:lang w:val="en-US" w:eastAsia="zh-CN" w:bidi="ar-SA"/>
                    </w:rPr>
                    <w:t>工程渣土</w:t>
                  </w:r>
                </w:p>
              </w:tc>
              <w:tc>
                <w:tcPr>
                  <w:tcW w:w="1618" w:type="pct"/>
                  <w:tcBorders>
                    <w:top w:val="single" w:color="auto" w:sz="12" w:space="0"/>
                  </w:tcBorders>
                  <w:noWrap w:val="0"/>
                  <w:vAlign w:val="center"/>
                </w:tcPr>
                <w:p w14:paraId="4A7732D0">
                  <w:pPr>
                    <w:widowControl/>
                    <w:jc w:val="center"/>
                    <w:rPr>
                      <w:rFonts w:hint="default" w:ascii="Times New Roman" w:hAnsi="Times New Roman" w:eastAsia="宋体" w:cs="Times New Roman"/>
                      <w:color w:val="auto"/>
                      <w:kern w:val="2"/>
                      <w:sz w:val="21"/>
                      <w:szCs w:val="21"/>
                      <w:u w:val="none"/>
                      <w:lang w:val="en-US" w:eastAsia="zh-CN" w:bidi="ar-SA"/>
                    </w:rPr>
                  </w:pPr>
                  <w:r>
                    <w:rPr>
                      <w:rFonts w:hint="default" w:ascii="Times New Roman" w:hAnsi="Times New Roman" w:eastAsia="宋体" w:cs="Times New Roman"/>
                      <w:color w:val="auto"/>
                      <w:kern w:val="0"/>
                      <w:sz w:val="21"/>
                      <w:szCs w:val="21"/>
                      <w:highlight w:val="none"/>
                      <w:lang w:val="en-US" w:eastAsia="zh-CN"/>
                    </w:rPr>
                    <w:t>2.74</w:t>
                  </w:r>
                </w:p>
              </w:tc>
              <w:tc>
                <w:tcPr>
                  <w:tcW w:w="1408" w:type="pct"/>
                  <w:tcBorders>
                    <w:top w:val="single" w:color="auto" w:sz="12" w:space="0"/>
                  </w:tcBorders>
                  <w:noWrap w:val="0"/>
                  <w:vAlign w:val="center"/>
                </w:tcPr>
                <w:p w14:paraId="23245D87">
                  <w:pPr>
                    <w:widowControl w:val="0"/>
                    <w:numPr>
                      <w:ilvl w:val="0"/>
                      <w:numId w:val="0"/>
                    </w:numPr>
                    <w:adjustRightInd w:val="0"/>
                    <w:snapToGrid w:val="0"/>
                    <w:spacing w:line="240" w:lineRule="auto"/>
                    <w:ind w:left="-105" w:leftChars="-50" w:right="-105" w:rightChars="-50" w:firstLine="0" w:firstLineChars="0"/>
                    <w:jc w:val="center"/>
                    <w:rPr>
                      <w:rFonts w:hint="default" w:ascii="Times New Roman" w:hAnsi="Times New Roman" w:eastAsia="宋体" w:cs="Times New Roman"/>
                      <w:color w:val="auto"/>
                      <w:kern w:val="2"/>
                      <w:sz w:val="21"/>
                      <w:szCs w:val="21"/>
                      <w:u w:val="none"/>
                      <w:lang w:val="en-US" w:eastAsia="zh-CN" w:bidi="ar-SA"/>
                    </w:rPr>
                  </w:pPr>
                  <w:r>
                    <w:rPr>
                      <w:rFonts w:hint="eastAsia" w:ascii="Times New Roman" w:hAnsi="Times New Roman" w:eastAsia="宋体" w:cs="Times New Roman"/>
                      <w:color w:val="auto"/>
                      <w:kern w:val="2"/>
                      <w:sz w:val="21"/>
                      <w:szCs w:val="21"/>
                      <w:u w:val="none"/>
                      <w:lang w:val="en-US" w:eastAsia="zh-CN" w:bidi="ar-SA"/>
                    </w:rPr>
                    <w:t>工程渣土区</w:t>
                  </w:r>
                </w:p>
              </w:tc>
            </w:tr>
            <w:tr w14:paraId="5AF36B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785" w:type="pct"/>
                  <w:vMerge w:val="continue"/>
                  <w:noWrap w:val="0"/>
                  <w:vAlign w:val="center"/>
                </w:tcPr>
                <w:p w14:paraId="5F03B210">
                  <w:pPr>
                    <w:widowControl w:val="0"/>
                    <w:numPr>
                      <w:ilvl w:val="0"/>
                      <w:numId w:val="0"/>
                    </w:numPr>
                    <w:adjustRightInd w:val="0"/>
                    <w:snapToGrid w:val="0"/>
                    <w:spacing w:line="240" w:lineRule="auto"/>
                    <w:ind w:left="-105" w:leftChars="-50" w:right="-105" w:rightChars="-50" w:firstLine="0" w:firstLineChars="0"/>
                    <w:jc w:val="center"/>
                    <w:rPr>
                      <w:rFonts w:hint="eastAsia" w:ascii="Times New Roman" w:hAnsi="Times New Roman" w:eastAsia="宋体" w:cs="Times New Roman"/>
                      <w:color w:val="auto"/>
                      <w:kern w:val="2"/>
                      <w:sz w:val="21"/>
                      <w:szCs w:val="21"/>
                      <w:u w:val="none"/>
                      <w:lang w:val="en-US" w:eastAsia="zh-CN" w:bidi="ar-SA"/>
                    </w:rPr>
                  </w:pPr>
                </w:p>
              </w:tc>
              <w:tc>
                <w:tcPr>
                  <w:tcW w:w="1188" w:type="pct"/>
                  <w:noWrap w:val="0"/>
                  <w:vAlign w:val="center"/>
                </w:tcPr>
                <w:p w14:paraId="14C0D673">
                  <w:pPr>
                    <w:widowControl w:val="0"/>
                    <w:numPr>
                      <w:ilvl w:val="0"/>
                      <w:numId w:val="0"/>
                    </w:numPr>
                    <w:adjustRightInd w:val="0"/>
                    <w:snapToGrid w:val="0"/>
                    <w:spacing w:line="240" w:lineRule="auto"/>
                    <w:ind w:left="-105" w:leftChars="-50" w:right="-105" w:rightChars="-50" w:firstLine="0" w:firstLineChars="0"/>
                    <w:jc w:val="center"/>
                    <w:rPr>
                      <w:rFonts w:hint="default" w:ascii="Times New Roman" w:hAnsi="Times New Roman" w:eastAsia="宋体" w:cs="Times New Roman"/>
                      <w:color w:val="auto"/>
                      <w:kern w:val="2"/>
                      <w:sz w:val="21"/>
                      <w:szCs w:val="21"/>
                      <w:u w:val="none"/>
                      <w:lang w:val="en-US" w:eastAsia="zh-CN" w:bidi="ar-SA"/>
                    </w:rPr>
                  </w:pPr>
                  <w:r>
                    <w:rPr>
                      <w:rFonts w:hint="eastAsia" w:ascii="Times New Roman" w:hAnsi="Times New Roman" w:eastAsia="宋体" w:cs="Times New Roman"/>
                      <w:color w:val="auto"/>
                      <w:kern w:val="2"/>
                      <w:sz w:val="21"/>
                      <w:szCs w:val="21"/>
                      <w:u w:val="none"/>
                      <w:lang w:val="en-US" w:eastAsia="zh-CN" w:bidi="ar-SA"/>
                    </w:rPr>
                    <w:t>拆除垃圾</w:t>
                  </w:r>
                </w:p>
              </w:tc>
              <w:tc>
                <w:tcPr>
                  <w:tcW w:w="1618" w:type="pct"/>
                  <w:noWrap w:val="0"/>
                  <w:vAlign w:val="center"/>
                </w:tcPr>
                <w:p w14:paraId="033EE1B2">
                  <w:pPr>
                    <w:widowControl/>
                    <w:jc w:val="center"/>
                    <w:rPr>
                      <w:rFonts w:hint="default" w:ascii="Times New Roman" w:hAnsi="Times New Roman" w:eastAsia="宋体" w:cs="Times New Roman"/>
                      <w:color w:val="auto"/>
                      <w:kern w:val="2"/>
                      <w:sz w:val="21"/>
                      <w:szCs w:val="21"/>
                      <w:u w:val="none"/>
                      <w:lang w:val="en-US" w:eastAsia="zh-CN" w:bidi="ar-SA"/>
                    </w:rPr>
                  </w:pPr>
                  <w:r>
                    <w:rPr>
                      <w:rFonts w:hint="default" w:ascii="Times New Roman" w:hAnsi="Times New Roman" w:eastAsia="宋体" w:cs="Times New Roman"/>
                      <w:color w:val="auto"/>
                      <w:kern w:val="0"/>
                      <w:sz w:val="21"/>
                      <w:szCs w:val="21"/>
                      <w:highlight w:val="none"/>
                      <w:lang w:val="en-US" w:eastAsia="zh-CN"/>
                    </w:rPr>
                    <w:t>0.30</w:t>
                  </w:r>
                </w:p>
              </w:tc>
              <w:tc>
                <w:tcPr>
                  <w:tcW w:w="1408" w:type="pct"/>
                  <w:noWrap w:val="0"/>
                  <w:vAlign w:val="center"/>
                </w:tcPr>
                <w:p w14:paraId="09D1CCA9">
                  <w:pPr>
                    <w:widowControl w:val="0"/>
                    <w:numPr>
                      <w:ilvl w:val="0"/>
                      <w:numId w:val="0"/>
                    </w:numPr>
                    <w:adjustRightInd w:val="0"/>
                    <w:snapToGrid w:val="0"/>
                    <w:spacing w:line="240" w:lineRule="auto"/>
                    <w:ind w:left="-105" w:leftChars="-50" w:right="-105" w:rightChars="-50" w:firstLine="0" w:firstLineChars="0"/>
                    <w:jc w:val="center"/>
                    <w:rPr>
                      <w:rFonts w:hint="eastAsia" w:ascii="Times New Roman" w:hAnsi="Times New Roman" w:eastAsia="宋体" w:cs="Times New Roman"/>
                      <w:color w:val="auto"/>
                      <w:kern w:val="2"/>
                      <w:sz w:val="21"/>
                      <w:szCs w:val="21"/>
                      <w:u w:val="none"/>
                      <w:lang w:val="en-US" w:eastAsia="zh-CN" w:bidi="ar-SA"/>
                    </w:rPr>
                  </w:pPr>
                  <w:r>
                    <w:rPr>
                      <w:rFonts w:hint="eastAsia" w:ascii="Times New Roman" w:hAnsi="Times New Roman" w:eastAsia="宋体" w:cs="Times New Roman"/>
                      <w:color w:val="auto"/>
                      <w:kern w:val="2"/>
                      <w:sz w:val="21"/>
                      <w:szCs w:val="21"/>
                      <w:u w:val="none"/>
                      <w:lang w:val="en-US" w:eastAsia="zh-CN" w:bidi="ar-SA"/>
                    </w:rPr>
                    <w:t>拆除垃圾区</w:t>
                  </w:r>
                </w:p>
              </w:tc>
            </w:tr>
            <w:tr w14:paraId="068377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1" w:hRule="atLeast"/>
                <w:jc w:val="center"/>
              </w:trPr>
              <w:tc>
                <w:tcPr>
                  <w:tcW w:w="785" w:type="pct"/>
                  <w:vMerge w:val="continue"/>
                  <w:noWrap w:val="0"/>
                  <w:vAlign w:val="center"/>
                </w:tcPr>
                <w:p w14:paraId="4B9C2A10">
                  <w:pPr>
                    <w:widowControl w:val="0"/>
                    <w:numPr>
                      <w:ilvl w:val="0"/>
                      <w:numId w:val="0"/>
                    </w:numPr>
                    <w:adjustRightInd w:val="0"/>
                    <w:snapToGrid w:val="0"/>
                    <w:spacing w:line="240" w:lineRule="auto"/>
                    <w:ind w:left="-105" w:leftChars="-50" w:right="-105" w:rightChars="-50" w:firstLine="0" w:firstLineChars="0"/>
                    <w:jc w:val="center"/>
                    <w:rPr>
                      <w:rFonts w:hint="eastAsia" w:ascii="Times New Roman" w:hAnsi="Times New Roman" w:eastAsia="宋体" w:cs="Times New Roman"/>
                      <w:color w:val="auto"/>
                      <w:kern w:val="2"/>
                      <w:sz w:val="21"/>
                      <w:szCs w:val="21"/>
                      <w:u w:val="none"/>
                      <w:lang w:val="en-US" w:eastAsia="zh-CN" w:bidi="ar-SA"/>
                    </w:rPr>
                  </w:pPr>
                </w:p>
              </w:tc>
              <w:tc>
                <w:tcPr>
                  <w:tcW w:w="1188" w:type="pct"/>
                  <w:noWrap w:val="0"/>
                  <w:vAlign w:val="center"/>
                </w:tcPr>
                <w:p w14:paraId="12500573">
                  <w:pPr>
                    <w:widowControl w:val="0"/>
                    <w:numPr>
                      <w:ilvl w:val="0"/>
                      <w:numId w:val="0"/>
                    </w:numPr>
                    <w:adjustRightInd w:val="0"/>
                    <w:snapToGrid w:val="0"/>
                    <w:spacing w:line="240" w:lineRule="auto"/>
                    <w:ind w:left="-105" w:leftChars="-50" w:right="-105" w:rightChars="-50" w:firstLine="0" w:firstLineChars="0"/>
                    <w:jc w:val="center"/>
                    <w:rPr>
                      <w:rFonts w:hint="default" w:ascii="Times New Roman" w:hAnsi="Times New Roman" w:eastAsia="宋体" w:cs="Times New Roman"/>
                      <w:color w:val="auto"/>
                      <w:kern w:val="2"/>
                      <w:sz w:val="21"/>
                      <w:szCs w:val="21"/>
                      <w:u w:val="none"/>
                      <w:lang w:val="en-US" w:eastAsia="zh-CN" w:bidi="ar-SA"/>
                    </w:rPr>
                  </w:pPr>
                  <w:r>
                    <w:rPr>
                      <w:rFonts w:hint="eastAsia" w:ascii="Times New Roman" w:hAnsi="Times New Roman" w:eastAsia="宋体" w:cs="Times New Roman"/>
                      <w:color w:val="auto"/>
                      <w:kern w:val="2"/>
                      <w:sz w:val="21"/>
                      <w:szCs w:val="21"/>
                      <w:u w:val="none"/>
                      <w:lang w:val="en-US" w:eastAsia="zh-CN" w:bidi="ar-SA"/>
                    </w:rPr>
                    <w:t>工程垃圾</w:t>
                  </w:r>
                </w:p>
              </w:tc>
              <w:tc>
                <w:tcPr>
                  <w:tcW w:w="1618" w:type="pct"/>
                  <w:noWrap w:val="0"/>
                  <w:vAlign w:val="center"/>
                </w:tcPr>
                <w:p w14:paraId="236AB6C4">
                  <w:pPr>
                    <w:widowControl/>
                    <w:jc w:val="center"/>
                    <w:rPr>
                      <w:rFonts w:hint="default" w:ascii="Times New Roman" w:hAnsi="Times New Roman" w:eastAsia="宋体" w:cs="Times New Roman"/>
                      <w:color w:val="auto"/>
                      <w:kern w:val="2"/>
                      <w:sz w:val="21"/>
                      <w:szCs w:val="21"/>
                      <w:u w:val="none"/>
                      <w:lang w:val="en-US" w:eastAsia="zh-CN" w:bidi="ar-SA"/>
                    </w:rPr>
                  </w:pPr>
                  <w:r>
                    <w:rPr>
                      <w:rFonts w:hint="default" w:ascii="Times New Roman" w:hAnsi="Times New Roman" w:eastAsia="宋体" w:cs="Times New Roman"/>
                      <w:color w:val="auto"/>
                      <w:kern w:val="0"/>
                      <w:sz w:val="21"/>
                      <w:szCs w:val="21"/>
                      <w:highlight w:val="none"/>
                      <w:lang w:val="en-US" w:eastAsia="zh-CN"/>
                    </w:rPr>
                    <w:t>16.80</w:t>
                  </w:r>
                </w:p>
              </w:tc>
              <w:tc>
                <w:tcPr>
                  <w:tcW w:w="1408" w:type="pct"/>
                  <w:noWrap w:val="0"/>
                  <w:vAlign w:val="center"/>
                </w:tcPr>
                <w:p w14:paraId="0D1BFA9D">
                  <w:pPr>
                    <w:widowControl w:val="0"/>
                    <w:numPr>
                      <w:ilvl w:val="0"/>
                      <w:numId w:val="0"/>
                    </w:numPr>
                    <w:adjustRightInd w:val="0"/>
                    <w:snapToGrid w:val="0"/>
                    <w:spacing w:line="240" w:lineRule="auto"/>
                    <w:ind w:left="-105" w:leftChars="-50" w:right="-105" w:rightChars="-50" w:firstLine="0" w:firstLineChars="0"/>
                    <w:jc w:val="center"/>
                    <w:rPr>
                      <w:rFonts w:hint="eastAsia" w:ascii="Times New Roman" w:hAnsi="Times New Roman" w:eastAsia="宋体" w:cs="Times New Roman"/>
                      <w:color w:val="auto"/>
                      <w:kern w:val="2"/>
                      <w:sz w:val="21"/>
                      <w:szCs w:val="21"/>
                      <w:u w:val="none"/>
                      <w:lang w:val="en-US" w:eastAsia="zh-CN" w:bidi="ar-SA"/>
                    </w:rPr>
                  </w:pPr>
                  <w:r>
                    <w:rPr>
                      <w:rFonts w:hint="eastAsia" w:ascii="Times New Roman" w:hAnsi="Times New Roman" w:eastAsia="宋体" w:cs="Times New Roman"/>
                      <w:color w:val="auto"/>
                      <w:kern w:val="2"/>
                      <w:sz w:val="21"/>
                      <w:szCs w:val="21"/>
                      <w:u w:val="none"/>
                      <w:lang w:val="en-US" w:eastAsia="zh-CN" w:bidi="ar-SA"/>
                    </w:rPr>
                    <w:t>工程垃圾区</w:t>
                  </w:r>
                </w:p>
              </w:tc>
            </w:tr>
            <w:tr w14:paraId="42079A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785" w:type="pct"/>
                  <w:vMerge w:val="continue"/>
                  <w:noWrap w:val="0"/>
                  <w:vAlign w:val="center"/>
                </w:tcPr>
                <w:p w14:paraId="4C48598E">
                  <w:pPr>
                    <w:widowControl w:val="0"/>
                    <w:numPr>
                      <w:ilvl w:val="0"/>
                      <w:numId w:val="0"/>
                    </w:numPr>
                    <w:adjustRightInd w:val="0"/>
                    <w:snapToGrid w:val="0"/>
                    <w:spacing w:line="240" w:lineRule="auto"/>
                    <w:ind w:left="-105" w:leftChars="-50" w:right="-105" w:rightChars="-50" w:firstLine="0" w:firstLineChars="0"/>
                    <w:jc w:val="center"/>
                    <w:rPr>
                      <w:rFonts w:hint="eastAsia" w:ascii="Times New Roman" w:hAnsi="Times New Roman" w:eastAsia="宋体" w:cs="Times New Roman"/>
                      <w:color w:val="auto"/>
                      <w:kern w:val="2"/>
                      <w:sz w:val="21"/>
                      <w:szCs w:val="21"/>
                      <w:u w:val="none"/>
                      <w:lang w:val="en-US" w:eastAsia="zh-CN" w:bidi="ar-SA"/>
                    </w:rPr>
                  </w:pPr>
                </w:p>
              </w:tc>
              <w:tc>
                <w:tcPr>
                  <w:tcW w:w="1188" w:type="pct"/>
                  <w:noWrap w:val="0"/>
                  <w:vAlign w:val="center"/>
                </w:tcPr>
                <w:p w14:paraId="72095E6F">
                  <w:pPr>
                    <w:widowControl w:val="0"/>
                    <w:numPr>
                      <w:ilvl w:val="0"/>
                      <w:numId w:val="0"/>
                    </w:numPr>
                    <w:adjustRightInd w:val="0"/>
                    <w:snapToGrid w:val="0"/>
                    <w:spacing w:line="240" w:lineRule="auto"/>
                    <w:ind w:left="-105" w:leftChars="-50" w:right="-105" w:rightChars="-50" w:firstLine="0" w:firstLineChars="0"/>
                    <w:jc w:val="center"/>
                    <w:rPr>
                      <w:rFonts w:hint="default" w:ascii="Times New Roman" w:hAnsi="Times New Roman" w:eastAsia="宋体" w:cs="Times New Roman"/>
                      <w:color w:val="auto"/>
                      <w:kern w:val="2"/>
                      <w:sz w:val="21"/>
                      <w:szCs w:val="21"/>
                      <w:u w:val="none"/>
                      <w:lang w:val="en-US" w:eastAsia="zh-CN" w:bidi="ar-SA"/>
                    </w:rPr>
                  </w:pPr>
                  <w:r>
                    <w:rPr>
                      <w:rFonts w:hint="eastAsia" w:ascii="Times New Roman" w:hAnsi="Times New Roman" w:eastAsia="宋体" w:cs="Times New Roman"/>
                      <w:color w:val="auto"/>
                      <w:kern w:val="2"/>
                      <w:sz w:val="21"/>
                      <w:szCs w:val="21"/>
                      <w:u w:val="none"/>
                      <w:lang w:val="en-US" w:eastAsia="zh-CN" w:bidi="ar-SA"/>
                    </w:rPr>
                    <w:t>装修垃圾</w:t>
                  </w:r>
                </w:p>
              </w:tc>
              <w:tc>
                <w:tcPr>
                  <w:tcW w:w="1618" w:type="pct"/>
                  <w:noWrap w:val="0"/>
                  <w:vAlign w:val="center"/>
                </w:tcPr>
                <w:p w14:paraId="09C06694">
                  <w:pPr>
                    <w:widowControl/>
                    <w:jc w:val="center"/>
                    <w:rPr>
                      <w:rFonts w:hint="default" w:ascii="Times New Roman" w:hAnsi="Times New Roman" w:eastAsia="宋体" w:cs="Times New Roman"/>
                      <w:color w:val="auto"/>
                      <w:kern w:val="2"/>
                      <w:sz w:val="21"/>
                      <w:szCs w:val="21"/>
                      <w:u w:val="none"/>
                      <w:lang w:val="en-US" w:eastAsia="zh-CN" w:bidi="ar-SA"/>
                    </w:rPr>
                  </w:pPr>
                  <w:r>
                    <w:rPr>
                      <w:rFonts w:hint="default" w:ascii="Times New Roman" w:hAnsi="Times New Roman" w:eastAsia="宋体" w:cs="Times New Roman"/>
                      <w:color w:val="auto"/>
                      <w:kern w:val="0"/>
                      <w:sz w:val="21"/>
                      <w:szCs w:val="21"/>
                      <w:highlight w:val="none"/>
                      <w:lang w:val="en-US" w:eastAsia="zh-CN"/>
                    </w:rPr>
                    <w:t>15.73</w:t>
                  </w:r>
                </w:p>
              </w:tc>
              <w:tc>
                <w:tcPr>
                  <w:tcW w:w="1408" w:type="pct"/>
                  <w:noWrap w:val="0"/>
                  <w:vAlign w:val="center"/>
                </w:tcPr>
                <w:p w14:paraId="3CB592D9">
                  <w:pPr>
                    <w:widowControl w:val="0"/>
                    <w:numPr>
                      <w:ilvl w:val="0"/>
                      <w:numId w:val="0"/>
                    </w:numPr>
                    <w:adjustRightInd w:val="0"/>
                    <w:snapToGrid w:val="0"/>
                    <w:spacing w:line="240" w:lineRule="auto"/>
                    <w:ind w:left="-105" w:leftChars="-50" w:right="-105" w:rightChars="-50" w:firstLine="0" w:firstLineChars="0"/>
                    <w:jc w:val="center"/>
                    <w:rPr>
                      <w:rFonts w:hint="eastAsia" w:ascii="Times New Roman" w:hAnsi="Times New Roman" w:eastAsia="宋体" w:cs="Times New Roman"/>
                      <w:color w:val="auto"/>
                      <w:kern w:val="2"/>
                      <w:sz w:val="21"/>
                      <w:szCs w:val="21"/>
                      <w:u w:val="none"/>
                      <w:lang w:val="en-US" w:eastAsia="zh-CN" w:bidi="ar-SA"/>
                    </w:rPr>
                  </w:pPr>
                  <w:r>
                    <w:rPr>
                      <w:rFonts w:hint="eastAsia" w:ascii="Times New Roman" w:hAnsi="Times New Roman" w:eastAsia="宋体" w:cs="Times New Roman"/>
                      <w:color w:val="auto"/>
                      <w:kern w:val="2"/>
                      <w:sz w:val="21"/>
                      <w:szCs w:val="21"/>
                      <w:u w:val="none"/>
                      <w:lang w:val="en-US" w:eastAsia="zh-CN" w:bidi="ar-SA"/>
                    </w:rPr>
                    <w:t>装修垃圾区</w:t>
                  </w:r>
                </w:p>
              </w:tc>
            </w:tr>
            <w:tr w14:paraId="7F7225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8" w:hRule="atLeast"/>
                <w:jc w:val="center"/>
              </w:trPr>
              <w:tc>
                <w:tcPr>
                  <w:tcW w:w="1973" w:type="pct"/>
                  <w:gridSpan w:val="2"/>
                  <w:noWrap w:val="0"/>
                  <w:vAlign w:val="center"/>
                </w:tcPr>
                <w:p w14:paraId="530C6864">
                  <w:pPr>
                    <w:widowControl w:val="0"/>
                    <w:numPr>
                      <w:ilvl w:val="0"/>
                      <w:numId w:val="0"/>
                    </w:numPr>
                    <w:adjustRightInd w:val="0"/>
                    <w:snapToGrid w:val="0"/>
                    <w:spacing w:line="240" w:lineRule="auto"/>
                    <w:ind w:left="-105" w:leftChars="-50" w:right="-105" w:rightChars="-50" w:firstLine="0" w:firstLineChars="0"/>
                    <w:jc w:val="center"/>
                    <w:rPr>
                      <w:rFonts w:hint="default" w:ascii="Times New Roman" w:hAnsi="Times New Roman" w:eastAsia="宋体" w:cs="Times New Roman"/>
                      <w:color w:val="auto"/>
                      <w:kern w:val="2"/>
                      <w:sz w:val="21"/>
                      <w:szCs w:val="21"/>
                      <w:u w:val="none"/>
                      <w:lang w:val="en-US" w:eastAsia="zh-CN" w:bidi="ar-SA"/>
                    </w:rPr>
                  </w:pPr>
                  <w:r>
                    <w:rPr>
                      <w:rFonts w:hint="eastAsia" w:ascii="Times New Roman" w:hAnsi="Times New Roman" w:eastAsia="宋体" w:cs="Times New Roman"/>
                      <w:color w:val="auto"/>
                      <w:kern w:val="2"/>
                      <w:sz w:val="21"/>
                      <w:szCs w:val="21"/>
                      <w:u w:val="none"/>
                      <w:lang w:val="en-US" w:eastAsia="zh-CN" w:bidi="ar-SA"/>
                    </w:rPr>
                    <w:t>年中转总量（万t/年）</w:t>
                  </w:r>
                </w:p>
              </w:tc>
              <w:tc>
                <w:tcPr>
                  <w:tcW w:w="1618" w:type="pct"/>
                  <w:noWrap w:val="0"/>
                  <w:vAlign w:val="center"/>
                </w:tcPr>
                <w:p w14:paraId="3E3691FB">
                  <w:pPr>
                    <w:widowControl/>
                    <w:jc w:val="center"/>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lang w:val="en-US" w:eastAsia="zh-CN"/>
                    </w:rPr>
                    <w:t>35.57</w:t>
                  </w:r>
                </w:p>
              </w:tc>
              <w:tc>
                <w:tcPr>
                  <w:tcW w:w="1408" w:type="pct"/>
                  <w:noWrap w:val="0"/>
                  <w:vAlign w:val="center"/>
                </w:tcPr>
                <w:p w14:paraId="43A2A4A9">
                  <w:pPr>
                    <w:widowControl w:val="0"/>
                    <w:numPr>
                      <w:ilvl w:val="0"/>
                      <w:numId w:val="0"/>
                    </w:numPr>
                    <w:adjustRightInd w:val="0"/>
                    <w:snapToGrid w:val="0"/>
                    <w:spacing w:line="240" w:lineRule="auto"/>
                    <w:ind w:left="-105" w:leftChars="-50" w:right="-105" w:rightChars="-50" w:firstLine="0" w:firstLineChars="0"/>
                    <w:jc w:val="center"/>
                    <w:rPr>
                      <w:rFonts w:hint="default" w:ascii="Times New Roman" w:hAnsi="Times New Roman" w:eastAsia="宋体" w:cs="Times New Roman"/>
                      <w:color w:val="auto"/>
                      <w:kern w:val="2"/>
                      <w:sz w:val="21"/>
                      <w:szCs w:val="21"/>
                      <w:u w:val="none"/>
                      <w:lang w:val="en-US" w:eastAsia="zh-CN" w:bidi="ar-SA"/>
                    </w:rPr>
                  </w:pPr>
                  <w:r>
                    <w:rPr>
                      <w:rFonts w:hint="eastAsia" w:cs="Times New Roman"/>
                      <w:color w:val="auto"/>
                      <w:kern w:val="2"/>
                      <w:sz w:val="21"/>
                      <w:szCs w:val="21"/>
                      <w:u w:val="none"/>
                      <w:lang w:val="en-US" w:eastAsia="zh-CN" w:bidi="ar-SA"/>
                    </w:rPr>
                    <w:t>/</w:t>
                  </w:r>
                </w:p>
              </w:tc>
            </w:tr>
          </w:tbl>
          <w:p w14:paraId="6812D2FF">
            <w:pPr>
              <w:spacing w:line="360" w:lineRule="auto"/>
              <w:ind w:firstLine="480" w:firstLineChars="200"/>
              <w:rPr>
                <w:rFonts w:hint="eastAsia" w:ascii="Times New Roman" w:hAnsi="Times New Roman" w:eastAsia="宋体" w:cs="Times New Roman"/>
                <w:b/>
                <w:bCs/>
                <w:color w:val="auto"/>
                <w:kern w:val="2"/>
                <w:sz w:val="21"/>
                <w:szCs w:val="21"/>
                <w:u w:val="none"/>
                <w:lang w:val="en-US" w:eastAsia="zh-CN" w:bidi="ar-SA"/>
              </w:rPr>
            </w:pPr>
            <w:r>
              <w:rPr>
                <w:rFonts w:hint="eastAsia" w:ascii="Times New Roman" w:hAnsi="Times New Roman" w:eastAsia="宋体" w:cs="Times New Roman"/>
                <w:color w:val="auto"/>
                <w:kern w:val="0"/>
                <w:sz w:val="24"/>
                <w:szCs w:val="22"/>
                <w:highlight w:val="none"/>
                <w:lang w:val="en-US" w:eastAsia="zh-CN"/>
              </w:rPr>
              <w:t>本项目</w:t>
            </w:r>
            <w:r>
              <w:rPr>
                <w:rFonts w:hint="eastAsia" w:ascii="Times New Roman" w:hAnsi="Times New Roman" w:eastAsia="宋体" w:cs="Times New Roman"/>
                <w:color w:val="auto"/>
                <w:sz w:val="24"/>
                <w:szCs w:val="24"/>
                <w:highlight w:val="none"/>
                <w:u w:val="none"/>
                <w:lang w:val="en-US" w:eastAsia="zh-CN"/>
              </w:rPr>
              <w:t>物料堆放高度3.0m，单次可堆放建筑垃圾17000m³（23800t）；项目年运营300天，若实现年中转建筑垃圾</w:t>
            </w:r>
            <w:r>
              <w:rPr>
                <w:rFonts w:hint="eastAsia" w:cs="Times New Roman"/>
                <w:color w:val="auto"/>
                <w:sz w:val="24"/>
                <w:szCs w:val="24"/>
                <w:highlight w:val="none"/>
                <w:u w:val="none"/>
                <w:lang w:val="en-US" w:eastAsia="zh-CN"/>
              </w:rPr>
              <w:t>35.57</w:t>
            </w:r>
            <w:r>
              <w:rPr>
                <w:rFonts w:hint="eastAsia" w:ascii="Times New Roman" w:hAnsi="Times New Roman" w:eastAsia="宋体" w:cs="Times New Roman"/>
                <w:color w:val="auto"/>
                <w:sz w:val="24"/>
                <w:szCs w:val="24"/>
                <w:highlight w:val="none"/>
                <w:u w:val="none"/>
                <w:lang w:val="en-US" w:eastAsia="zh-CN"/>
              </w:rPr>
              <w:t>万吨，需年周转</w:t>
            </w:r>
            <w:r>
              <w:rPr>
                <w:rFonts w:hint="eastAsia" w:cs="Times New Roman"/>
                <w:color w:val="auto"/>
                <w:sz w:val="24"/>
                <w:szCs w:val="24"/>
                <w:highlight w:val="none"/>
                <w:u w:val="none"/>
                <w:lang w:val="en-US" w:eastAsia="zh-CN"/>
              </w:rPr>
              <w:t>7.75</w:t>
            </w:r>
            <w:r>
              <w:rPr>
                <w:rFonts w:hint="eastAsia" w:ascii="Times New Roman" w:hAnsi="Times New Roman" w:eastAsia="宋体" w:cs="Times New Roman"/>
                <w:color w:val="auto"/>
                <w:sz w:val="24"/>
                <w:szCs w:val="24"/>
                <w:highlight w:val="none"/>
                <w:u w:val="none"/>
                <w:lang w:val="en-US" w:eastAsia="zh-CN"/>
              </w:rPr>
              <w:t>次，单次物料堆放周期约</w:t>
            </w:r>
            <w:r>
              <w:rPr>
                <w:rFonts w:hint="eastAsia" w:cs="Times New Roman"/>
                <w:color w:val="auto"/>
                <w:sz w:val="24"/>
                <w:szCs w:val="24"/>
                <w:highlight w:val="none"/>
                <w:u w:val="none"/>
                <w:lang w:val="en-US" w:eastAsia="zh-CN"/>
              </w:rPr>
              <w:t>47</w:t>
            </w:r>
            <w:r>
              <w:rPr>
                <w:rFonts w:hint="eastAsia" w:ascii="Times New Roman" w:hAnsi="Times New Roman" w:eastAsia="宋体" w:cs="Times New Roman"/>
                <w:color w:val="auto"/>
                <w:sz w:val="24"/>
                <w:szCs w:val="24"/>
                <w:highlight w:val="none"/>
                <w:u w:val="none"/>
                <w:lang w:val="en-US" w:eastAsia="zh-CN"/>
              </w:rPr>
              <w:t>天，核算结果可满足</w:t>
            </w:r>
            <w:r>
              <w:rPr>
                <w:rFonts w:hint="eastAsia" w:cs="Times New Roman"/>
                <w:color w:val="auto"/>
                <w:sz w:val="24"/>
                <w:szCs w:val="24"/>
                <w:highlight w:val="none"/>
                <w:u w:val="none"/>
                <w:lang w:val="en-US" w:eastAsia="zh-CN"/>
              </w:rPr>
              <w:t>35.57</w:t>
            </w:r>
            <w:r>
              <w:rPr>
                <w:rFonts w:hint="eastAsia" w:ascii="Times New Roman" w:hAnsi="Times New Roman" w:eastAsia="宋体" w:cs="Times New Roman"/>
                <w:color w:val="auto"/>
                <w:sz w:val="24"/>
                <w:szCs w:val="24"/>
                <w:highlight w:val="none"/>
                <w:u w:val="none"/>
                <w:lang w:val="en-US" w:eastAsia="zh-CN"/>
              </w:rPr>
              <w:t>万吨/年的中转规模要求。</w:t>
            </w:r>
          </w:p>
          <w:p w14:paraId="0285C6CE">
            <w:pPr>
              <w:adjustRightInd w:val="0"/>
              <w:snapToGrid w:val="0"/>
              <w:spacing w:line="360" w:lineRule="auto"/>
              <w:ind w:firstLine="480" w:firstLineChars="200"/>
              <w:rPr>
                <w:rFonts w:hint="default" w:ascii="Times New Roman" w:hAnsi="Times New Roman" w:eastAsia="宋体" w:cs="Times New Roman"/>
                <w:b w:val="0"/>
                <w:bCs w:val="0"/>
                <w:color w:val="auto"/>
                <w:kern w:val="0"/>
                <w:sz w:val="24"/>
                <w:szCs w:val="22"/>
                <w:highlight w:val="none"/>
                <w:lang w:val="en-US" w:eastAsia="zh-CN"/>
              </w:rPr>
            </w:pPr>
            <w:r>
              <w:rPr>
                <w:rFonts w:hint="default" w:ascii="Times New Roman" w:hAnsi="Times New Roman" w:eastAsia="宋体" w:cs="Times New Roman"/>
                <w:b w:val="0"/>
                <w:bCs w:val="0"/>
                <w:color w:val="auto"/>
                <w:kern w:val="0"/>
                <w:sz w:val="24"/>
                <w:szCs w:val="22"/>
                <w:highlight w:val="none"/>
                <w:lang w:val="en-US" w:eastAsia="zh-CN"/>
              </w:rPr>
              <w:t>建筑垃圾包括工程渣土、拆除垃圾、工程垃圾和装修垃圾等，</w:t>
            </w:r>
            <w:r>
              <w:rPr>
                <w:rFonts w:hint="default" w:ascii="Times New Roman" w:hAnsi="Times New Roman" w:eastAsia="宋体" w:cs="Times New Roman"/>
                <w:b w:val="0"/>
                <w:bCs w:val="0"/>
                <w:color w:val="auto"/>
                <w:sz w:val="24"/>
                <w:szCs w:val="24"/>
              </w:rPr>
              <w:t>建筑垃圾包含工程渣土、工程垃圾、拆除垃圾和装修垃圾四类，依据《建筑垃圾处理技术标准》（CJJ/T134</w:t>
            </w:r>
            <w:r>
              <w:rPr>
                <w:rFonts w:hint="default" w:ascii="Times New Roman" w:hAnsi="Times New Roman" w:eastAsia="宋体" w:cs="Times New Roman"/>
                <w:b w:val="0"/>
                <w:bCs w:val="0"/>
                <w:color w:val="auto"/>
                <w:sz w:val="24"/>
                <w:szCs w:val="24"/>
              </w:rPr>
              <w:noBreakHyphen/>
            </w:r>
            <w:r>
              <w:rPr>
                <w:rFonts w:hint="default" w:ascii="Times New Roman" w:hAnsi="Times New Roman" w:eastAsia="宋体" w:cs="Times New Roman"/>
                <w:b w:val="0"/>
                <w:bCs w:val="0"/>
                <w:color w:val="auto"/>
                <w:sz w:val="24"/>
                <w:szCs w:val="24"/>
              </w:rPr>
              <w:t>2019）对两类固废来源的明确定义：</w:t>
            </w:r>
            <w:r>
              <w:rPr>
                <w:rStyle w:val="30"/>
                <w:rFonts w:hint="default" w:ascii="Times New Roman" w:hAnsi="Times New Roman" w:eastAsia="宋体" w:cs="Times New Roman"/>
                <w:b w:val="0"/>
                <w:bCs w:val="0"/>
                <w:color w:val="auto"/>
                <w:sz w:val="24"/>
                <w:szCs w:val="24"/>
              </w:rPr>
              <w:t>工程垃圾为工程建设施工过程产生的弃料，拆除垃圾为建（构）筑物拆除过程产生的弃料</w:t>
            </w:r>
            <w:r>
              <w:rPr>
                <w:rFonts w:hint="default" w:ascii="Times New Roman" w:hAnsi="Times New Roman" w:eastAsia="宋体" w:cs="Times New Roman"/>
                <w:b w:val="0"/>
                <w:bCs w:val="0"/>
                <w:color w:val="auto"/>
                <w:sz w:val="24"/>
                <w:szCs w:val="24"/>
              </w:rPr>
              <w:t>；同时按照《建筑垃圾污染控制技术规范》（HJ1462</w:t>
            </w:r>
            <w:r>
              <w:rPr>
                <w:rFonts w:hint="default" w:ascii="Times New Roman" w:hAnsi="Times New Roman" w:eastAsia="宋体" w:cs="Times New Roman"/>
                <w:b w:val="0"/>
                <w:bCs w:val="0"/>
                <w:color w:val="auto"/>
                <w:sz w:val="24"/>
                <w:szCs w:val="24"/>
              </w:rPr>
              <w:noBreakHyphen/>
            </w:r>
            <w:r>
              <w:rPr>
                <w:rFonts w:hint="default" w:ascii="Times New Roman" w:hAnsi="Times New Roman" w:eastAsia="宋体" w:cs="Times New Roman"/>
                <w:b w:val="0"/>
                <w:bCs w:val="0"/>
                <w:color w:val="auto"/>
                <w:sz w:val="24"/>
                <w:szCs w:val="24"/>
              </w:rPr>
              <w:t>2026）分类管控要求，本项目设置4个独立分区分别贮存工程渣土区、工程垃圾区、拆除垃圾区、装修垃圾区，分区布置图见附图2</w:t>
            </w:r>
            <w:r>
              <w:rPr>
                <w:rFonts w:hint="default" w:ascii="Times New Roman" w:hAnsi="Times New Roman" w:eastAsia="宋体" w:cs="Times New Roman"/>
                <w:b w:val="0"/>
                <w:bCs w:val="0"/>
                <w:color w:val="auto"/>
                <w:sz w:val="24"/>
                <w:szCs w:val="24"/>
              </w:rPr>
              <w:noBreakHyphen/>
            </w:r>
            <w:r>
              <w:rPr>
                <w:rFonts w:hint="default" w:ascii="Times New Roman" w:hAnsi="Times New Roman" w:eastAsia="宋体" w:cs="Times New Roman"/>
                <w:b w:val="0"/>
                <w:bCs w:val="0"/>
                <w:color w:val="auto"/>
                <w:sz w:val="24"/>
                <w:szCs w:val="24"/>
              </w:rPr>
              <w:t>3。</w:t>
            </w:r>
          </w:p>
          <w:p w14:paraId="3926C74C">
            <w:pPr>
              <w:spacing w:line="360" w:lineRule="auto"/>
              <w:rPr>
                <w:rFonts w:hint="eastAsia" w:ascii="Times New Roman" w:hAnsi="Times New Roman" w:eastAsia="宋体" w:cs="Times New Roman"/>
                <w:b/>
                <w:bCs/>
                <w:color w:val="auto"/>
                <w:sz w:val="24"/>
                <w:szCs w:val="24"/>
                <w:highlight w:val="none"/>
                <w:u w:val="none"/>
                <w:lang w:val="en-US" w:eastAsia="zh-CN"/>
              </w:rPr>
            </w:pPr>
            <w:r>
              <w:rPr>
                <w:rFonts w:hint="eastAsia" w:ascii="Times New Roman" w:hAnsi="Times New Roman" w:eastAsia="宋体" w:cs="Times New Roman"/>
                <w:b/>
                <w:bCs/>
                <w:color w:val="auto"/>
                <w:sz w:val="24"/>
                <w:szCs w:val="24"/>
                <w:highlight w:val="none"/>
                <w:u w:val="none"/>
                <w:lang w:val="en-US" w:eastAsia="zh-CN"/>
              </w:rPr>
              <w:t>4.2 建筑垃圾入场要求</w:t>
            </w:r>
          </w:p>
          <w:p w14:paraId="4CBBFF95">
            <w:pPr>
              <w:adjustRightInd w:val="0"/>
              <w:snapToGrid w:val="0"/>
              <w:spacing w:line="360" w:lineRule="auto"/>
              <w:ind w:firstLine="480" w:firstLineChars="200"/>
              <w:rPr>
                <w:rFonts w:hint="eastAsia" w:ascii="Times New Roman" w:hAnsi="Times New Roman" w:eastAsia="宋体" w:cs="Times New Roman"/>
                <w:color w:val="auto"/>
                <w:kern w:val="0"/>
                <w:sz w:val="24"/>
                <w:szCs w:val="22"/>
                <w:highlight w:val="none"/>
                <w:lang w:val="en-US" w:eastAsia="zh-CN"/>
              </w:rPr>
            </w:pPr>
            <w:r>
              <w:rPr>
                <w:rFonts w:hint="eastAsia" w:ascii="Times New Roman" w:hAnsi="Times New Roman" w:eastAsia="宋体" w:cs="Times New Roman"/>
                <w:color w:val="auto"/>
                <w:kern w:val="0"/>
                <w:sz w:val="24"/>
                <w:szCs w:val="22"/>
                <w:highlight w:val="none"/>
                <w:lang w:val="en-US" w:eastAsia="zh-CN"/>
              </w:rPr>
              <w:t>1.入场鉴别与登记管理制度</w:t>
            </w:r>
          </w:p>
          <w:p w14:paraId="4B90214D">
            <w:pPr>
              <w:adjustRightInd w:val="0"/>
              <w:snapToGrid w:val="0"/>
              <w:spacing w:line="360" w:lineRule="auto"/>
              <w:ind w:firstLine="480" w:firstLineChars="200"/>
              <w:rPr>
                <w:rFonts w:hint="eastAsia" w:ascii="Times New Roman" w:hAnsi="Times New Roman" w:eastAsia="宋体" w:cs="Times New Roman"/>
                <w:color w:val="auto"/>
                <w:kern w:val="0"/>
                <w:sz w:val="24"/>
                <w:szCs w:val="22"/>
                <w:highlight w:val="none"/>
                <w:lang w:val="en-US" w:eastAsia="zh-CN"/>
              </w:rPr>
            </w:pPr>
            <w:r>
              <w:rPr>
                <w:rFonts w:hint="eastAsia" w:ascii="Times New Roman" w:hAnsi="Times New Roman" w:eastAsia="宋体" w:cs="Times New Roman"/>
                <w:color w:val="auto"/>
                <w:kern w:val="0"/>
                <w:sz w:val="24"/>
                <w:szCs w:val="22"/>
                <w:highlight w:val="none"/>
                <w:lang w:val="en-US" w:eastAsia="zh-CN"/>
              </w:rPr>
              <w:t>项目建立完整的建筑垃圾入场核查鉴别机制，车辆进场时由管理人员逐车核验：核查建筑垃圾产生来源、物料类型，目视鉴别是否混入危险废物、生活垃圾等禁入物质；对进场物料种类、产生单位、转运车辆、重量、进场时间、堆放分区、外运去向进行完整登记，建立一车一档全生命周期管理台账，做到来源可查、去向可追，实现建筑垃圾收运</w:t>
            </w:r>
            <w:r>
              <w:rPr>
                <w:rFonts w:hint="eastAsia" w:ascii="Times New Roman" w:hAnsi="Times New Roman" w:eastAsia="宋体" w:cs="Times New Roman"/>
                <w:color w:val="auto"/>
                <w:kern w:val="0"/>
                <w:sz w:val="24"/>
                <w:szCs w:val="22"/>
                <w:highlight w:val="none"/>
                <w:lang w:val="en-US" w:eastAsia="zh-CN"/>
              </w:rPr>
              <w:noBreakHyphen/>
            </w:r>
            <w:r>
              <w:rPr>
                <w:rFonts w:hint="eastAsia" w:ascii="Times New Roman" w:hAnsi="Times New Roman" w:eastAsia="宋体" w:cs="Times New Roman"/>
                <w:color w:val="auto"/>
                <w:kern w:val="0"/>
                <w:sz w:val="24"/>
                <w:szCs w:val="22"/>
                <w:highlight w:val="none"/>
                <w:lang w:val="en-US" w:eastAsia="zh-CN"/>
              </w:rPr>
              <w:t>堆存</w:t>
            </w:r>
            <w:r>
              <w:rPr>
                <w:rFonts w:hint="eastAsia" w:ascii="Times New Roman" w:hAnsi="Times New Roman" w:eastAsia="宋体" w:cs="Times New Roman"/>
                <w:color w:val="auto"/>
                <w:kern w:val="0"/>
                <w:sz w:val="24"/>
                <w:szCs w:val="22"/>
                <w:highlight w:val="none"/>
                <w:lang w:val="en-US" w:eastAsia="zh-CN"/>
              </w:rPr>
              <w:noBreakHyphen/>
            </w:r>
            <w:r>
              <w:rPr>
                <w:rFonts w:hint="eastAsia" w:ascii="Times New Roman" w:hAnsi="Times New Roman" w:eastAsia="宋体" w:cs="Times New Roman"/>
                <w:color w:val="auto"/>
                <w:kern w:val="0"/>
                <w:sz w:val="24"/>
                <w:szCs w:val="22"/>
                <w:highlight w:val="none"/>
                <w:lang w:val="en-US" w:eastAsia="zh-CN"/>
              </w:rPr>
              <w:t>中转全过程闭环管控。</w:t>
            </w:r>
          </w:p>
          <w:p w14:paraId="3DD8E8A7">
            <w:pPr>
              <w:adjustRightInd w:val="0"/>
              <w:snapToGrid w:val="0"/>
              <w:spacing w:line="360" w:lineRule="auto"/>
              <w:ind w:firstLine="480" w:firstLineChars="200"/>
              <w:rPr>
                <w:rFonts w:hint="eastAsia" w:ascii="Times New Roman" w:hAnsi="Times New Roman" w:eastAsia="宋体" w:cs="Times New Roman"/>
                <w:color w:val="auto"/>
                <w:kern w:val="0"/>
                <w:sz w:val="24"/>
                <w:szCs w:val="22"/>
                <w:highlight w:val="none"/>
                <w:lang w:val="en-US" w:eastAsia="zh-CN"/>
              </w:rPr>
            </w:pPr>
            <w:r>
              <w:rPr>
                <w:rFonts w:hint="eastAsia" w:ascii="Times New Roman" w:hAnsi="Times New Roman" w:eastAsia="宋体" w:cs="Times New Roman"/>
                <w:color w:val="auto"/>
                <w:kern w:val="0"/>
                <w:sz w:val="24"/>
                <w:szCs w:val="22"/>
                <w:highlight w:val="none"/>
                <w:lang w:val="en-US" w:eastAsia="zh-CN"/>
              </w:rPr>
              <w:t>2. 装修垃圾含 VOCs 组分入场管控</w:t>
            </w:r>
          </w:p>
          <w:p w14:paraId="4C6AEBDC">
            <w:pPr>
              <w:adjustRightInd w:val="0"/>
              <w:snapToGrid w:val="0"/>
              <w:spacing w:line="360" w:lineRule="auto"/>
              <w:ind w:firstLine="480" w:firstLineChars="200"/>
              <w:rPr>
                <w:rFonts w:hint="eastAsia" w:ascii="Times New Roman" w:hAnsi="Times New Roman" w:eastAsia="宋体" w:cs="Times New Roman"/>
                <w:color w:val="auto"/>
                <w:kern w:val="0"/>
                <w:sz w:val="24"/>
                <w:szCs w:val="22"/>
                <w:highlight w:val="none"/>
                <w:lang w:val="en-US" w:eastAsia="zh-CN"/>
              </w:rPr>
            </w:pPr>
            <w:r>
              <w:rPr>
                <w:rFonts w:hint="eastAsia" w:ascii="Times New Roman" w:hAnsi="Times New Roman" w:eastAsia="宋体" w:cs="Times New Roman"/>
                <w:color w:val="auto"/>
                <w:kern w:val="0"/>
                <w:sz w:val="24"/>
                <w:szCs w:val="22"/>
                <w:highlight w:val="none"/>
                <w:lang w:val="en-US" w:eastAsia="zh-CN"/>
              </w:rPr>
              <w:t>装修垃圾中完整包装、盛装液态废涂料、废胶粘剂等挥发性有机物物料列为严禁入场物料；管控要求：进场装修垃圾中不得存在独立桶装、袋装废弃涂料、胶粘剂容器；物料不得存在游离液态有机废液，杜绝高挥发性有机污染物带入场区。</w:t>
            </w:r>
          </w:p>
          <w:p w14:paraId="583FC93B">
            <w:pPr>
              <w:adjustRightInd w:val="0"/>
              <w:snapToGrid w:val="0"/>
              <w:spacing w:line="360" w:lineRule="auto"/>
              <w:ind w:firstLine="480" w:firstLineChars="200"/>
              <w:rPr>
                <w:rFonts w:hint="eastAsia" w:ascii="Times New Roman" w:hAnsi="Times New Roman" w:eastAsia="宋体" w:cs="Times New Roman"/>
                <w:color w:val="auto"/>
                <w:kern w:val="0"/>
                <w:sz w:val="24"/>
                <w:szCs w:val="22"/>
                <w:highlight w:val="none"/>
                <w:lang w:val="en-US" w:eastAsia="zh-CN"/>
              </w:rPr>
            </w:pPr>
            <w:r>
              <w:rPr>
                <w:rFonts w:hint="eastAsia" w:ascii="Times New Roman" w:hAnsi="Times New Roman" w:eastAsia="宋体" w:cs="Times New Roman"/>
                <w:color w:val="auto"/>
                <w:kern w:val="0"/>
                <w:sz w:val="24"/>
                <w:szCs w:val="22"/>
                <w:highlight w:val="none"/>
                <w:lang w:val="en-US" w:eastAsia="zh-CN"/>
              </w:rPr>
              <w:t>3. 违规混入物料应急分拣、暂存及处置流程</w:t>
            </w:r>
          </w:p>
          <w:p w14:paraId="64CA9753">
            <w:pPr>
              <w:adjustRightInd w:val="0"/>
              <w:snapToGrid w:val="0"/>
              <w:spacing w:line="360" w:lineRule="auto"/>
              <w:ind w:firstLine="480" w:firstLineChars="200"/>
              <w:rPr>
                <w:rFonts w:hint="eastAsia" w:ascii="Times New Roman" w:hAnsi="Times New Roman" w:eastAsia="宋体" w:cs="Times New Roman"/>
                <w:color w:val="auto"/>
                <w:kern w:val="0"/>
                <w:sz w:val="24"/>
                <w:szCs w:val="22"/>
                <w:highlight w:val="none"/>
                <w:lang w:val="en-US" w:eastAsia="zh-CN"/>
              </w:rPr>
            </w:pPr>
            <w:r>
              <w:rPr>
                <w:rFonts w:hint="eastAsia" w:ascii="Times New Roman" w:hAnsi="Times New Roman" w:eastAsia="宋体" w:cs="Times New Roman"/>
                <w:color w:val="auto"/>
                <w:kern w:val="0"/>
                <w:sz w:val="24"/>
                <w:szCs w:val="22"/>
                <w:highlight w:val="none"/>
                <w:lang w:val="en-US" w:eastAsia="zh-CN"/>
              </w:rPr>
              <w:t>若入场查验或堆存期间发现违禁物料混入，立即启动应急管控：①现场设置隔离分拣区，对违规物料单独分拣、分区隔离暂存；②分类判定物料属性，生活垃圾交由环卫部门处置，危险废物</w:t>
            </w:r>
            <w:r>
              <w:rPr>
                <w:rFonts w:hint="eastAsia" w:cs="Times New Roman"/>
                <w:color w:val="auto"/>
                <w:kern w:val="0"/>
                <w:sz w:val="24"/>
                <w:szCs w:val="22"/>
                <w:highlight w:val="none"/>
                <w:lang w:val="en-US" w:eastAsia="zh-CN"/>
              </w:rPr>
              <w:t>暂存在危险废物贮存点，交由有资质单位处置</w:t>
            </w:r>
            <w:r>
              <w:rPr>
                <w:rFonts w:hint="eastAsia" w:ascii="Times New Roman" w:hAnsi="Times New Roman" w:eastAsia="宋体" w:cs="Times New Roman"/>
                <w:color w:val="auto"/>
                <w:kern w:val="0"/>
                <w:sz w:val="24"/>
                <w:szCs w:val="22"/>
                <w:highlight w:val="none"/>
                <w:lang w:val="en-US" w:eastAsia="zh-CN"/>
              </w:rPr>
              <w:t>；③完整记录违规物料发现时间、种类、重量、处置去向，留存影像及转运凭证，避免违禁物料在场区长期堆存造成土壤、大气次生污染风险。</w:t>
            </w:r>
          </w:p>
          <w:p w14:paraId="3E058A3B">
            <w:pPr>
              <w:adjustRightInd w:val="0"/>
              <w:snapToGrid w:val="0"/>
              <w:spacing w:line="360" w:lineRule="auto"/>
              <w:ind w:firstLine="480" w:firstLineChars="200"/>
              <w:rPr>
                <w:rFonts w:hint="eastAsia" w:ascii="Times New Roman" w:hAnsi="Times New Roman" w:eastAsia="宋体" w:cs="Times New Roman"/>
                <w:color w:val="auto"/>
                <w:kern w:val="0"/>
                <w:sz w:val="24"/>
                <w:szCs w:val="22"/>
                <w:highlight w:val="none"/>
                <w:lang w:val="en-US" w:eastAsia="zh-CN"/>
              </w:rPr>
            </w:pPr>
            <w:r>
              <w:rPr>
                <w:rFonts w:hint="eastAsia" w:ascii="Times New Roman" w:hAnsi="Times New Roman" w:eastAsia="宋体" w:cs="Times New Roman"/>
                <w:color w:val="auto"/>
                <w:kern w:val="0"/>
                <w:sz w:val="24"/>
                <w:szCs w:val="22"/>
                <w:highlight w:val="none"/>
                <w:lang w:val="en-US" w:eastAsia="zh-CN"/>
              </w:rPr>
              <w:t>本场区接收昌吉市辖区内各类工程施工、建（构）筑物拆除、道路改造及装修作业产生的建筑垃圾。所有进场建筑垃圾须在产生源头施工现场完成前置分类收集，主要分为工程渣土、工程垃圾、建（构）筑物拆除垃圾、装修垃圾，分类的建筑垃圾应确保不含危险废物、生活垃圾方可运输。</w:t>
            </w:r>
          </w:p>
          <w:p w14:paraId="32239E7C">
            <w:pPr>
              <w:adjustRightInd w:val="0"/>
              <w:snapToGrid w:val="0"/>
              <w:spacing w:line="360" w:lineRule="auto"/>
              <w:ind w:firstLine="480" w:firstLineChars="200"/>
              <w:rPr>
                <w:rFonts w:hint="eastAsia" w:ascii="Times New Roman" w:hAnsi="Times New Roman" w:eastAsia="宋体" w:cs="Times New Roman"/>
                <w:color w:val="auto"/>
                <w:kern w:val="0"/>
                <w:sz w:val="24"/>
                <w:szCs w:val="22"/>
                <w:highlight w:val="none"/>
                <w:lang w:val="en-US" w:eastAsia="zh-CN"/>
              </w:rPr>
            </w:pPr>
            <w:r>
              <w:rPr>
                <w:rFonts w:hint="eastAsia" w:ascii="Times New Roman" w:hAnsi="Times New Roman" w:eastAsia="宋体" w:cs="Times New Roman"/>
                <w:color w:val="auto"/>
                <w:kern w:val="0"/>
                <w:sz w:val="24"/>
                <w:szCs w:val="22"/>
                <w:highlight w:val="none"/>
                <w:lang w:val="en-US" w:eastAsia="zh-CN"/>
              </w:rPr>
              <w:t>建筑</w:t>
            </w:r>
            <w:r>
              <w:rPr>
                <w:rFonts w:hint="eastAsia" w:cs="Times New Roman"/>
                <w:color w:val="auto"/>
                <w:kern w:val="0"/>
                <w:sz w:val="24"/>
                <w:szCs w:val="22"/>
                <w:highlight w:val="none"/>
                <w:lang w:val="en-US" w:eastAsia="zh-CN"/>
              </w:rPr>
              <w:t>垃圾</w:t>
            </w:r>
            <w:r>
              <w:rPr>
                <w:rFonts w:hint="eastAsia" w:ascii="Times New Roman" w:hAnsi="Times New Roman" w:eastAsia="宋体" w:cs="Times New Roman"/>
                <w:color w:val="auto"/>
                <w:kern w:val="0"/>
                <w:sz w:val="24"/>
                <w:szCs w:val="22"/>
                <w:highlight w:val="none"/>
                <w:lang w:val="en-US" w:eastAsia="zh-CN"/>
              </w:rPr>
              <w:t>运输至本场区后，需经过管理人员核查，不含生活垃圾、危险废物以及无不同品类建筑垃圾混装后方可入场。</w:t>
            </w:r>
          </w:p>
          <w:p w14:paraId="3841505A">
            <w:pPr>
              <w:adjustRightInd w:val="0"/>
              <w:snapToGrid w:val="0"/>
              <w:spacing w:line="360" w:lineRule="auto"/>
              <w:ind w:firstLine="480" w:firstLineChars="200"/>
              <w:rPr>
                <w:rFonts w:hint="eastAsia" w:ascii="Times New Roman" w:hAnsi="Times New Roman" w:eastAsia="宋体" w:cs="Times New Roman"/>
                <w:color w:val="auto"/>
                <w:kern w:val="0"/>
                <w:sz w:val="24"/>
                <w:szCs w:val="22"/>
                <w:highlight w:val="none"/>
                <w:lang w:val="en-US" w:eastAsia="zh-CN"/>
              </w:rPr>
            </w:pPr>
            <w:r>
              <w:rPr>
                <w:rFonts w:hint="eastAsia" w:ascii="Times New Roman" w:hAnsi="Times New Roman" w:eastAsia="宋体" w:cs="Times New Roman"/>
                <w:color w:val="auto"/>
                <w:kern w:val="0"/>
                <w:sz w:val="24"/>
                <w:szCs w:val="22"/>
                <w:highlight w:val="none"/>
                <w:lang w:val="en-US" w:eastAsia="zh-CN"/>
              </w:rPr>
              <w:t>场内设置独立堆存分区，核验合格的建筑垃圾需按品类定点卸料、分区堆放，分区</w:t>
            </w:r>
            <w:r>
              <w:rPr>
                <w:rFonts w:hint="eastAsia" w:cs="Times New Roman"/>
                <w:color w:val="auto"/>
                <w:kern w:val="0"/>
                <w:sz w:val="24"/>
                <w:szCs w:val="22"/>
                <w:highlight w:val="none"/>
                <w:lang w:val="en-US" w:eastAsia="zh-CN"/>
              </w:rPr>
              <w:t>应</w:t>
            </w:r>
            <w:r>
              <w:rPr>
                <w:rFonts w:hint="eastAsia" w:ascii="Times New Roman" w:hAnsi="Times New Roman" w:eastAsia="宋体" w:cs="Times New Roman"/>
                <w:color w:val="auto"/>
                <w:kern w:val="0"/>
                <w:sz w:val="24"/>
                <w:szCs w:val="22"/>
                <w:highlight w:val="none"/>
                <w:lang w:val="en-US" w:eastAsia="zh-CN"/>
              </w:rPr>
              <w:t>标识清晰，严禁不同品类物料混堆、乱堆。</w:t>
            </w:r>
          </w:p>
          <w:p w14:paraId="2AD37AD7">
            <w:pPr>
              <w:spacing w:line="360" w:lineRule="auto"/>
              <w:rPr>
                <w:rFonts w:hint="eastAsia" w:ascii="Times New Roman" w:hAnsi="Times New Roman" w:eastAsia="宋体" w:cs="Times New Roman"/>
                <w:b/>
                <w:bCs/>
                <w:color w:val="auto"/>
                <w:sz w:val="24"/>
                <w:szCs w:val="24"/>
                <w:highlight w:val="none"/>
                <w:u w:val="none"/>
                <w:lang w:val="en-US" w:eastAsia="zh-CN"/>
              </w:rPr>
            </w:pPr>
            <w:r>
              <w:rPr>
                <w:rFonts w:hint="eastAsia" w:ascii="Times New Roman" w:hAnsi="Times New Roman" w:eastAsia="宋体" w:cs="Times New Roman"/>
                <w:b/>
                <w:bCs/>
                <w:color w:val="auto"/>
                <w:sz w:val="24"/>
                <w:szCs w:val="24"/>
                <w:highlight w:val="none"/>
                <w:u w:val="none"/>
                <w:lang w:val="en-US" w:eastAsia="zh-CN"/>
              </w:rPr>
              <w:t>4.3建筑垃圾平衡表</w:t>
            </w:r>
          </w:p>
          <w:p w14:paraId="2207E677">
            <w:pPr>
              <w:adjustRightInd w:val="0"/>
              <w:snapToGrid w:val="0"/>
              <w:spacing w:line="360" w:lineRule="auto"/>
              <w:ind w:firstLine="480" w:firstLineChars="200"/>
              <w:rPr>
                <w:rFonts w:hint="eastAsia" w:ascii="Times New Roman" w:hAnsi="Times New Roman" w:eastAsia="宋体" w:cs="Times New Roman"/>
                <w:color w:val="auto"/>
                <w:kern w:val="0"/>
                <w:sz w:val="24"/>
                <w:szCs w:val="22"/>
                <w:highlight w:val="none"/>
                <w:lang w:val="en-US" w:eastAsia="zh-CN"/>
              </w:rPr>
            </w:pPr>
            <w:r>
              <w:rPr>
                <w:rFonts w:hint="eastAsia" w:ascii="Times New Roman" w:hAnsi="Times New Roman" w:eastAsia="宋体" w:cs="Times New Roman"/>
                <w:color w:val="auto"/>
                <w:sz w:val="24"/>
                <w:szCs w:val="24"/>
                <w:highlight w:val="none"/>
                <w:u w:val="none"/>
                <w:lang w:val="en-US" w:eastAsia="zh-CN"/>
              </w:rPr>
              <w:t>根据</w:t>
            </w:r>
            <w:r>
              <w:rPr>
                <w:rFonts w:hint="eastAsia" w:ascii="Times New Roman" w:hAnsi="Times New Roman" w:eastAsia="宋体" w:cs="Times New Roman"/>
                <w:color w:val="auto"/>
                <w:kern w:val="0"/>
                <w:sz w:val="24"/>
                <w:szCs w:val="24"/>
                <w:lang w:val="en-US" w:eastAsia="zh-CN"/>
              </w:rPr>
              <w:t>《</w:t>
            </w:r>
            <w:r>
              <w:rPr>
                <w:rFonts w:hint="eastAsia" w:cs="Times New Roman"/>
                <w:color w:val="auto"/>
                <w:kern w:val="0"/>
                <w:sz w:val="24"/>
                <w:szCs w:val="24"/>
                <w:lang w:val="en-US" w:eastAsia="zh-CN"/>
              </w:rPr>
              <w:t>昌吉市“一市两区”建筑垃圾污染环境防治工作规划（2025-2030年）</w:t>
            </w:r>
            <w:r>
              <w:rPr>
                <w:rFonts w:hint="eastAsia" w:ascii="Times New Roman" w:hAnsi="Times New Roman" w:eastAsia="宋体" w:cs="Times New Roman"/>
                <w:color w:val="auto"/>
                <w:kern w:val="0"/>
                <w:sz w:val="24"/>
                <w:szCs w:val="24"/>
                <w:lang w:val="en-US" w:eastAsia="zh-CN"/>
              </w:rPr>
              <w:t>》，</w:t>
            </w:r>
            <w:r>
              <w:rPr>
                <w:rFonts w:hint="eastAsia" w:ascii="Times New Roman" w:hAnsi="Times New Roman" w:eastAsia="宋体" w:cs="Times New Roman"/>
                <w:color w:val="auto"/>
                <w:kern w:val="0"/>
                <w:sz w:val="24"/>
                <w:szCs w:val="22"/>
                <w:highlight w:val="none"/>
                <w:lang w:val="en-US" w:eastAsia="zh-CN"/>
              </w:rPr>
              <w:t>规划15万t/a可资源化建筑垃圾统一外运至昌吉市大西渠镇建筑垃圾资源化利用项目，通过破碎、筛分加工再生骨料实现资源化再生利用；规划14万t/a不可利用建筑垃圾统一外运至昌吉市大西渠镇新戽村建筑垃圾填埋场进行填埋处置。规划6.57万t/a建筑垃圾回填</w:t>
            </w:r>
            <w:r>
              <w:rPr>
                <w:rFonts w:hint="eastAsia" w:ascii="Times New Roman" w:hAnsi="Times New Roman" w:cs="Times New Roman"/>
                <w:color w:val="auto"/>
                <w:kern w:val="0"/>
                <w:sz w:val="24"/>
                <w:szCs w:val="22"/>
                <w:highlight w:val="none"/>
                <w:lang w:val="en-US" w:eastAsia="zh-CN"/>
              </w:rPr>
              <w:t>，回填</w:t>
            </w:r>
            <w:r>
              <w:rPr>
                <w:rFonts w:hint="eastAsia" w:ascii="Times New Roman" w:hAnsi="Times New Roman" w:eastAsia="宋体" w:cs="Times New Roman"/>
                <w:color w:val="auto"/>
                <w:kern w:val="0"/>
                <w:sz w:val="24"/>
                <w:szCs w:val="22"/>
                <w:highlight w:val="none"/>
                <w:lang w:val="en-US" w:eastAsia="zh-CN"/>
              </w:rPr>
              <w:t>消纳量结合2026</w:t>
            </w:r>
            <w:r>
              <w:rPr>
                <w:rFonts w:hint="eastAsia" w:ascii="Times New Roman" w:hAnsi="Times New Roman" w:eastAsia="宋体" w:cs="Times New Roman"/>
                <w:color w:val="auto"/>
                <w:kern w:val="0"/>
                <w:sz w:val="24"/>
                <w:szCs w:val="22"/>
                <w:highlight w:val="none"/>
                <w:lang w:val="en-US" w:eastAsia="zh-CN"/>
              </w:rPr>
              <w:noBreakHyphen/>
            </w:r>
            <w:r>
              <w:rPr>
                <w:rFonts w:hint="eastAsia" w:ascii="Times New Roman" w:hAnsi="Times New Roman" w:eastAsia="宋体" w:cs="Times New Roman"/>
                <w:color w:val="auto"/>
                <w:kern w:val="0"/>
                <w:sz w:val="24"/>
                <w:szCs w:val="22"/>
                <w:highlight w:val="none"/>
                <w:lang w:val="en-US" w:eastAsia="zh-CN"/>
              </w:rPr>
              <w:t>2030年全市重大建设项目动态统筹调度，潜在消纳去向包括硫磺沟、二六工镇历史遗留采坑生态修复治理工程、口袋公园景观地形塑造工程等。</w:t>
            </w:r>
          </w:p>
          <w:p w14:paraId="4016448A">
            <w:pPr>
              <w:adjustRightInd w:val="0"/>
              <w:snapToGrid w:val="0"/>
              <w:spacing w:line="240" w:lineRule="auto"/>
              <w:ind w:firstLine="422" w:firstLineChars="200"/>
              <w:jc w:val="center"/>
              <w:rPr>
                <w:rFonts w:hint="default" w:ascii="Times New Roman" w:hAnsi="Times New Roman" w:eastAsia="宋体" w:cs="Times New Roman"/>
                <w:b/>
                <w:bCs/>
                <w:color w:val="auto"/>
                <w:kern w:val="0"/>
                <w:sz w:val="21"/>
                <w:szCs w:val="21"/>
                <w:highlight w:val="none"/>
                <w:lang w:val="en-US" w:eastAsia="zh-CN"/>
              </w:rPr>
            </w:pPr>
            <w:r>
              <w:rPr>
                <w:rFonts w:hint="eastAsia" w:ascii="Times New Roman" w:hAnsi="Times New Roman" w:eastAsia="宋体" w:cs="Times New Roman"/>
                <w:b/>
                <w:bCs/>
                <w:color w:val="auto"/>
                <w:kern w:val="0"/>
                <w:sz w:val="21"/>
                <w:szCs w:val="21"/>
                <w:highlight w:val="none"/>
                <w:lang w:val="en-US" w:eastAsia="zh-CN"/>
              </w:rPr>
              <w:t>表2-5   建筑垃圾平衡表</w:t>
            </w:r>
          </w:p>
          <w:tbl>
            <w:tblPr>
              <w:tblStyle w:val="27"/>
              <w:tblW w:w="7799" w:type="dxa"/>
              <w:tblInd w:w="-15"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Layout w:type="fixed"/>
              <w:tblCellMar>
                <w:top w:w="0" w:type="dxa"/>
                <w:left w:w="108" w:type="dxa"/>
                <w:bottom w:w="0" w:type="dxa"/>
                <w:right w:w="108" w:type="dxa"/>
              </w:tblCellMar>
            </w:tblPr>
            <w:tblGrid>
              <w:gridCol w:w="1264"/>
              <w:gridCol w:w="1150"/>
              <w:gridCol w:w="1092"/>
              <w:gridCol w:w="1092"/>
              <w:gridCol w:w="1000"/>
              <w:gridCol w:w="2201"/>
            </w:tblGrid>
            <w:tr w14:paraId="2DE7DB6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264" w:type="dxa"/>
                  <w:tcBorders>
                    <w:bottom w:val="single" w:color="000000" w:sz="12" w:space="0"/>
                  </w:tcBorders>
                  <w:shd w:val="clear" w:color="auto" w:fill="auto"/>
                  <w:noWrap/>
                  <w:vAlign w:val="center"/>
                </w:tcPr>
                <w:p w14:paraId="672FE2FA">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建筑垃圾类别</w:t>
                  </w:r>
                </w:p>
              </w:tc>
              <w:tc>
                <w:tcPr>
                  <w:tcW w:w="1150" w:type="dxa"/>
                  <w:tcBorders>
                    <w:bottom w:val="single" w:color="000000" w:sz="12" w:space="0"/>
                  </w:tcBorders>
                  <w:shd w:val="clear" w:color="auto" w:fill="auto"/>
                  <w:noWrap/>
                  <w:vAlign w:val="center"/>
                </w:tcPr>
                <w:p w14:paraId="2D4327A6">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规划产生量（万t/a）</w:t>
                  </w:r>
                </w:p>
              </w:tc>
              <w:tc>
                <w:tcPr>
                  <w:tcW w:w="1092" w:type="dxa"/>
                  <w:tcBorders>
                    <w:bottom w:val="single" w:color="000000" w:sz="12" w:space="0"/>
                  </w:tcBorders>
                  <w:shd w:val="clear" w:color="auto" w:fill="auto"/>
                  <w:noWrap/>
                  <w:vAlign w:val="center"/>
                </w:tcPr>
                <w:p w14:paraId="0FEEFD8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回填消纳（万t/a）</w:t>
                  </w:r>
                </w:p>
              </w:tc>
              <w:tc>
                <w:tcPr>
                  <w:tcW w:w="1092" w:type="dxa"/>
                  <w:tcBorders>
                    <w:bottom w:val="single" w:color="000000" w:sz="12" w:space="0"/>
                  </w:tcBorders>
                  <w:shd w:val="clear" w:color="auto" w:fill="auto"/>
                  <w:noWrap/>
                  <w:vAlign w:val="center"/>
                </w:tcPr>
                <w:p w14:paraId="02CE31A2">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资源化利用（万t/a）</w:t>
                  </w:r>
                </w:p>
              </w:tc>
              <w:tc>
                <w:tcPr>
                  <w:tcW w:w="1000" w:type="dxa"/>
                  <w:tcBorders>
                    <w:bottom w:val="single" w:color="000000" w:sz="12" w:space="0"/>
                  </w:tcBorders>
                  <w:shd w:val="clear" w:color="auto" w:fill="auto"/>
                  <w:noWrap/>
                  <w:vAlign w:val="center"/>
                </w:tcPr>
                <w:p w14:paraId="05028627">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填埋处置（万 t/a）</w:t>
                  </w:r>
                </w:p>
              </w:tc>
              <w:tc>
                <w:tcPr>
                  <w:tcW w:w="2201" w:type="dxa"/>
                  <w:tcBorders>
                    <w:bottom w:val="single" w:color="000000" w:sz="12" w:space="0"/>
                  </w:tcBorders>
                  <w:shd w:val="clear" w:color="auto" w:fill="auto"/>
                  <w:noWrap/>
                  <w:vAlign w:val="center"/>
                </w:tcPr>
                <w:p w14:paraId="31CA65ED">
                  <w:pPr>
                    <w:keepNext w:val="0"/>
                    <w:keepLines w:val="0"/>
                    <w:widowControl/>
                    <w:suppressLineNumbers w:val="0"/>
                    <w:jc w:val="center"/>
                    <w:textAlignment w:val="center"/>
                    <w:rPr>
                      <w:rFonts w:hint="default" w:ascii="Times New Roman" w:hAnsi="Times New Roman" w:eastAsia="宋体" w:cs="Times New Roman"/>
                      <w:b/>
                      <w:bCs/>
                      <w:i w:val="0"/>
                      <w:iCs w:val="0"/>
                      <w:color w:val="auto"/>
                      <w:sz w:val="21"/>
                      <w:szCs w:val="21"/>
                      <w:u w:val="none"/>
                    </w:rPr>
                  </w:pPr>
                  <w:r>
                    <w:rPr>
                      <w:rFonts w:hint="default" w:ascii="Times New Roman" w:hAnsi="Times New Roman" w:eastAsia="宋体" w:cs="Times New Roman"/>
                      <w:b/>
                      <w:bCs/>
                      <w:i w:val="0"/>
                      <w:iCs w:val="0"/>
                      <w:color w:val="auto"/>
                      <w:kern w:val="0"/>
                      <w:sz w:val="21"/>
                      <w:szCs w:val="21"/>
                      <w:u w:val="none"/>
                      <w:lang w:val="en-US" w:eastAsia="zh-CN" w:bidi="ar"/>
                    </w:rPr>
                    <w:t>备注</w:t>
                  </w:r>
                </w:p>
              </w:tc>
            </w:tr>
            <w:tr w14:paraId="033096C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264" w:type="dxa"/>
                  <w:tcBorders>
                    <w:top w:val="single" w:color="000000" w:sz="12" w:space="0"/>
                    <w:tl2br w:val="nil"/>
                    <w:tr2bl w:val="nil"/>
                  </w:tcBorders>
                  <w:shd w:val="clear" w:color="auto" w:fill="auto"/>
                  <w:noWrap/>
                  <w:vAlign w:val="center"/>
                </w:tcPr>
                <w:p w14:paraId="53FA45E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工程渣土</w:t>
                  </w:r>
                </w:p>
              </w:tc>
              <w:tc>
                <w:tcPr>
                  <w:tcW w:w="1150" w:type="dxa"/>
                  <w:tcBorders>
                    <w:top w:val="single" w:color="000000" w:sz="12" w:space="0"/>
                    <w:tl2br w:val="nil"/>
                    <w:tr2bl w:val="nil"/>
                  </w:tcBorders>
                  <w:shd w:val="clear" w:color="auto" w:fill="auto"/>
                  <w:noWrap/>
                  <w:vAlign w:val="center"/>
                </w:tcPr>
                <w:p w14:paraId="167D0E84">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2.74</w:t>
                  </w:r>
                </w:p>
              </w:tc>
              <w:tc>
                <w:tcPr>
                  <w:tcW w:w="1092" w:type="dxa"/>
                  <w:tcBorders>
                    <w:top w:val="single" w:color="000000" w:sz="12" w:space="0"/>
                    <w:tl2br w:val="nil"/>
                    <w:tr2bl w:val="nil"/>
                  </w:tcBorders>
                  <w:shd w:val="clear" w:color="auto" w:fill="auto"/>
                  <w:noWrap/>
                  <w:vAlign w:val="center"/>
                </w:tcPr>
                <w:p w14:paraId="4C6F842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2.74</w:t>
                  </w:r>
                </w:p>
              </w:tc>
              <w:tc>
                <w:tcPr>
                  <w:tcW w:w="1092" w:type="dxa"/>
                  <w:tcBorders>
                    <w:top w:val="single" w:color="000000" w:sz="12" w:space="0"/>
                    <w:tl2br w:val="nil"/>
                    <w:tr2bl w:val="nil"/>
                  </w:tcBorders>
                  <w:shd w:val="clear" w:color="auto" w:fill="auto"/>
                  <w:noWrap/>
                  <w:vAlign w:val="center"/>
                </w:tcPr>
                <w:p w14:paraId="03DBEB0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1000" w:type="dxa"/>
                  <w:tcBorders>
                    <w:top w:val="single" w:color="000000" w:sz="12" w:space="0"/>
                    <w:tl2br w:val="nil"/>
                    <w:tr2bl w:val="nil"/>
                  </w:tcBorders>
                  <w:shd w:val="clear" w:color="auto" w:fill="auto"/>
                  <w:noWrap/>
                  <w:vAlign w:val="center"/>
                </w:tcPr>
                <w:p w14:paraId="50741F6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w:t>
                  </w:r>
                </w:p>
              </w:tc>
              <w:tc>
                <w:tcPr>
                  <w:tcW w:w="2201" w:type="dxa"/>
                  <w:tcBorders>
                    <w:top w:val="single" w:color="000000" w:sz="12" w:space="0"/>
                    <w:tl2br w:val="nil"/>
                    <w:tr2bl w:val="nil"/>
                  </w:tcBorders>
                  <w:shd w:val="clear" w:color="auto" w:fill="auto"/>
                  <w:noWrap/>
                  <w:vAlign w:val="center"/>
                </w:tcPr>
                <w:p w14:paraId="4D5BF5C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全部就近回填消纳</w:t>
                  </w:r>
                </w:p>
              </w:tc>
            </w:tr>
            <w:tr w14:paraId="5CC0463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264" w:type="dxa"/>
                  <w:tcBorders>
                    <w:tl2br w:val="nil"/>
                    <w:tr2bl w:val="nil"/>
                  </w:tcBorders>
                  <w:shd w:val="clear" w:color="auto" w:fill="auto"/>
                  <w:noWrap/>
                  <w:vAlign w:val="center"/>
                </w:tcPr>
                <w:p w14:paraId="43E607A7">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工程垃圾</w:t>
                  </w:r>
                </w:p>
              </w:tc>
              <w:tc>
                <w:tcPr>
                  <w:tcW w:w="1150" w:type="dxa"/>
                  <w:tcBorders>
                    <w:tl2br w:val="nil"/>
                    <w:tr2bl w:val="nil"/>
                  </w:tcBorders>
                  <w:shd w:val="clear" w:color="auto" w:fill="auto"/>
                  <w:noWrap/>
                  <w:vAlign w:val="center"/>
                </w:tcPr>
                <w:p w14:paraId="66A15C5E">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0.3</w:t>
                  </w:r>
                </w:p>
              </w:tc>
              <w:tc>
                <w:tcPr>
                  <w:tcW w:w="1092" w:type="dxa"/>
                  <w:tcBorders>
                    <w:tl2br w:val="nil"/>
                    <w:tr2bl w:val="nil"/>
                  </w:tcBorders>
                  <w:shd w:val="clear" w:color="auto" w:fill="auto"/>
                  <w:noWrap/>
                  <w:vAlign w:val="center"/>
                </w:tcPr>
                <w:p w14:paraId="203A0FB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0.2</w:t>
                  </w:r>
                </w:p>
              </w:tc>
              <w:tc>
                <w:tcPr>
                  <w:tcW w:w="1092" w:type="dxa"/>
                  <w:tcBorders>
                    <w:tl2br w:val="nil"/>
                    <w:tr2bl w:val="nil"/>
                  </w:tcBorders>
                  <w:shd w:val="clear" w:color="auto" w:fill="auto"/>
                  <w:noWrap/>
                  <w:vAlign w:val="center"/>
                </w:tcPr>
                <w:p w14:paraId="0314FD9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0.06</w:t>
                  </w:r>
                </w:p>
              </w:tc>
              <w:tc>
                <w:tcPr>
                  <w:tcW w:w="1000" w:type="dxa"/>
                  <w:tcBorders>
                    <w:tl2br w:val="nil"/>
                    <w:tr2bl w:val="nil"/>
                  </w:tcBorders>
                  <w:shd w:val="clear" w:color="auto" w:fill="auto"/>
                  <w:noWrap/>
                  <w:vAlign w:val="center"/>
                </w:tcPr>
                <w:p w14:paraId="1410938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0.04</w:t>
                  </w:r>
                </w:p>
              </w:tc>
              <w:tc>
                <w:tcPr>
                  <w:tcW w:w="2201" w:type="dxa"/>
                  <w:tcBorders>
                    <w:tl2br w:val="nil"/>
                    <w:tr2bl w:val="nil"/>
                  </w:tcBorders>
                  <w:shd w:val="clear" w:color="auto" w:fill="auto"/>
                  <w:noWrap/>
                  <w:vAlign w:val="center"/>
                </w:tcPr>
                <w:p w14:paraId="5DA3310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品质优良部分回填，其余分流处置</w:t>
                  </w:r>
                </w:p>
              </w:tc>
            </w:tr>
            <w:tr w14:paraId="0DEB0E0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264" w:type="dxa"/>
                  <w:tcBorders>
                    <w:tl2br w:val="nil"/>
                    <w:tr2bl w:val="nil"/>
                  </w:tcBorders>
                  <w:shd w:val="clear" w:color="auto" w:fill="auto"/>
                  <w:noWrap/>
                  <w:vAlign w:val="center"/>
                </w:tcPr>
                <w:p w14:paraId="24DABF0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拆除垃圾</w:t>
                  </w:r>
                </w:p>
              </w:tc>
              <w:tc>
                <w:tcPr>
                  <w:tcW w:w="1150" w:type="dxa"/>
                  <w:tcBorders>
                    <w:tl2br w:val="nil"/>
                    <w:tr2bl w:val="nil"/>
                  </w:tcBorders>
                  <w:shd w:val="clear" w:color="auto" w:fill="auto"/>
                  <w:noWrap/>
                  <w:vAlign w:val="center"/>
                </w:tcPr>
                <w:p w14:paraId="43C3FF0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16.8</w:t>
                  </w:r>
                </w:p>
              </w:tc>
              <w:tc>
                <w:tcPr>
                  <w:tcW w:w="1092" w:type="dxa"/>
                  <w:tcBorders>
                    <w:tl2br w:val="nil"/>
                    <w:tr2bl w:val="nil"/>
                  </w:tcBorders>
                  <w:shd w:val="clear" w:color="auto" w:fill="auto"/>
                  <w:noWrap/>
                  <w:vAlign w:val="center"/>
                </w:tcPr>
                <w:p w14:paraId="4F9E352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2.83</w:t>
                  </w:r>
                </w:p>
              </w:tc>
              <w:tc>
                <w:tcPr>
                  <w:tcW w:w="1092" w:type="dxa"/>
                  <w:tcBorders>
                    <w:tl2br w:val="nil"/>
                    <w:tr2bl w:val="nil"/>
                  </w:tcBorders>
                  <w:shd w:val="clear" w:color="auto" w:fill="auto"/>
                  <w:noWrap/>
                  <w:vAlign w:val="center"/>
                </w:tcPr>
                <w:p w14:paraId="641EC6D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9.5</w:t>
                  </w:r>
                </w:p>
              </w:tc>
              <w:tc>
                <w:tcPr>
                  <w:tcW w:w="1000" w:type="dxa"/>
                  <w:tcBorders>
                    <w:tl2br w:val="nil"/>
                    <w:tr2bl w:val="nil"/>
                  </w:tcBorders>
                  <w:shd w:val="clear" w:color="auto" w:fill="auto"/>
                  <w:noWrap/>
                  <w:vAlign w:val="center"/>
                </w:tcPr>
                <w:p w14:paraId="0B60CD8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4.47</w:t>
                  </w:r>
                </w:p>
              </w:tc>
              <w:tc>
                <w:tcPr>
                  <w:tcW w:w="2201" w:type="dxa"/>
                  <w:tcBorders>
                    <w:tl2br w:val="nil"/>
                    <w:tr2bl w:val="nil"/>
                  </w:tcBorders>
                  <w:shd w:val="clear" w:color="auto" w:fill="auto"/>
                  <w:noWrap/>
                  <w:vAlign w:val="center"/>
                </w:tcPr>
                <w:p w14:paraId="3FCFE27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优先资源化，不可利用部分填埋或回填</w:t>
                  </w:r>
                </w:p>
              </w:tc>
            </w:tr>
            <w:tr w14:paraId="04522D0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264" w:type="dxa"/>
                  <w:tcBorders>
                    <w:tl2br w:val="nil"/>
                    <w:tr2bl w:val="nil"/>
                  </w:tcBorders>
                  <w:shd w:val="clear" w:color="auto" w:fill="auto"/>
                  <w:noWrap/>
                  <w:vAlign w:val="center"/>
                </w:tcPr>
                <w:p w14:paraId="0154CA03">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装修垃圾</w:t>
                  </w:r>
                </w:p>
              </w:tc>
              <w:tc>
                <w:tcPr>
                  <w:tcW w:w="1150" w:type="dxa"/>
                  <w:tcBorders>
                    <w:tl2br w:val="nil"/>
                    <w:tr2bl w:val="nil"/>
                  </w:tcBorders>
                  <w:shd w:val="clear" w:color="auto" w:fill="auto"/>
                  <w:noWrap/>
                  <w:vAlign w:val="center"/>
                </w:tcPr>
                <w:p w14:paraId="766469C2">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15.73</w:t>
                  </w:r>
                </w:p>
              </w:tc>
              <w:tc>
                <w:tcPr>
                  <w:tcW w:w="1092" w:type="dxa"/>
                  <w:tcBorders>
                    <w:tl2br w:val="nil"/>
                    <w:tr2bl w:val="nil"/>
                  </w:tcBorders>
                  <w:shd w:val="clear" w:color="auto" w:fill="auto"/>
                  <w:noWrap/>
                  <w:vAlign w:val="center"/>
                </w:tcPr>
                <w:p w14:paraId="0F97FA4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0.8</w:t>
                  </w:r>
                </w:p>
              </w:tc>
              <w:tc>
                <w:tcPr>
                  <w:tcW w:w="1092" w:type="dxa"/>
                  <w:tcBorders>
                    <w:tl2br w:val="nil"/>
                    <w:tr2bl w:val="nil"/>
                  </w:tcBorders>
                  <w:shd w:val="clear" w:color="auto" w:fill="auto"/>
                  <w:noWrap/>
                  <w:vAlign w:val="center"/>
                </w:tcPr>
                <w:p w14:paraId="4445BDC0">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5.44</w:t>
                  </w:r>
                </w:p>
              </w:tc>
              <w:tc>
                <w:tcPr>
                  <w:tcW w:w="1000" w:type="dxa"/>
                  <w:tcBorders>
                    <w:tl2br w:val="nil"/>
                    <w:tr2bl w:val="nil"/>
                  </w:tcBorders>
                  <w:shd w:val="clear" w:color="auto" w:fill="auto"/>
                  <w:noWrap/>
                  <w:vAlign w:val="center"/>
                </w:tcPr>
                <w:p w14:paraId="5A765A3A">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9.49</w:t>
                  </w:r>
                </w:p>
              </w:tc>
              <w:tc>
                <w:tcPr>
                  <w:tcW w:w="2201" w:type="dxa"/>
                  <w:tcBorders>
                    <w:tl2br w:val="nil"/>
                    <w:tr2bl w:val="nil"/>
                  </w:tcBorders>
                  <w:shd w:val="clear" w:color="auto" w:fill="auto"/>
                  <w:noWrap/>
                  <w:vAlign w:val="center"/>
                </w:tcPr>
                <w:p w14:paraId="5F0E2D9F">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可分选物料资源化，残余惰性废物填埋</w:t>
                  </w:r>
                </w:p>
              </w:tc>
            </w:tr>
            <w:tr w14:paraId="11A0753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shd w:val="clear" w:color="auto" w:fill="auto"/>
                <w:tblCellMar>
                  <w:top w:w="0" w:type="dxa"/>
                  <w:left w:w="108" w:type="dxa"/>
                  <w:bottom w:w="0" w:type="dxa"/>
                  <w:right w:w="108" w:type="dxa"/>
                </w:tblCellMar>
              </w:tblPrEx>
              <w:trPr>
                <w:trHeight w:val="270" w:hRule="atLeast"/>
              </w:trPr>
              <w:tc>
                <w:tcPr>
                  <w:tcW w:w="1264" w:type="dxa"/>
                  <w:tcBorders>
                    <w:tl2br w:val="nil"/>
                    <w:tr2bl w:val="nil"/>
                  </w:tcBorders>
                  <w:shd w:val="clear" w:color="auto" w:fill="auto"/>
                  <w:noWrap/>
                  <w:vAlign w:val="center"/>
                </w:tcPr>
                <w:p w14:paraId="1D68FEBD">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合计</w:t>
                  </w:r>
                </w:p>
              </w:tc>
              <w:tc>
                <w:tcPr>
                  <w:tcW w:w="1150" w:type="dxa"/>
                  <w:tcBorders>
                    <w:tl2br w:val="nil"/>
                    <w:tr2bl w:val="nil"/>
                  </w:tcBorders>
                  <w:shd w:val="clear" w:color="auto" w:fill="auto"/>
                  <w:noWrap/>
                  <w:vAlign w:val="center"/>
                </w:tcPr>
                <w:p w14:paraId="3E96CDA5">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35.57</w:t>
                  </w:r>
                </w:p>
              </w:tc>
              <w:tc>
                <w:tcPr>
                  <w:tcW w:w="1092" w:type="dxa"/>
                  <w:tcBorders>
                    <w:tl2br w:val="nil"/>
                    <w:tr2bl w:val="nil"/>
                  </w:tcBorders>
                  <w:shd w:val="clear" w:color="auto" w:fill="auto"/>
                  <w:noWrap/>
                  <w:vAlign w:val="center"/>
                </w:tcPr>
                <w:p w14:paraId="3A4A719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6.57</w:t>
                  </w:r>
                </w:p>
              </w:tc>
              <w:tc>
                <w:tcPr>
                  <w:tcW w:w="1092" w:type="dxa"/>
                  <w:tcBorders>
                    <w:tl2br w:val="nil"/>
                    <w:tr2bl w:val="nil"/>
                  </w:tcBorders>
                  <w:shd w:val="clear" w:color="auto" w:fill="auto"/>
                  <w:noWrap/>
                  <w:vAlign w:val="center"/>
                </w:tcPr>
                <w:p w14:paraId="74021E11">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15</w:t>
                  </w:r>
                </w:p>
              </w:tc>
              <w:tc>
                <w:tcPr>
                  <w:tcW w:w="1000" w:type="dxa"/>
                  <w:tcBorders>
                    <w:tl2br w:val="nil"/>
                    <w:tr2bl w:val="nil"/>
                  </w:tcBorders>
                  <w:shd w:val="clear" w:color="auto" w:fill="auto"/>
                  <w:noWrap/>
                  <w:vAlign w:val="center"/>
                </w:tcPr>
                <w:p w14:paraId="530B13B9">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14</w:t>
                  </w:r>
                </w:p>
              </w:tc>
              <w:tc>
                <w:tcPr>
                  <w:tcW w:w="2201" w:type="dxa"/>
                  <w:tcBorders>
                    <w:tl2br w:val="nil"/>
                    <w:tr2bl w:val="nil"/>
                  </w:tcBorders>
                  <w:shd w:val="clear" w:color="auto" w:fill="auto"/>
                  <w:noWrap/>
                  <w:vAlign w:val="center"/>
                </w:tcPr>
                <w:p w14:paraId="70062ABC">
                  <w:pPr>
                    <w:keepNext w:val="0"/>
                    <w:keepLines w:val="0"/>
                    <w:widowControl/>
                    <w:suppressLineNumbers w:val="0"/>
                    <w:jc w:val="center"/>
                    <w:textAlignment w:val="center"/>
                    <w:rPr>
                      <w:rFonts w:hint="default" w:ascii="Times New Roman" w:hAnsi="Times New Roman" w:eastAsia="宋体" w:cs="Times New Roman"/>
                      <w:i w:val="0"/>
                      <w:iCs w:val="0"/>
                      <w:color w:val="auto"/>
                      <w:sz w:val="21"/>
                      <w:szCs w:val="21"/>
                      <w:u w:val="none"/>
                    </w:rPr>
                  </w:pPr>
                  <w:r>
                    <w:rPr>
                      <w:rFonts w:hint="default" w:ascii="Times New Roman" w:hAnsi="Times New Roman" w:eastAsia="宋体" w:cs="Times New Roman"/>
                      <w:i w:val="0"/>
                      <w:iCs w:val="0"/>
                      <w:color w:val="auto"/>
                      <w:kern w:val="0"/>
                      <w:sz w:val="21"/>
                      <w:szCs w:val="21"/>
                      <w:u w:val="none"/>
                      <w:lang w:val="en-US" w:eastAsia="zh-CN" w:bidi="ar"/>
                    </w:rPr>
                    <w:t>与规划处置规模保持一致</w:t>
                  </w:r>
                </w:p>
              </w:tc>
            </w:tr>
          </w:tbl>
          <w:p w14:paraId="1BD208B6">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eastAsia="宋体" w:cs="Times New Roman"/>
                <w:bCs/>
                <w:color w:val="auto"/>
                <w:sz w:val="24"/>
                <w:szCs w:val="24"/>
                <w:lang w:val="en-US" w:eastAsia="zh-CN"/>
              </w:rPr>
            </w:pPr>
            <w:r>
              <w:rPr>
                <w:rFonts w:hint="eastAsia" w:ascii="Times New Roman" w:hAnsi="Times New Roman" w:eastAsia="宋体" w:cs="Times New Roman"/>
                <w:b/>
                <w:bCs w:val="0"/>
                <w:color w:val="auto"/>
                <w:sz w:val="24"/>
                <w:szCs w:val="24"/>
                <w:lang w:val="en-US" w:eastAsia="zh-CN"/>
              </w:rPr>
              <w:t>5 公用工程</w:t>
            </w:r>
          </w:p>
          <w:p w14:paraId="6BA65806">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eastAsia="宋体" w:cs="Times New Roman"/>
                <w:bCs/>
                <w:color w:val="auto"/>
                <w:sz w:val="24"/>
                <w:szCs w:val="24"/>
                <w:lang w:val="en-US" w:eastAsia="zh-CN"/>
              </w:rPr>
            </w:pPr>
            <w:r>
              <w:rPr>
                <w:rFonts w:hint="eastAsia" w:ascii="Times New Roman" w:hAnsi="Times New Roman" w:eastAsia="宋体" w:cs="Times New Roman"/>
                <w:b/>
                <w:bCs w:val="0"/>
                <w:color w:val="auto"/>
                <w:sz w:val="24"/>
                <w:szCs w:val="24"/>
                <w:lang w:val="en-US" w:eastAsia="zh-CN"/>
              </w:rPr>
              <w:t>5.1 供水</w:t>
            </w:r>
          </w:p>
          <w:p w14:paraId="29846E8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auto"/>
                <w:sz w:val="24"/>
                <w:szCs w:val="24"/>
                <w:lang w:val="en-US" w:eastAsia="zh-CN"/>
              </w:rPr>
            </w:pPr>
            <w:r>
              <w:rPr>
                <w:rFonts w:hint="eastAsia" w:ascii="Times New Roman" w:hAnsi="Times New Roman" w:eastAsia="宋体" w:cs="Times New Roman"/>
                <w:bCs/>
                <w:color w:val="auto"/>
                <w:sz w:val="24"/>
                <w:szCs w:val="24"/>
                <w:lang w:val="en-US" w:eastAsia="zh-CN"/>
              </w:rPr>
              <w:t>本项目供水由昌吉市供水系统提供，项目用水主要为生活用水、车辆冲洗用水、场区抑尘用水。</w:t>
            </w:r>
          </w:p>
          <w:p w14:paraId="249741B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auto"/>
                <w:sz w:val="24"/>
                <w:szCs w:val="24"/>
                <w:lang w:val="en-US" w:eastAsia="zh-CN"/>
              </w:rPr>
            </w:pPr>
            <w:r>
              <w:rPr>
                <w:rFonts w:hint="eastAsia" w:ascii="Times New Roman" w:hAnsi="Times New Roman" w:eastAsia="宋体" w:cs="Times New Roman"/>
                <w:bCs/>
                <w:color w:val="auto"/>
                <w:sz w:val="24"/>
                <w:szCs w:val="24"/>
                <w:lang w:val="en-US" w:eastAsia="zh-CN"/>
              </w:rPr>
              <w:t>（1）生活用水</w:t>
            </w:r>
          </w:p>
          <w:p w14:paraId="714EF60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sz w:val="24"/>
                <w:szCs w:val="24"/>
                <w:lang w:val="en-US" w:eastAsia="zh-CN"/>
              </w:rPr>
            </w:pPr>
            <w:r>
              <w:rPr>
                <w:rFonts w:hint="eastAsia" w:ascii="宋体" w:hAnsi="宋体" w:eastAsia="宋体" w:cs="宋体"/>
                <w:color w:val="auto"/>
                <w:kern w:val="0"/>
                <w:sz w:val="24"/>
                <w:szCs w:val="24"/>
                <w:lang w:val="en-US" w:eastAsia="zh-CN" w:bidi="ar"/>
              </w:rPr>
              <w:t>本项目劳动定员为</w:t>
            </w:r>
            <w:r>
              <w:rPr>
                <w:rFonts w:hint="eastAsia" w:ascii="Times New Roman" w:hAnsi="Times New Roman" w:eastAsia="宋体" w:cs="Times New Roman"/>
                <w:color w:val="auto"/>
                <w:kern w:val="0"/>
                <w:sz w:val="24"/>
                <w:szCs w:val="24"/>
                <w:lang w:val="en-US" w:eastAsia="zh-CN" w:bidi="ar"/>
              </w:rPr>
              <w:t>10</w:t>
            </w:r>
            <w:r>
              <w:rPr>
                <w:rFonts w:hint="default" w:ascii="Times New Roman" w:hAnsi="Times New Roman" w:eastAsia="宋体" w:cs="Times New Roman"/>
                <w:color w:val="auto"/>
                <w:kern w:val="0"/>
                <w:sz w:val="24"/>
                <w:szCs w:val="24"/>
                <w:lang w:val="en-US" w:eastAsia="zh-CN" w:bidi="ar"/>
              </w:rPr>
              <w:t>人，年生产</w:t>
            </w:r>
            <w:r>
              <w:rPr>
                <w:rFonts w:hint="eastAsia" w:ascii="Times New Roman" w:hAnsi="Times New Roman" w:eastAsia="宋体" w:cs="Times New Roman"/>
                <w:color w:val="auto"/>
                <w:kern w:val="0"/>
                <w:sz w:val="24"/>
                <w:szCs w:val="24"/>
                <w:lang w:val="en-US" w:eastAsia="zh-CN" w:bidi="ar"/>
              </w:rPr>
              <w:t>300</w:t>
            </w:r>
            <w:r>
              <w:rPr>
                <w:rFonts w:hint="default" w:ascii="Times New Roman" w:hAnsi="Times New Roman" w:eastAsia="宋体" w:cs="Times New Roman"/>
                <w:color w:val="auto"/>
                <w:kern w:val="0"/>
                <w:sz w:val="24"/>
                <w:szCs w:val="24"/>
                <w:lang w:val="en-US" w:eastAsia="zh-CN" w:bidi="ar"/>
              </w:rPr>
              <w:t>天，生活用水按用水量</w:t>
            </w:r>
            <w:r>
              <w:rPr>
                <w:rFonts w:hint="eastAsia" w:ascii="Times New Roman" w:hAnsi="Times New Roman" w:eastAsia="宋体" w:cs="Times New Roman"/>
                <w:color w:val="auto"/>
                <w:kern w:val="0"/>
                <w:sz w:val="24"/>
                <w:szCs w:val="24"/>
                <w:lang w:val="en-US" w:eastAsia="zh-CN" w:bidi="ar"/>
              </w:rPr>
              <w:t>8</w:t>
            </w:r>
            <w:r>
              <w:rPr>
                <w:rFonts w:hint="default" w:ascii="Times New Roman" w:hAnsi="Times New Roman" w:eastAsia="宋体" w:cs="Times New Roman"/>
                <w:color w:val="auto"/>
                <w:kern w:val="0"/>
                <w:sz w:val="24"/>
                <w:szCs w:val="24"/>
                <w:lang w:val="en-US" w:eastAsia="zh-CN" w:bidi="ar"/>
              </w:rPr>
              <w:t>0L/</w:t>
            </w:r>
            <w:r>
              <w:rPr>
                <w:rFonts w:hint="eastAsia" w:ascii="宋体" w:hAnsi="宋体" w:eastAsia="宋体" w:cs="宋体"/>
                <w:color w:val="auto"/>
                <w:kern w:val="0"/>
                <w:sz w:val="24"/>
                <w:szCs w:val="24"/>
                <w:lang w:val="en-US" w:eastAsia="zh-CN" w:bidi="ar"/>
              </w:rPr>
              <w:t>人</w:t>
            </w:r>
            <w:r>
              <w:rPr>
                <w:rFonts w:hint="default" w:ascii="Times New Roman" w:hAnsi="Times New Roman" w:eastAsia="宋体" w:cs="Times New Roman"/>
                <w:color w:val="auto"/>
                <w:kern w:val="0"/>
                <w:sz w:val="24"/>
                <w:szCs w:val="24"/>
                <w:lang w:val="en-US" w:eastAsia="zh-CN" w:bidi="ar"/>
              </w:rPr>
              <w:t>·</w:t>
            </w:r>
            <w:r>
              <w:rPr>
                <w:rFonts w:hint="eastAsia" w:ascii="宋体" w:hAnsi="宋体" w:eastAsia="宋体" w:cs="宋体"/>
                <w:color w:val="auto"/>
                <w:kern w:val="0"/>
                <w:sz w:val="24"/>
                <w:szCs w:val="24"/>
                <w:lang w:val="en-US" w:eastAsia="zh-CN" w:bidi="ar"/>
              </w:rPr>
              <w:t>天测算，则用水量为</w:t>
            </w:r>
            <w:r>
              <w:rPr>
                <w:rFonts w:hint="eastAsia" w:ascii="Times New Roman" w:hAnsi="Times New Roman" w:eastAsia="宋体" w:cs="Times New Roman"/>
                <w:color w:val="auto"/>
                <w:kern w:val="0"/>
                <w:sz w:val="24"/>
                <w:szCs w:val="24"/>
                <w:lang w:val="en-US" w:eastAsia="zh-CN" w:bidi="ar"/>
              </w:rPr>
              <w:t>0.8m</w:t>
            </w:r>
            <w:r>
              <w:rPr>
                <w:rFonts w:hint="eastAsia"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/d</w:t>
            </w:r>
            <w:r>
              <w:rPr>
                <w:rFonts w:hint="eastAsia" w:ascii="宋体" w:hAnsi="宋体" w:eastAsia="宋体" w:cs="宋体"/>
                <w:color w:val="auto"/>
                <w:kern w:val="0"/>
                <w:sz w:val="24"/>
                <w:szCs w:val="24"/>
                <w:lang w:val="en-US" w:eastAsia="zh-CN" w:bidi="ar"/>
              </w:rPr>
              <w:t>（</w:t>
            </w:r>
            <w:r>
              <w:rPr>
                <w:rFonts w:hint="eastAsia" w:ascii="Times New Roman" w:hAnsi="Times New Roman" w:eastAsia="宋体" w:cs="Times New Roman"/>
                <w:color w:val="auto"/>
                <w:kern w:val="0"/>
                <w:sz w:val="24"/>
                <w:szCs w:val="24"/>
                <w:lang w:val="en-US" w:eastAsia="zh-CN" w:bidi="ar"/>
              </w:rPr>
              <w:t>240m</w:t>
            </w:r>
            <w:r>
              <w:rPr>
                <w:rFonts w:hint="eastAsia"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/a</w:t>
            </w:r>
            <w:r>
              <w:rPr>
                <w:rFonts w:hint="eastAsia" w:ascii="宋体" w:hAnsi="宋体" w:eastAsia="宋体" w:cs="宋体"/>
                <w:color w:val="auto"/>
                <w:kern w:val="0"/>
                <w:sz w:val="24"/>
                <w:szCs w:val="24"/>
                <w:lang w:val="en-US" w:eastAsia="zh-CN" w:bidi="ar"/>
              </w:rPr>
              <w:t>）。</w:t>
            </w:r>
          </w:p>
          <w:p w14:paraId="34B4CF2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auto"/>
                <w:sz w:val="24"/>
                <w:szCs w:val="24"/>
                <w:lang w:val="en-US" w:eastAsia="zh-CN"/>
              </w:rPr>
            </w:pPr>
            <w:r>
              <w:rPr>
                <w:rFonts w:hint="eastAsia" w:ascii="Times New Roman" w:hAnsi="Times New Roman" w:eastAsia="宋体" w:cs="Times New Roman"/>
                <w:bCs/>
                <w:color w:val="auto"/>
                <w:sz w:val="24"/>
                <w:szCs w:val="24"/>
                <w:lang w:val="en-US" w:eastAsia="zh-CN"/>
              </w:rPr>
              <w:t>（2）车辆冲洗用水</w:t>
            </w:r>
          </w:p>
          <w:p w14:paraId="126D6AD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sz w:val="24"/>
                <w:szCs w:val="24"/>
                <w:lang w:val="en-US" w:eastAsia="zh-CN"/>
              </w:rPr>
            </w:pPr>
            <w:r>
              <w:rPr>
                <w:rFonts w:hint="eastAsia" w:ascii="Times New Roman" w:hAnsi="Times New Roman" w:eastAsia="宋体" w:cs="Times New Roman"/>
                <w:bCs/>
                <w:color w:val="auto"/>
                <w:sz w:val="24"/>
                <w:szCs w:val="24"/>
                <w:lang w:val="en-US" w:eastAsia="zh-CN"/>
              </w:rPr>
              <w:t>本项目在出口设置洗车平台，对出场车辆进行冲洗，洗车平台日均冲洗车辆次数约10辆次，每次冲洗用水量取60L/辆，则冲洗用水量为0.6t/d（144t/a、全年洗车天数以240天计）。车辆冲洗废水经沉淀池处理后循环回用，损耗按20%计，则洗车补水量为28.8t/a。</w:t>
            </w:r>
          </w:p>
          <w:p w14:paraId="30C08F7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auto"/>
                <w:sz w:val="24"/>
                <w:szCs w:val="24"/>
                <w:lang w:val="en-US" w:eastAsia="zh-CN"/>
              </w:rPr>
            </w:pPr>
            <w:r>
              <w:rPr>
                <w:rFonts w:hint="eastAsia" w:ascii="Times New Roman" w:hAnsi="Times New Roman" w:eastAsia="宋体" w:cs="Times New Roman"/>
                <w:bCs/>
                <w:color w:val="auto"/>
                <w:sz w:val="24"/>
                <w:szCs w:val="24"/>
                <w:lang w:val="en-US" w:eastAsia="zh-CN"/>
              </w:rPr>
              <w:t>（3）抑尘用水</w:t>
            </w:r>
          </w:p>
          <w:p w14:paraId="59B1EA1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auto"/>
                <w:sz w:val="24"/>
                <w:szCs w:val="24"/>
                <w:vertAlign w:val="baseline"/>
                <w:lang w:val="en-US" w:eastAsia="zh-CN"/>
              </w:rPr>
            </w:pPr>
            <w:r>
              <w:rPr>
                <w:rFonts w:hint="default" w:ascii="Times New Roman" w:hAnsi="Times New Roman" w:eastAsia="宋体" w:cs="Times New Roman"/>
                <w:bCs/>
                <w:color w:val="auto"/>
                <w:sz w:val="24"/>
                <w:szCs w:val="24"/>
                <w:lang w:val="en-US" w:eastAsia="zh-CN"/>
              </w:rPr>
              <w:t>本项目调配场场区围挡总长约725m，每2米建设一个高压雾化喷嘴，共设置喷嘴数量363个，单个高压雾化喷嘴流量：取4L/min，每30min喷雾5min，每日有效管控时长10h，则用水量为145.2m</w:t>
            </w:r>
            <w:r>
              <w:rPr>
                <w:rFonts w:hint="default" w:ascii="Times New Roman" w:hAnsi="Times New Roman" w:eastAsia="宋体" w:cs="Times New Roman"/>
                <w:bCs/>
                <w:color w:val="auto"/>
                <w:sz w:val="24"/>
                <w:szCs w:val="24"/>
                <w:vertAlign w:val="superscript"/>
                <w:lang w:val="en-US" w:eastAsia="zh-CN"/>
              </w:rPr>
              <w:t>3</w:t>
            </w:r>
            <w:r>
              <w:rPr>
                <w:rFonts w:hint="eastAsia" w:ascii="Times New Roman" w:hAnsi="Times New Roman" w:eastAsia="宋体" w:cs="Times New Roman"/>
                <w:bCs/>
                <w:color w:val="auto"/>
                <w:sz w:val="24"/>
                <w:szCs w:val="24"/>
                <w:vertAlign w:val="baseline"/>
                <w:lang w:val="en-US" w:eastAsia="zh-CN"/>
              </w:rPr>
              <w:t>/a</w:t>
            </w:r>
            <w:r>
              <w:rPr>
                <w:rFonts w:hint="eastAsia" w:ascii="Times New Roman" w:hAnsi="Times New Roman" w:eastAsia="宋体" w:cs="Times New Roman"/>
                <w:bCs/>
                <w:color w:val="auto"/>
                <w:sz w:val="24"/>
                <w:szCs w:val="24"/>
                <w:lang w:val="en-US" w:eastAsia="zh-CN"/>
              </w:rPr>
              <w:t>。</w:t>
            </w:r>
          </w:p>
          <w:p w14:paraId="0814E35E">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Times New Roman" w:hAnsi="Times New Roman" w:eastAsia="宋体" w:cs="Times New Roman"/>
                <w:bCs/>
                <w:color w:val="auto"/>
                <w:sz w:val="24"/>
                <w:szCs w:val="24"/>
                <w:lang w:val="en-US" w:eastAsia="zh-CN"/>
              </w:rPr>
            </w:pPr>
            <w:r>
              <w:rPr>
                <w:rFonts w:hint="eastAsia" w:ascii="Times New Roman" w:hAnsi="Times New Roman" w:eastAsia="宋体" w:cs="Times New Roman"/>
                <w:b/>
                <w:bCs w:val="0"/>
                <w:color w:val="auto"/>
                <w:sz w:val="24"/>
                <w:szCs w:val="24"/>
                <w:lang w:val="en-US" w:eastAsia="zh-CN"/>
              </w:rPr>
              <w:t>5.2 排水</w:t>
            </w:r>
          </w:p>
          <w:p w14:paraId="6FF8EFD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auto"/>
                <w:sz w:val="24"/>
                <w:szCs w:val="24"/>
                <w:lang w:val="en-US" w:eastAsia="zh-CN"/>
              </w:rPr>
            </w:pPr>
            <w:r>
              <w:rPr>
                <w:rFonts w:hint="eastAsia" w:ascii="Times New Roman" w:hAnsi="Times New Roman" w:eastAsia="宋体" w:cs="Times New Roman"/>
                <w:bCs/>
                <w:color w:val="auto"/>
                <w:sz w:val="24"/>
                <w:szCs w:val="24"/>
                <w:lang w:val="en-US" w:eastAsia="zh-CN"/>
              </w:rPr>
              <w:t>（1）生活用水</w:t>
            </w:r>
          </w:p>
          <w:p w14:paraId="02FFFB8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color w:val="auto"/>
                <w:lang w:val="en-US" w:eastAsia="zh-CN"/>
              </w:rPr>
            </w:pPr>
            <w:r>
              <w:rPr>
                <w:rFonts w:hint="eastAsia" w:ascii="Times New Roman" w:hAnsi="Times New Roman" w:eastAsia="宋体" w:cs="Times New Roman"/>
                <w:bCs/>
                <w:color w:val="auto"/>
                <w:sz w:val="24"/>
                <w:szCs w:val="24"/>
                <w:lang w:val="en-US" w:eastAsia="zh-CN"/>
              </w:rPr>
              <w:t>本项目生活用水量为</w:t>
            </w:r>
            <w:r>
              <w:rPr>
                <w:rFonts w:hint="eastAsia" w:ascii="Times New Roman" w:hAnsi="Times New Roman" w:eastAsia="宋体" w:cs="Times New Roman"/>
                <w:color w:val="auto"/>
                <w:kern w:val="0"/>
                <w:sz w:val="24"/>
                <w:szCs w:val="24"/>
                <w:lang w:val="en-US" w:eastAsia="zh-CN" w:bidi="ar"/>
              </w:rPr>
              <w:t>0.8m</w:t>
            </w:r>
            <w:r>
              <w:rPr>
                <w:rFonts w:hint="eastAsia"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/d</w:t>
            </w:r>
            <w:r>
              <w:rPr>
                <w:rFonts w:hint="eastAsia" w:ascii="宋体" w:hAnsi="宋体" w:eastAsia="宋体" w:cs="宋体"/>
                <w:color w:val="auto"/>
                <w:kern w:val="0"/>
                <w:sz w:val="24"/>
                <w:szCs w:val="24"/>
                <w:lang w:val="en-US" w:eastAsia="zh-CN" w:bidi="ar"/>
              </w:rPr>
              <w:t>（</w:t>
            </w:r>
            <w:r>
              <w:rPr>
                <w:rFonts w:hint="eastAsia" w:ascii="Times New Roman" w:hAnsi="Times New Roman" w:eastAsia="宋体" w:cs="Times New Roman"/>
                <w:color w:val="auto"/>
                <w:kern w:val="0"/>
                <w:sz w:val="24"/>
                <w:szCs w:val="24"/>
                <w:lang w:val="en-US" w:eastAsia="zh-CN" w:bidi="ar"/>
              </w:rPr>
              <w:t>240m</w:t>
            </w:r>
            <w:r>
              <w:rPr>
                <w:rFonts w:hint="eastAsia"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/a</w:t>
            </w:r>
            <w:r>
              <w:rPr>
                <w:rFonts w:hint="eastAsia" w:ascii="宋体" w:hAnsi="宋体" w:eastAsia="宋体" w:cs="宋体"/>
                <w:color w:val="auto"/>
                <w:kern w:val="0"/>
                <w:sz w:val="24"/>
                <w:szCs w:val="24"/>
                <w:lang w:val="en-US" w:eastAsia="zh-CN" w:bidi="ar"/>
              </w:rPr>
              <w:t>），</w:t>
            </w:r>
            <w:r>
              <w:rPr>
                <w:rFonts w:hint="default" w:ascii="Times New Roman" w:hAnsi="Times New Roman" w:eastAsia="宋体" w:cs="Times New Roman"/>
                <w:color w:val="auto"/>
                <w:kern w:val="0"/>
                <w:sz w:val="24"/>
                <w:szCs w:val="24"/>
                <w:highlight w:val="none"/>
                <w:lang w:val="en-US" w:eastAsia="zh-CN" w:bidi="ar"/>
              </w:rPr>
              <w:t>排水量按用水量的9</w:t>
            </w:r>
            <w:r>
              <w:rPr>
                <w:rFonts w:hint="eastAsia" w:ascii="Times New Roman" w:hAnsi="Times New Roman" w:eastAsia="宋体" w:cs="Times New Roman"/>
                <w:color w:val="auto"/>
                <w:kern w:val="0"/>
                <w:sz w:val="24"/>
                <w:szCs w:val="24"/>
                <w:highlight w:val="none"/>
                <w:lang w:val="en-US" w:eastAsia="zh-CN" w:bidi="ar"/>
              </w:rPr>
              <w:t>0</w:t>
            </w:r>
            <w:r>
              <w:rPr>
                <w:rFonts w:hint="default" w:ascii="Times New Roman" w:hAnsi="Times New Roman" w:eastAsia="宋体" w:cs="Times New Roman"/>
                <w:color w:val="auto"/>
                <w:kern w:val="0"/>
                <w:sz w:val="24"/>
                <w:szCs w:val="24"/>
                <w:highlight w:val="none"/>
                <w:lang w:val="en-US" w:eastAsia="zh-CN" w:bidi="ar"/>
              </w:rPr>
              <w:t>%进行计算，则</w:t>
            </w:r>
            <w:r>
              <w:rPr>
                <w:rFonts w:hint="eastAsia" w:ascii="Times New Roman" w:hAnsi="Times New Roman" w:eastAsia="宋体" w:cs="Times New Roman"/>
                <w:color w:val="auto"/>
                <w:kern w:val="0"/>
                <w:sz w:val="24"/>
                <w:szCs w:val="24"/>
                <w:lang w:val="en-US" w:eastAsia="zh-CN" w:bidi="ar"/>
              </w:rPr>
              <w:t>生活污水</w:t>
            </w:r>
            <w:r>
              <w:rPr>
                <w:rFonts w:hint="eastAsia" w:ascii="Times New Roman" w:hAnsi="Times New Roman" w:eastAsia="宋体" w:cs="Times New Roman"/>
                <w:color w:val="auto"/>
                <w:kern w:val="0"/>
                <w:sz w:val="24"/>
                <w:szCs w:val="24"/>
                <w:highlight w:val="none"/>
                <w:lang w:val="en-US" w:eastAsia="zh-CN" w:bidi="ar"/>
              </w:rPr>
              <w:t>排放量</w:t>
            </w:r>
            <w:r>
              <w:rPr>
                <w:rFonts w:hint="default" w:ascii="Times New Roman" w:hAnsi="Times New Roman" w:eastAsia="宋体" w:cs="Times New Roman"/>
                <w:color w:val="auto"/>
                <w:kern w:val="0"/>
                <w:sz w:val="24"/>
                <w:szCs w:val="24"/>
                <w:highlight w:val="none"/>
                <w:lang w:val="en-US" w:eastAsia="zh-CN" w:bidi="ar"/>
              </w:rPr>
              <w:t>为</w:t>
            </w:r>
            <w:r>
              <w:rPr>
                <w:rFonts w:hint="eastAsia" w:ascii="Times New Roman" w:hAnsi="Times New Roman" w:eastAsia="宋体" w:cs="Times New Roman"/>
                <w:color w:val="auto"/>
                <w:kern w:val="0"/>
                <w:sz w:val="24"/>
                <w:szCs w:val="24"/>
                <w:highlight w:val="none"/>
                <w:lang w:val="en-US" w:eastAsia="zh-CN" w:bidi="ar"/>
              </w:rPr>
              <w:t>0.72</w:t>
            </w:r>
            <w:r>
              <w:rPr>
                <w:rFonts w:hint="default" w:ascii="Times New Roman" w:hAnsi="Times New Roman" w:eastAsia="宋体" w:cs="Times New Roman"/>
                <w:color w:val="auto"/>
                <w:kern w:val="0"/>
                <w:sz w:val="24"/>
                <w:szCs w:val="24"/>
                <w:highlight w:val="none"/>
                <w:lang w:val="en-US" w:eastAsia="zh-CN" w:bidi="ar"/>
              </w:rPr>
              <w:t>m</w:t>
            </w:r>
            <w:r>
              <w:rPr>
                <w:rFonts w:hint="default" w:ascii="Times New Roman" w:hAnsi="Times New Roman" w:eastAsia="宋体" w:cs="Times New Roman"/>
                <w:color w:val="auto"/>
                <w:kern w:val="0"/>
                <w:sz w:val="24"/>
                <w:szCs w:val="24"/>
                <w:highlight w:val="none"/>
                <w:vertAlign w:val="superscript"/>
                <w:lang w:val="en-US" w:eastAsia="zh-CN" w:bidi="ar"/>
              </w:rPr>
              <w:t>3</w:t>
            </w:r>
            <w:r>
              <w:rPr>
                <w:rFonts w:hint="default" w:ascii="Times New Roman" w:hAnsi="Times New Roman" w:eastAsia="宋体" w:cs="Times New Roman"/>
                <w:color w:val="auto"/>
                <w:kern w:val="0"/>
                <w:sz w:val="24"/>
                <w:szCs w:val="24"/>
                <w:highlight w:val="none"/>
                <w:lang w:val="en-US" w:eastAsia="zh-CN" w:bidi="ar"/>
              </w:rPr>
              <w:t>/</w:t>
            </w:r>
            <w:r>
              <w:rPr>
                <w:rFonts w:hint="eastAsia" w:ascii="Times New Roman" w:hAnsi="Times New Roman" w:eastAsia="宋体" w:cs="Times New Roman"/>
                <w:color w:val="auto"/>
                <w:kern w:val="0"/>
                <w:sz w:val="24"/>
                <w:szCs w:val="24"/>
                <w:highlight w:val="none"/>
                <w:lang w:val="en-US" w:eastAsia="zh-CN" w:bidi="ar"/>
              </w:rPr>
              <w:t>d</w:t>
            </w:r>
            <w:r>
              <w:rPr>
                <w:rFonts w:hint="eastAsia" w:ascii="宋体" w:hAnsi="宋体" w:eastAsia="宋体" w:cs="宋体"/>
                <w:color w:val="auto"/>
                <w:kern w:val="0"/>
                <w:sz w:val="24"/>
                <w:szCs w:val="24"/>
                <w:lang w:val="en-US" w:eastAsia="zh-CN" w:bidi="ar"/>
              </w:rPr>
              <w:t>（</w:t>
            </w:r>
            <w:r>
              <w:rPr>
                <w:rFonts w:hint="eastAsia" w:ascii="Times New Roman" w:hAnsi="Times New Roman" w:eastAsia="宋体" w:cs="Times New Roman"/>
                <w:color w:val="auto"/>
                <w:kern w:val="0"/>
                <w:sz w:val="24"/>
                <w:szCs w:val="24"/>
                <w:lang w:val="en-US" w:eastAsia="zh-CN" w:bidi="ar"/>
              </w:rPr>
              <w:t>216m</w:t>
            </w:r>
            <w:r>
              <w:rPr>
                <w:rFonts w:hint="eastAsia"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/a</w:t>
            </w:r>
            <w:r>
              <w:rPr>
                <w:rFonts w:hint="eastAsia" w:ascii="宋体" w:hAnsi="宋体" w:eastAsia="宋体" w:cs="宋体"/>
                <w:color w:val="auto"/>
                <w:kern w:val="0"/>
                <w:sz w:val="24"/>
                <w:szCs w:val="24"/>
                <w:lang w:val="en-US" w:eastAsia="zh-CN" w:bidi="ar"/>
              </w:rPr>
              <w:t>）</w:t>
            </w:r>
            <w:r>
              <w:rPr>
                <w:rFonts w:hint="default" w:ascii="Times New Roman" w:hAnsi="Times New Roman" w:eastAsia="宋体" w:cs="Times New Roman"/>
                <w:color w:val="auto"/>
                <w:kern w:val="0"/>
                <w:sz w:val="24"/>
                <w:szCs w:val="24"/>
                <w:highlight w:val="none"/>
                <w:lang w:val="en-US" w:eastAsia="zh-CN" w:bidi="ar"/>
              </w:rPr>
              <w:t>。</w:t>
            </w:r>
            <w:r>
              <w:rPr>
                <w:rFonts w:hint="eastAsia" w:ascii="Times New Roman" w:hAnsi="Times New Roman" w:eastAsia="宋体" w:cs="Times New Roman"/>
                <w:color w:val="auto"/>
                <w:kern w:val="0"/>
                <w:sz w:val="24"/>
                <w:szCs w:val="24"/>
                <w:highlight w:val="none"/>
                <w:lang w:val="en-US" w:eastAsia="zh-CN" w:bidi="ar"/>
              </w:rPr>
              <w:t>生活污水排入经管网排入城北污水处理厂处理。</w:t>
            </w:r>
          </w:p>
          <w:p w14:paraId="3A9F06C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auto"/>
                <w:sz w:val="24"/>
                <w:szCs w:val="24"/>
                <w:lang w:val="en-US" w:eastAsia="zh-CN"/>
              </w:rPr>
            </w:pPr>
            <w:r>
              <w:rPr>
                <w:rFonts w:hint="eastAsia" w:ascii="Times New Roman" w:hAnsi="Times New Roman" w:eastAsia="宋体" w:cs="Times New Roman"/>
                <w:bCs/>
                <w:color w:val="auto"/>
                <w:sz w:val="24"/>
                <w:szCs w:val="24"/>
                <w:lang w:val="en-US" w:eastAsia="zh-CN"/>
              </w:rPr>
              <w:t>（2）车辆冲洗废水</w:t>
            </w:r>
          </w:p>
          <w:p w14:paraId="02C2DC7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sz w:val="24"/>
                <w:szCs w:val="24"/>
                <w:lang w:val="en-US" w:eastAsia="zh-CN"/>
              </w:rPr>
            </w:pPr>
            <w:r>
              <w:rPr>
                <w:rFonts w:hint="eastAsia" w:ascii="Times New Roman" w:hAnsi="Times New Roman" w:eastAsia="宋体" w:cs="Times New Roman"/>
                <w:bCs/>
                <w:color w:val="auto"/>
                <w:sz w:val="24"/>
                <w:szCs w:val="24"/>
                <w:lang w:val="en-US" w:eastAsia="zh-CN"/>
              </w:rPr>
              <w:t>车辆冲洗废水经沉淀池处理后循环回用。</w:t>
            </w:r>
          </w:p>
          <w:p w14:paraId="5A28E2EE">
            <w:pPr>
              <w:pStyle w:val="2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0"/>
              <w:jc w:val="left"/>
              <w:textAlignment w:val="center"/>
              <w:rPr>
                <w:color w:val="auto"/>
              </w:rPr>
            </w:pPr>
            <w:r>
              <w:rPr>
                <w:rFonts w:hint="eastAsia" w:eastAsia="宋体" w:cs="宋体"/>
                <w:b/>
                <w:bCs/>
                <w:color w:val="auto"/>
                <w:spacing w:val="0"/>
                <w:position w:val="0"/>
                <w:sz w:val="24"/>
                <w:szCs w:val="24"/>
                <w:lang w:val="en-US" w:eastAsia="zh-CN"/>
              </w:rPr>
              <w:t xml:space="preserve">6 </w:t>
            </w:r>
            <w:r>
              <w:rPr>
                <w:rFonts w:hint="eastAsia" w:ascii="宋体" w:hAnsi="宋体" w:eastAsia="宋体" w:cs="宋体"/>
                <w:b/>
                <w:bCs/>
                <w:color w:val="auto"/>
                <w:spacing w:val="0"/>
                <w:position w:val="0"/>
                <w:sz w:val="24"/>
                <w:szCs w:val="24"/>
              </w:rPr>
              <w:t>劳动定员及工作制度</w:t>
            </w:r>
          </w:p>
          <w:p w14:paraId="74B6CFB5">
            <w:pPr>
              <w:pStyle w:val="2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480" w:firstLineChars="200"/>
              <w:jc w:val="left"/>
              <w:textAlignment w:val="center"/>
              <w:rPr>
                <w:color w:val="auto"/>
              </w:rPr>
            </w:pPr>
            <w:r>
              <w:rPr>
                <w:rFonts w:hint="eastAsia" w:ascii="宋体" w:hAnsi="宋体" w:eastAsia="宋体" w:cs="宋体"/>
                <w:color w:val="auto"/>
                <w:spacing w:val="0"/>
                <w:position w:val="0"/>
                <w:sz w:val="24"/>
                <w:szCs w:val="24"/>
              </w:rPr>
              <w:t>本项目建成后劳动定员</w:t>
            </w:r>
            <w:r>
              <w:rPr>
                <w:rFonts w:hint="eastAsia" w:eastAsia="宋体" w:cs="宋体"/>
                <w:color w:val="auto"/>
                <w:spacing w:val="0"/>
                <w:position w:val="0"/>
                <w:sz w:val="24"/>
                <w:szCs w:val="24"/>
                <w:lang w:val="en-US" w:eastAsia="zh-CN"/>
              </w:rPr>
              <w:t>为</w:t>
            </w:r>
            <w:r>
              <w:rPr>
                <w:rFonts w:hint="default" w:ascii="Times New Roman" w:hAnsi="Times New Roman" w:cs="Times New Roman"/>
                <w:color w:val="auto"/>
                <w:spacing w:val="0"/>
                <w:position w:val="0"/>
                <w:sz w:val="24"/>
                <w:szCs w:val="24"/>
              </w:rPr>
              <w:t>10</w:t>
            </w:r>
            <w:r>
              <w:rPr>
                <w:rFonts w:hint="eastAsia" w:ascii="宋体" w:hAnsi="宋体" w:eastAsia="宋体" w:cs="宋体"/>
                <w:color w:val="auto"/>
                <w:spacing w:val="0"/>
                <w:position w:val="0"/>
                <w:sz w:val="24"/>
                <w:szCs w:val="24"/>
              </w:rPr>
              <w:t>人，</w:t>
            </w:r>
            <w:r>
              <w:rPr>
                <w:rFonts w:hint="default" w:ascii="Times New Roman" w:hAnsi="Times New Roman" w:cs="Times New Roman"/>
                <w:color w:val="auto"/>
                <w:spacing w:val="0"/>
                <w:position w:val="0"/>
                <w:sz w:val="24"/>
                <w:szCs w:val="24"/>
              </w:rPr>
              <w:t>8h</w:t>
            </w:r>
            <w:r>
              <w:rPr>
                <w:rFonts w:hint="eastAsia" w:ascii="宋体" w:hAnsi="宋体" w:eastAsia="宋体" w:cs="宋体"/>
                <w:color w:val="auto"/>
                <w:spacing w:val="0"/>
                <w:position w:val="0"/>
                <w:sz w:val="24"/>
                <w:szCs w:val="24"/>
              </w:rPr>
              <w:t>工作制，年工作</w:t>
            </w:r>
            <w:r>
              <w:rPr>
                <w:rFonts w:hint="eastAsia" w:ascii="Times New Roman" w:hAnsi="Times New Roman" w:eastAsia="宋体" w:cs="Times New Roman"/>
                <w:color w:val="auto"/>
                <w:spacing w:val="0"/>
                <w:position w:val="0"/>
                <w:sz w:val="24"/>
                <w:szCs w:val="24"/>
                <w:lang w:val="en-US" w:eastAsia="zh-CN"/>
              </w:rPr>
              <w:t>300</w:t>
            </w:r>
            <w:r>
              <w:rPr>
                <w:rFonts w:hint="eastAsia" w:ascii="宋体" w:hAnsi="宋体" w:eastAsia="宋体" w:cs="宋体"/>
                <w:color w:val="auto"/>
                <w:spacing w:val="0"/>
                <w:position w:val="0"/>
                <w:sz w:val="24"/>
                <w:szCs w:val="24"/>
              </w:rPr>
              <w:t>天。</w:t>
            </w:r>
          </w:p>
          <w:p w14:paraId="745A49A1">
            <w:pPr>
              <w:pStyle w:val="2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0"/>
              <w:jc w:val="left"/>
              <w:textAlignment w:val="center"/>
              <w:rPr>
                <w:rFonts w:hint="default" w:ascii="宋体" w:hAnsi="宋体" w:eastAsia="宋体" w:cs="宋体"/>
                <w:b/>
                <w:bCs/>
                <w:color w:val="auto"/>
                <w:spacing w:val="0"/>
                <w:position w:val="0"/>
                <w:sz w:val="24"/>
                <w:szCs w:val="24"/>
                <w:lang w:val="en-US" w:eastAsia="zh-CN"/>
              </w:rPr>
            </w:pPr>
            <w:r>
              <w:rPr>
                <w:rFonts w:hint="eastAsia" w:ascii="宋体" w:hAnsi="宋体" w:eastAsia="宋体" w:cs="宋体"/>
                <w:b/>
                <w:bCs/>
                <w:color w:val="auto"/>
                <w:spacing w:val="0"/>
                <w:position w:val="0"/>
                <w:sz w:val="24"/>
                <w:szCs w:val="24"/>
                <w:lang w:val="en-US" w:eastAsia="zh-CN"/>
              </w:rPr>
              <w:t>7 平面布置</w:t>
            </w:r>
          </w:p>
          <w:p w14:paraId="455A639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sz w:val="24"/>
                <w:szCs w:val="24"/>
                <w:lang w:val="en-US" w:eastAsia="zh-CN"/>
              </w:rPr>
            </w:pPr>
            <w:r>
              <w:rPr>
                <w:rFonts w:hint="eastAsia" w:ascii="Times New Roman" w:hAnsi="Times New Roman" w:eastAsia="宋体" w:cs="Times New Roman"/>
                <w:bCs/>
                <w:color w:val="auto"/>
                <w:sz w:val="24"/>
                <w:szCs w:val="24"/>
                <w:lang w:val="en-US" w:eastAsia="zh-CN"/>
              </w:rPr>
              <w:t>调配场场区北侧设置车辆出入口，采用进出分流形式，满足大型运输车辆通行、装卸及周转需求，出入口区域采用硬化处理。沿场地北侧边界设置雨水排水沟，配套设置三级沉淀池，收集处理场地雨水及车辆冲洗废水；沿场地东侧、南侧、西侧设置C30混凝土反坎，反坎高20cm、宽15cm，防止场内污水、物料外流。场地内部找坡至北侧排水沟，保证排水通畅无积水。</w:t>
            </w:r>
          </w:p>
          <w:p w14:paraId="69C2AA8E">
            <w:pPr>
              <w:pStyle w:val="2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60" w:lineRule="auto"/>
              <w:ind w:left="0" w:firstLine="0"/>
              <w:jc w:val="left"/>
              <w:textAlignment w:val="center"/>
              <w:rPr>
                <w:rFonts w:hint="eastAsia" w:ascii="宋体" w:hAnsi="宋体" w:eastAsia="宋体" w:cs="宋体"/>
                <w:b/>
                <w:bCs/>
                <w:color w:val="auto"/>
                <w:spacing w:val="0"/>
                <w:position w:val="0"/>
                <w:sz w:val="24"/>
                <w:szCs w:val="24"/>
                <w:lang w:val="en-US" w:eastAsia="zh-CN"/>
              </w:rPr>
            </w:pPr>
            <w:r>
              <w:rPr>
                <w:rFonts w:hint="eastAsia" w:ascii="宋体" w:hAnsi="宋体" w:eastAsia="宋体" w:cs="宋体"/>
                <w:b/>
                <w:bCs/>
                <w:color w:val="auto"/>
                <w:spacing w:val="0"/>
                <w:position w:val="0"/>
                <w:sz w:val="24"/>
                <w:szCs w:val="24"/>
                <w:lang w:val="en-US" w:eastAsia="zh-CN"/>
              </w:rPr>
              <w:t>8 依托工程</w:t>
            </w:r>
          </w:p>
          <w:p w14:paraId="6B9D5B3C">
            <w:pPr>
              <w:pStyle w:val="24"/>
              <w:keepNext w:val="0"/>
              <w:keepLines w:val="0"/>
              <w:pageBreakBefore w:val="0"/>
              <w:widowControl/>
              <w:numPr>
                <w:ilvl w:val="0"/>
                <w:numId w:val="4"/>
              </w:numPr>
              <w:suppressLineNumbers w:val="0"/>
              <w:kinsoku/>
              <w:wordWrap/>
              <w:overflowPunct/>
              <w:topLinePunct w:val="0"/>
              <w:autoSpaceDE/>
              <w:autoSpaceDN/>
              <w:bidi w:val="0"/>
              <w:adjustRightInd/>
              <w:snapToGrid/>
              <w:spacing w:before="0" w:beforeAutospacing="0" w:after="0" w:afterAutospacing="0" w:line="360" w:lineRule="auto"/>
              <w:ind w:left="0" w:firstLine="0"/>
              <w:jc w:val="left"/>
              <w:textAlignment w:val="center"/>
              <w:rPr>
                <w:rFonts w:hint="default" w:ascii="Times New Roman" w:hAnsi="Times New Roman" w:eastAsia="宋体" w:cs="Times New Roman"/>
                <w:b/>
                <w:bCs/>
                <w:color w:val="auto"/>
                <w:spacing w:val="0"/>
                <w:position w:val="0"/>
                <w:sz w:val="24"/>
                <w:szCs w:val="24"/>
                <w:lang w:val="en-US" w:eastAsia="zh-CN"/>
              </w:rPr>
            </w:pPr>
            <w:r>
              <w:rPr>
                <w:rFonts w:hint="default" w:ascii="Times New Roman" w:hAnsi="Times New Roman" w:eastAsia="宋体" w:cs="Times New Roman"/>
                <w:b/>
                <w:bCs/>
                <w:color w:val="auto"/>
                <w:spacing w:val="0"/>
                <w:position w:val="0"/>
                <w:sz w:val="24"/>
                <w:szCs w:val="24"/>
                <w:lang w:val="en-US" w:eastAsia="zh-CN"/>
              </w:rPr>
              <w:t>昌吉市建筑、装修垃圾资源化处理项目</w:t>
            </w:r>
          </w:p>
          <w:p w14:paraId="224366D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昌吉市建筑、装修垃圾资源化处理项目位于</w:t>
            </w:r>
            <w:r>
              <w:rPr>
                <w:rFonts w:hint="default" w:ascii="Times New Roman" w:hAnsi="Times New Roman" w:cs="Times New Roman"/>
                <w:color w:val="auto"/>
                <w:sz w:val="24"/>
                <w:highlight w:val="none"/>
                <w:u w:val="none"/>
                <w:lang w:eastAsia="zh-CN"/>
              </w:rPr>
              <w:t>昌吉市大西渠镇北一路与X124省道交汇处东北处，</w:t>
            </w:r>
            <w:r>
              <w:rPr>
                <w:rFonts w:hint="default" w:ascii="Times New Roman" w:hAnsi="Times New Roman" w:cs="Times New Roman"/>
                <w:b w:val="0"/>
                <w:bCs w:val="0"/>
                <w:color w:val="auto"/>
                <w:sz w:val="24"/>
                <w:lang w:val="en-US" w:eastAsia="zh-CN"/>
              </w:rPr>
              <w:t>已于2026年7月8日取得</w:t>
            </w:r>
            <w:r>
              <w:rPr>
                <w:rFonts w:hint="default" w:ascii="Times New Roman" w:hAnsi="Times New Roman" w:cs="Times New Roman"/>
                <w:b w:val="0"/>
                <w:bCs w:val="0"/>
                <w:color w:val="auto"/>
                <w:sz w:val="24"/>
                <w:szCs w:val="24"/>
                <w:lang w:val="en-US" w:eastAsia="zh-CN"/>
              </w:rPr>
              <w:t>昌吉州生态局出具的批复，文号昌州环</w:t>
            </w:r>
            <w:r>
              <w:rPr>
                <w:rFonts w:hint="default" w:ascii="Times New Roman" w:hAnsi="Times New Roman" w:eastAsia="宋体" w:cs="Times New Roman"/>
                <w:b w:val="0"/>
                <w:bCs w:val="0"/>
                <w:color w:val="auto"/>
                <w:sz w:val="24"/>
                <w:szCs w:val="24"/>
                <w:lang w:val="en-US" w:eastAsia="zh-CN"/>
              </w:rPr>
              <w:t>评〔2026〕87号，目前已建设完成并投运，正在开展环境保护竣工验收工作。</w:t>
            </w:r>
            <w:r>
              <w:rPr>
                <w:rFonts w:hint="default" w:ascii="Times New Roman" w:hAnsi="Times New Roman" w:eastAsia="宋体" w:cs="Times New Roman"/>
                <w:b w:val="0"/>
                <w:bCs w:val="0"/>
                <w:color w:val="auto"/>
                <w:sz w:val="24"/>
                <w:szCs w:val="24"/>
              </w:rPr>
              <w:t>资源化项目设计处理规模</w:t>
            </w:r>
            <w:r>
              <w:rPr>
                <w:rStyle w:val="30"/>
                <w:rFonts w:hint="default" w:ascii="Times New Roman" w:hAnsi="Times New Roman" w:eastAsia="宋体" w:cs="Times New Roman"/>
                <w:b w:val="0"/>
                <w:bCs w:val="0"/>
                <w:color w:val="auto"/>
                <w:sz w:val="24"/>
                <w:szCs w:val="24"/>
              </w:rPr>
              <w:t>15万t/a</w:t>
            </w:r>
            <w:r>
              <w:rPr>
                <w:rFonts w:hint="default" w:ascii="Times New Roman" w:hAnsi="Times New Roman" w:eastAsia="宋体" w:cs="Times New Roman"/>
                <w:b w:val="0"/>
                <w:bCs w:val="0"/>
                <w:color w:val="auto"/>
                <w:sz w:val="24"/>
                <w:szCs w:val="24"/>
              </w:rPr>
              <w:t>，与《昌吉市“一市两区”筑垃圾污染环境防治工作规划（2025</w:t>
            </w:r>
            <w:r>
              <w:rPr>
                <w:rFonts w:hint="default" w:ascii="Times New Roman" w:hAnsi="Times New Roman" w:eastAsia="宋体" w:cs="Times New Roman"/>
                <w:b w:val="0"/>
                <w:bCs w:val="0"/>
                <w:color w:val="auto"/>
                <w:sz w:val="24"/>
                <w:szCs w:val="24"/>
              </w:rPr>
              <w:noBreakHyphen/>
            </w:r>
            <w:r>
              <w:rPr>
                <w:rFonts w:hint="default" w:ascii="Times New Roman" w:hAnsi="Times New Roman" w:eastAsia="宋体" w:cs="Times New Roman"/>
                <w:b w:val="0"/>
                <w:bCs w:val="0"/>
                <w:color w:val="auto"/>
                <w:sz w:val="24"/>
                <w:szCs w:val="24"/>
              </w:rPr>
              <w:t>2030年）》规划分配的资源化处置总量完全匹配，可消纳本中转场分流的可回收拆除垃圾、装修垃圾，处置产能能够承接规划内可资源化建筑垃圾，规模上可形成稳定配套依托关系。</w:t>
            </w:r>
          </w:p>
          <w:p w14:paraId="631CB0FD">
            <w:pPr>
              <w:pStyle w:val="24"/>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60" w:lineRule="auto"/>
              <w:ind w:leftChars="0"/>
              <w:jc w:val="left"/>
              <w:textAlignment w:val="center"/>
              <w:rPr>
                <w:rFonts w:hint="default" w:ascii="Times New Roman" w:hAnsi="Times New Roman" w:eastAsia="宋体" w:cs="Times New Roman"/>
                <w:b/>
                <w:bCs/>
                <w:color w:val="auto"/>
                <w:spacing w:val="0"/>
                <w:position w:val="0"/>
                <w:sz w:val="24"/>
                <w:szCs w:val="24"/>
                <w:lang w:val="en-US" w:eastAsia="zh-CN"/>
              </w:rPr>
            </w:pPr>
            <w:r>
              <w:rPr>
                <w:rFonts w:hint="default" w:ascii="Times New Roman" w:hAnsi="Times New Roman" w:eastAsia="宋体" w:cs="Times New Roman"/>
                <w:b/>
                <w:bCs/>
                <w:color w:val="auto"/>
                <w:spacing w:val="0"/>
                <w:position w:val="0"/>
                <w:sz w:val="24"/>
                <w:szCs w:val="24"/>
                <w:lang w:val="en-US" w:eastAsia="zh-CN"/>
              </w:rPr>
              <w:t>（2）建筑垃圾填埋场</w:t>
            </w:r>
          </w:p>
          <w:p w14:paraId="2AE73E8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宋体" w:hAnsi="宋体" w:eastAsia="宋体" w:cs="宋体"/>
                <w:b/>
                <w:bCs/>
                <w:color w:val="auto"/>
                <w:spacing w:val="0"/>
                <w:position w:val="0"/>
                <w:sz w:val="24"/>
                <w:szCs w:val="24"/>
                <w:lang w:val="en-US" w:eastAsia="zh-CN"/>
              </w:rPr>
            </w:pPr>
            <w:r>
              <w:rPr>
                <w:rFonts w:hint="default" w:ascii="Times New Roman" w:hAnsi="Times New Roman" w:eastAsia="宋体" w:cs="Times New Roman"/>
                <w:color w:val="auto"/>
                <w:sz w:val="24"/>
                <w:szCs w:val="24"/>
                <w:lang w:val="en-US" w:eastAsia="zh-CN"/>
              </w:rPr>
              <w:t>昌吉市建筑垃圾处理厂建设项目位于</w:t>
            </w:r>
            <w:r>
              <w:rPr>
                <w:rFonts w:hint="default" w:ascii="Times New Roman" w:hAnsi="Times New Roman" w:eastAsia="宋体" w:cs="Times New Roman"/>
                <w:color w:val="auto"/>
                <w:sz w:val="24"/>
                <w:szCs w:val="24"/>
                <w:u w:val="none"/>
                <w:lang w:val="en-US" w:eastAsia="zh-CN"/>
              </w:rPr>
              <w:t>昌吉市大西渠镇新戽村废弃砖厂以北空地，</w:t>
            </w:r>
            <w:r>
              <w:rPr>
                <w:rFonts w:hint="default" w:ascii="Times New Roman" w:hAnsi="Times New Roman" w:cs="Times New Roman"/>
                <w:bCs/>
                <w:color w:val="auto"/>
                <w:sz w:val="24"/>
                <w:szCs w:val="24"/>
                <w:lang w:val="en-US" w:eastAsia="zh-CN"/>
              </w:rPr>
              <w:t>新建填埋库区66203平方米、规划库容100万立方米，运营服务期10年，</w:t>
            </w:r>
            <w:r>
              <w:rPr>
                <w:rFonts w:hint="default" w:ascii="Times New Roman" w:hAnsi="Times New Roman" w:eastAsia="宋体" w:cs="Times New Roman"/>
                <w:color w:val="auto"/>
                <w:sz w:val="24"/>
                <w:szCs w:val="24"/>
              </w:rPr>
              <w:t>对应《昌吉市“一市两区”建筑垃圾污染环境防治工作规划（2025</w:t>
            </w:r>
            <w:r>
              <w:rPr>
                <w:rFonts w:hint="default" w:ascii="Times New Roman" w:hAnsi="Times New Roman" w:eastAsia="宋体" w:cs="Times New Roman"/>
                <w:color w:val="auto"/>
                <w:sz w:val="24"/>
                <w:szCs w:val="24"/>
              </w:rPr>
              <w:noBreakHyphen/>
            </w:r>
            <w:r>
              <w:rPr>
                <w:rFonts w:hint="default" w:ascii="Times New Roman" w:hAnsi="Times New Roman" w:eastAsia="宋体" w:cs="Times New Roman"/>
                <w:color w:val="auto"/>
                <w:sz w:val="24"/>
                <w:szCs w:val="24"/>
              </w:rPr>
              <w:t>2030 年）》分配的14万t/a填埋处置规模，库容可满足规划周期内不可资源化建筑垃圾的长期消纳需求，处置能力与本中转场外送填埋物料总量相匹配。</w:t>
            </w:r>
            <w:r>
              <w:rPr>
                <w:rFonts w:hint="default" w:ascii="Times New Roman" w:hAnsi="Times New Roman" w:cs="Times New Roman"/>
                <w:bCs/>
                <w:color w:val="auto"/>
                <w:sz w:val="24"/>
                <w:szCs w:val="24"/>
                <w:lang w:val="en-US" w:eastAsia="zh-CN"/>
              </w:rPr>
              <w:t>已于2026年3月12日取得昌吉州生态局出具的批复，文号昌州环</w:t>
            </w:r>
            <w:r>
              <w:rPr>
                <w:rFonts w:hint="default" w:ascii="Times New Roman" w:hAnsi="Times New Roman" w:eastAsia="宋体" w:cs="Times New Roman"/>
                <w:bCs/>
                <w:color w:val="auto"/>
                <w:sz w:val="24"/>
                <w:szCs w:val="24"/>
                <w:lang w:val="en-US" w:eastAsia="zh-CN"/>
              </w:rPr>
              <w:t>评〔2026〕14号，目前正在建设中</w:t>
            </w:r>
            <w:r>
              <w:rPr>
                <w:rFonts w:hint="eastAsia" w:ascii="Times New Roman" w:hAnsi="Times New Roman" w:eastAsia="宋体" w:cs="Times New Roman"/>
                <w:bCs/>
                <w:color w:val="auto"/>
                <w:sz w:val="24"/>
                <w:szCs w:val="24"/>
                <w:lang w:val="en-US" w:eastAsia="zh-CN"/>
              </w:rPr>
              <w:t>，</w:t>
            </w:r>
            <w:r>
              <w:rPr>
                <w:rFonts w:ascii="宋体" w:hAnsi="宋体" w:eastAsia="宋体" w:cs="宋体"/>
                <w:color w:val="auto"/>
                <w:sz w:val="24"/>
                <w:szCs w:val="24"/>
              </w:rPr>
              <w:t>建成后可作为本中转调配场可靠的无害化填埋依托设施，整体依托方案可行。</w:t>
            </w:r>
          </w:p>
        </w:tc>
      </w:tr>
      <w:tr w14:paraId="06AB5D9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43" w:hRule="atLeast"/>
          <w:jc w:val="center"/>
        </w:trPr>
        <w:tc>
          <w:tcPr>
            <w:tcW w:w="916" w:type="dxa"/>
            <w:noWrap w:val="0"/>
            <w:vAlign w:val="center"/>
          </w:tcPr>
          <w:p w14:paraId="438AA2E8">
            <w:pPr>
              <w:pStyle w:val="24"/>
              <w:adjustRightInd w:val="0"/>
              <w:snapToGrid w:val="0"/>
              <w:spacing w:before="0" w:beforeAutospacing="0" w:after="0" w:afterAutospacing="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工艺流程和产排污环节</w:t>
            </w:r>
          </w:p>
        </w:tc>
        <w:tc>
          <w:tcPr>
            <w:tcW w:w="8108" w:type="dxa"/>
            <w:noWrap w:val="0"/>
            <w:vAlign w:val="top"/>
          </w:tcPr>
          <w:p w14:paraId="20D4F986">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eastAsia" w:ascii="Times New Roman" w:hAnsi="Times New Roman" w:eastAsia="宋体" w:cs="Times New Roman"/>
                <w:b/>
                <w:bCs w:val="0"/>
                <w:color w:val="auto"/>
                <w:sz w:val="24"/>
                <w:highlight w:val="none"/>
                <w:lang w:val="en-US" w:eastAsia="zh-CN"/>
              </w:rPr>
            </w:pPr>
            <w:r>
              <w:rPr>
                <w:rFonts w:hint="eastAsia" w:ascii="Times New Roman" w:hAnsi="Times New Roman" w:cs="Times New Roman"/>
                <w:b/>
                <w:bCs w:val="0"/>
                <w:color w:val="auto"/>
                <w:sz w:val="24"/>
                <w:szCs w:val="24"/>
                <w:lang w:val="en-US" w:eastAsia="zh-CN"/>
              </w:rPr>
              <w:t>1 施工期</w:t>
            </w:r>
          </w:p>
          <w:p w14:paraId="4A27F0EE">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uto"/>
              <w:ind w:left="0" w:right="0" w:firstLine="480" w:firstLineChars="200"/>
              <w:jc w:val="left"/>
              <w:rPr>
                <w:rStyle w:val="30"/>
                <w:rFonts w:ascii="宋体" w:hAnsi="宋体" w:eastAsia="宋体" w:cs="宋体"/>
                <w:b/>
                <w:bCs/>
                <w:color w:val="auto"/>
                <w:kern w:val="0"/>
                <w:sz w:val="24"/>
                <w:szCs w:val="24"/>
                <w:lang w:val="en-US" w:eastAsia="zh-CN" w:bidi="ar"/>
              </w:rPr>
            </w:pPr>
            <w:r>
              <w:rPr>
                <w:rFonts w:hint="eastAsia" w:ascii="Symbol" w:hAnsi="Symbol" w:eastAsia="宋体" w:cs="Symbol"/>
                <w:color w:val="auto"/>
                <w:sz w:val="24"/>
                <w:lang w:eastAsia="zh-CN"/>
              </w:rPr>
              <w:t>（</w:t>
            </w:r>
            <w:r>
              <w:rPr>
                <w:rFonts w:hint="eastAsia" w:ascii="Symbol" w:hAnsi="Symbol" w:eastAsia="宋体" w:cs="Symbol"/>
                <w:color w:val="auto"/>
                <w:sz w:val="24"/>
                <w:lang w:val="en-US" w:eastAsia="zh-CN"/>
              </w:rPr>
              <w:t>1</w:t>
            </w:r>
            <w:r>
              <w:rPr>
                <w:rFonts w:hint="eastAsia" w:ascii="Symbol" w:hAnsi="Symbol" w:eastAsia="宋体" w:cs="Symbol"/>
                <w:color w:val="auto"/>
                <w:sz w:val="24"/>
                <w:lang w:eastAsia="zh-CN"/>
              </w:rPr>
              <w:t>）</w:t>
            </w:r>
            <w:r>
              <w:rPr>
                <w:rStyle w:val="30"/>
                <w:rFonts w:ascii="宋体" w:hAnsi="宋体" w:eastAsia="宋体" w:cs="宋体"/>
                <w:b w:val="0"/>
                <w:bCs w:val="0"/>
                <w:color w:val="auto"/>
                <w:kern w:val="0"/>
                <w:sz w:val="24"/>
                <w:szCs w:val="24"/>
                <w:lang w:val="en-US" w:eastAsia="zh-CN" w:bidi="ar"/>
              </w:rPr>
              <w:t>施工准备</w:t>
            </w:r>
          </w:p>
          <w:p w14:paraId="668C552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现场测量放线，明确场地边界、反坎、排水沟、沉淀池、出入口位置；清理地表杂草</w:t>
            </w:r>
            <w:r>
              <w:rPr>
                <w:rFonts w:hint="eastAsia" w:ascii="Times New Roman" w:hAnsi="Times New Roman" w:eastAsia="宋体" w:cs="Times New Roman"/>
                <w:bCs/>
                <w:color w:val="auto"/>
                <w:sz w:val="24"/>
                <w:szCs w:val="24"/>
                <w:lang w:val="en-US" w:eastAsia="zh-CN"/>
              </w:rPr>
              <w:t>、</w:t>
            </w:r>
            <w:r>
              <w:rPr>
                <w:rFonts w:hint="default" w:ascii="Times New Roman" w:hAnsi="Times New Roman" w:eastAsia="宋体" w:cs="Times New Roman"/>
                <w:bCs/>
                <w:color w:val="auto"/>
                <w:sz w:val="24"/>
                <w:szCs w:val="24"/>
                <w:lang w:val="en-US" w:eastAsia="zh-CN"/>
              </w:rPr>
              <w:t>平整场地。</w:t>
            </w:r>
          </w:p>
          <w:p w14:paraId="24140B0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eastAsia" w:ascii="Times New Roman" w:hAnsi="Times New Roman" w:eastAsia="宋体" w:cs="Times New Roman"/>
                <w:bCs/>
                <w:color w:val="auto"/>
                <w:sz w:val="24"/>
                <w:szCs w:val="24"/>
                <w:lang w:val="en-US" w:eastAsia="zh-CN"/>
              </w:rPr>
              <w:t>（2）场地平整</w:t>
            </w:r>
          </w:p>
          <w:p w14:paraId="61FB1C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场地土方整平压实按设计标高457.1~458.0整平场地，分层碾压夯实，压实度满足重载车辆通行要求；场地整体找坡，坡向北侧雨水排水沟，利于排水。</w:t>
            </w:r>
          </w:p>
          <w:p w14:paraId="77B02F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bCs/>
                <w:color w:val="auto"/>
                <w:sz w:val="24"/>
                <w:szCs w:val="24"/>
                <w:lang w:val="en-US" w:eastAsia="zh-CN"/>
              </w:rPr>
            </w:pPr>
            <w:r>
              <w:rPr>
                <w:rFonts w:hint="eastAsia" w:ascii="Times New Roman" w:hAnsi="Times New Roman" w:eastAsia="宋体" w:cs="Times New Roman"/>
                <w:bCs/>
                <w:color w:val="auto"/>
                <w:sz w:val="24"/>
                <w:szCs w:val="24"/>
                <w:lang w:val="en-US" w:eastAsia="zh-CN"/>
              </w:rPr>
              <w:t>（3）</w:t>
            </w:r>
            <w:r>
              <w:rPr>
                <w:rFonts w:hint="default" w:ascii="Times New Roman" w:hAnsi="Times New Roman" w:eastAsia="宋体" w:cs="Times New Roman"/>
                <w:bCs/>
                <w:color w:val="auto"/>
                <w:sz w:val="24"/>
                <w:szCs w:val="24"/>
                <w:lang w:val="en-US" w:eastAsia="zh-CN"/>
              </w:rPr>
              <w:t>混凝土反坎施工</w:t>
            </w:r>
          </w:p>
          <w:p w14:paraId="75B4BDE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场地东、南、西侧支模，浇筑C30混凝土反坎，尺寸高20cm、宽15cm，振捣密实、表面收光，养护达标，起到防渗挡水作用。</w:t>
            </w:r>
          </w:p>
          <w:p w14:paraId="33A3B3B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eastAsia" w:ascii="Times New Roman" w:hAnsi="Times New Roman" w:eastAsia="宋体" w:cs="Times New Roman"/>
                <w:bCs/>
                <w:color w:val="auto"/>
                <w:sz w:val="24"/>
                <w:szCs w:val="24"/>
                <w:lang w:val="en-US" w:eastAsia="zh-CN"/>
              </w:rPr>
              <w:t>（4）排水系统施工</w:t>
            </w:r>
          </w:p>
          <w:p w14:paraId="483FB1A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eastAsia" w:ascii="Times New Roman" w:hAnsi="Times New Roman" w:eastAsia="宋体" w:cs="Times New Roman"/>
                <w:bCs/>
                <w:color w:val="auto"/>
                <w:sz w:val="24"/>
                <w:szCs w:val="24"/>
                <w:lang w:val="en-US" w:eastAsia="zh-CN"/>
              </w:rPr>
              <w:t>场地北侧设置</w:t>
            </w:r>
            <w:r>
              <w:rPr>
                <w:rFonts w:hint="default" w:ascii="Times New Roman" w:hAnsi="Times New Roman" w:eastAsia="宋体" w:cs="Times New Roman"/>
                <w:bCs/>
                <w:color w:val="auto"/>
                <w:sz w:val="24"/>
                <w:szCs w:val="24"/>
                <w:lang w:val="en-US" w:eastAsia="zh-CN"/>
              </w:rPr>
              <w:t>雨水排水沟，同步</w:t>
            </w:r>
            <w:r>
              <w:rPr>
                <w:rFonts w:hint="eastAsia" w:ascii="Times New Roman" w:hAnsi="Times New Roman" w:eastAsia="宋体" w:cs="Times New Roman"/>
                <w:bCs/>
                <w:color w:val="auto"/>
                <w:sz w:val="24"/>
                <w:szCs w:val="24"/>
                <w:lang w:val="en-US" w:eastAsia="zh-CN"/>
              </w:rPr>
              <w:t>开挖</w:t>
            </w:r>
            <w:r>
              <w:rPr>
                <w:rFonts w:hint="default" w:ascii="Times New Roman" w:hAnsi="Times New Roman" w:eastAsia="宋体" w:cs="Times New Roman"/>
                <w:bCs/>
                <w:color w:val="auto"/>
                <w:sz w:val="24"/>
                <w:szCs w:val="24"/>
                <w:lang w:val="en-US" w:eastAsia="zh-CN"/>
              </w:rPr>
              <w:t>沉淀池</w:t>
            </w:r>
            <w:r>
              <w:rPr>
                <w:rFonts w:hint="eastAsia" w:ascii="Times New Roman" w:hAnsi="Times New Roman" w:eastAsia="宋体" w:cs="Times New Roman"/>
                <w:bCs/>
                <w:color w:val="auto"/>
                <w:sz w:val="24"/>
                <w:szCs w:val="24"/>
                <w:lang w:val="en-US" w:eastAsia="zh-CN"/>
              </w:rPr>
              <w:t>和排水沟槽</w:t>
            </w:r>
            <w:r>
              <w:rPr>
                <w:rFonts w:hint="default" w:ascii="Times New Roman" w:hAnsi="Times New Roman" w:eastAsia="宋体" w:cs="Times New Roman"/>
                <w:bCs/>
                <w:color w:val="auto"/>
                <w:sz w:val="24"/>
                <w:szCs w:val="24"/>
                <w:lang w:val="en-US" w:eastAsia="zh-CN"/>
              </w:rPr>
              <w:t>、垫层浇筑、沟体混凝土浇筑、抹面；沉淀池做好防渗处理，实现雨水、冲洗水收集沉淀。</w:t>
            </w:r>
          </w:p>
          <w:p w14:paraId="02D73B18">
            <w:pPr>
              <w:pStyle w:val="46"/>
              <w:spacing w:line="360" w:lineRule="auto"/>
              <w:ind w:firstLine="480" w:firstLineChars="200"/>
              <w:rPr>
                <w:rFonts w:hint="default"/>
                <w:color w:val="auto"/>
                <w:lang w:val="en-US" w:eastAsia="zh-CN"/>
              </w:rPr>
            </w:pPr>
            <w:r>
              <w:rPr>
                <w:rFonts w:hint="eastAsia" w:ascii="Times New Roman" w:hAnsi="Times New Roman" w:eastAsia="宋体" w:cs="Times New Roman"/>
                <w:bCs/>
                <w:color w:val="auto"/>
                <w:sz w:val="24"/>
                <w:szCs w:val="24"/>
                <w:lang w:val="en-US" w:eastAsia="zh-CN"/>
              </w:rPr>
              <w:t>（5）场地硬化</w:t>
            </w:r>
          </w:p>
          <w:p w14:paraId="16F37D0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场地硬化调配作业区及通行区域整体硬化，采用混凝土硬化，满足物料堆放、机械作业、车辆重载通行。</w:t>
            </w:r>
          </w:p>
          <w:p w14:paraId="4E81613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eastAsia" w:ascii="Times New Roman" w:hAnsi="Times New Roman" w:eastAsia="宋体" w:cs="Times New Roman"/>
                <w:bCs/>
                <w:color w:val="auto"/>
                <w:sz w:val="24"/>
                <w:szCs w:val="24"/>
                <w:lang w:val="en-US" w:eastAsia="zh-CN"/>
              </w:rPr>
              <w:t>（6）</w:t>
            </w:r>
            <w:r>
              <w:rPr>
                <w:rFonts w:ascii="宋体" w:hAnsi="宋体" w:eastAsia="宋体" w:cs="宋体"/>
                <w:color w:val="auto"/>
                <w:sz w:val="24"/>
                <w:szCs w:val="24"/>
              </w:rPr>
              <w:t>围挡及环保设施安装</w:t>
            </w:r>
          </w:p>
          <w:p w14:paraId="3B0A9EB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sz w:val="24"/>
                <w:szCs w:val="24"/>
                <w:lang w:val="en-US" w:eastAsia="zh-CN"/>
              </w:rPr>
            </w:pPr>
            <w:r>
              <w:rPr>
                <w:rFonts w:hint="eastAsia" w:ascii="Times New Roman" w:hAnsi="Times New Roman" w:eastAsia="宋体" w:cs="Times New Roman"/>
                <w:bCs/>
                <w:color w:val="auto"/>
                <w:sz w:val="24"/>
                <w:szCs w:val="24"/>
                <w:lang w:val="en-US" w:eastAsia="zh-CN"/>
              </w:rPr>
              <w:t>场地四周</w:t>
            </w:r>
            <w:r>
              <w:rPr>
                <w:rFonts w:hint="default" w:ascii="Times New Roman" w:hAnsi="Times New Roman" w:eastAsia="宋体" w:cs="Times New Roman"/>
                <w:bCs/>
                <w:color w:val="auto"/>
                <w:sz w:val="24"/>
                <w:szCs w:val="24"/>
                <w:lang w:val="en-US" w:eastAsia="zh-CN"/>
              </w:rPr>
              <w:t>安装防飞散网；北侧出入口设置大门，配套车辆冲洗设施。</w:t>
            </w:r>
          </w:p>
          <w:p w14:paraId="2380D466">
            <w:pPr>
              <w:pStyle w:val="46"/>
              <w:spacing w:line="360" w:lineRule="auto"/>
              <w:ind w:firstLine="480" w:firstLineChars="200"/>
              <w:rPr>
                <w:rFonts w:hint="default"/>
                <w:color w:val="auto"/>
                <w:lang w:val="en-US" w:eastAsia="zh-CN"/>
              </w:rPr>
            </w:pPr>
            <w:r>
              <w:rPr>
                <w:rFonts w:hint="eastAsia" w:ascii="Times New Roman" w:hAnsi="Times New Roman" w:eastAsia="宋体" w:cs="Times New Roman"/>
                <w:bCs/>
                <w:color w:val="auto"/>
                <w:sz w:val="24"/>
                <w:szCs w:val="24"/>
                <w:lang w:val="en-US" w:eastAsia="zh-CN"/>
              </w:rPr>
              <w:t>（7）工程验收</w:t>
            </w:r>
          </w:p>
          <w:p w14:paraId="7517BC18">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cs="Times New Roman"/>
                <w:bCs/>
                <w:color w:val="auto"/>
                <w:sz w:val="24"/>
                <w:szCs w:val="24"/>
                <w:lang w:val="en-US" w:eastAsia="zh-CN"/>
              </w:rPr>
            </w:pPr>
            <w:r>
              <w:rPr>
                <w:rFonts w:hint="default" w:ascii="Times New Roman" w:hAnsi="Times New Roman" w:eastAsia="宋体" w:cs="Times New Roman"/>
                <w:bCs/>
                <w:color w:val="auto"/>
                <w:sz w:val="24"/>
                <w:szCs w:val="24"/>
                <w:lang w:val="en-US" w:eastAsia="zh-CN"/>
              </w:rPr>
              <w:t>收尾验收清理现场，完善标识标线、排水系统调试，自检合格后投入使用。</w:t>
            </w:r>
            <w:r>
              <w:rPr>
                <w:rFonts w:hint="eastAsia" w:ascii="Times New Roman" w:hAnsi="Times New Roman" w:cs="Times New Roman"/>
                <w:bCs/>
                <w:color w:val="auto"/>
                <w:sz w:val="24"/>
                <w:szCs w:val="24"/>
                <w:lang w:val="en-US" w:eastAsia="zh-CN"/>
              </w:rPr>
              <w:drawing>
                <wp:inline distT="0" distB="0" distL="114300" distR="114300">
                  <wp:extent cx="5028565" cy="871855"/>
                  <wp:effectExtent l="0" t="0" r="635" b="4445"/>
                  <wp:docPr id="11" name="E657119C-6982-421D-8BA7-E74DEB70A7D9-1"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E657119C-6982-421D-8BA7-E74DEB70A7D9-1" descr="wps"/>
                          <pic:cNvPicPr>
                            <a:picLocks noChangeAspect="1"/>
                          </pic:cNvPicPr>
                        </pic:nvPicPr>
                        <pic:blipFill>
                          <a:blip r:embed="rId18"/>
                          <a:stretch>
                            <a:fillRect/>
                          </a:stretch>
                        </pic:blipFill>
                        <pic:spPr>
                          <a:xfrm>
                            <a:off x="0" y="0"/>
                            <a:ext cx="5028565" cy="871855"/>
                          </a:xfrm>
                          <a:prstGeom prst="rect">
                            <a:avLst/>
                          </a:prstGeom>
                          <a:noFill/>
                          <a:ln>
                            <a:noFill/>
                          </a:ln>
                        </pic:spPr>
                      </pic:pic>
                    </a:graphicData>
                  </a:graphic>
                </wp:inline>
              </w:drawing>
            </w:r>
          </w:p>
          <w:p w14:paraId="7AF92EF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b/>
                <w:bCs w:val="0"/>
                <w:color w:val="auto"/>
                <w:sz w:val="24"/>
                <w:szCs w:val="24"/>
                <w:lang w:val="en-US" w:eastAsia="zh-CN"/>
              </w:rPr>
            </w:pPr>
            <w:r>
              <w:rPr>
                <w:rFonts w:hint="eastAsia" w:ascii="Times New Roman" w:hAnsi="Times New Roman" w:cs="Times New Roman"/>
                <w:b/>
                <w:bCs w:val="0"/>
                <w:color w:val="auto"/>
                <w:sz w:val="21"/>
                <w:szCs w:val="21"/>
                <w:highlight w:val="none"/>
                <w:lang w:val="en-US" w:eastAsia="zh-CN"/>
              </w:rPr>
              <w:t>图2-5   施工期工艺流程及产排污环节图</w:t>
            </w:r>
          </w:p>
          <w:p w14:paraId="0DD9A653">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b/>
                <w:bCs w:val="0"/>
                <w:color w:val="auto"/>
                <w:sz w:val="24"/>
                <w:szCs w:val="24"/>
                <w:lang w:val="en-US" w:eastAsia="zh-CN"/>
              </w:rPr>
            </w:pPr>
            <w:r>
              <w:rPr>
                <w:rFonts w:hint="eastAsia" w:ascii="Times New Roman" w:hAnsi="Times New Roman" w:cs="Times New Roman"/>
                <w:b/>
                <w:bCs w:val="0"/>
                <w:color w:val="auto"/>
                <w:sz w:val="24"/>
                <w:szCs w:val="24"/>
                <w:lang w:val="en-US" w:eastAsia="zh-CN"/>
              </w:rPr>
              <w:t>2 运营期</w:t>
            </w:r>
          </w:p>
          <w:p w14:paraId="7A542CCB">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bCs/>
                <w:color w:val="auto"/>
                <w:sz w:val="24"/>
                <w:szCs w:val="24"/>
                <w:lang w:val="en-US" w:eastAsia="zh-CN"/>
              </w:rPr>
            </w:pPr>
            <w:r>
              <w:rPr>
                <w:rFonts w:hint="eastAsia" w:ascii="Times New Roman" w:hAnsi="Times New Roman" w:cs="Times New Roman"/>
                <w:b/>
                <w:bCs w:val="0"/>
                <w:color w:val="auto"/>
                <w:sz w:val="24"/>
                <w:szCs w:val="24"/>
                <w:lang w:val="en-US" w:eastAsia="zh-CN"/>
              </w:rPr>
              <w:t>2.1 工艺流程</w:t>
            </w:r>
          </w:p>
          <w:p w14:paraId="09A852B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（1）建筑垃圾进场</w:t>
            </w:r>
          </w:p>
          <w:p w14:paraId="0A1DFC0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sz w:val="24"/>
                <w:szCs w:val="24"/>
                <w:lang w:val="en-US" w:eastAsia="zh-CN"/>
              </w:rPr>
            </w:pPr>
            <w:r>
              <w:rPr>
                <w:rFonts w:hint="eastAsia" w:ascii="Times New Roman" w:hAnsi="Times New Roman" w:eastAsia="宋体" w:cs="Times New Roman"/>
                <w:bCs/>
                <w:color w:val="auto"/>
                <w:sz w:val="24"/>
                <w:szCs w:val="24"/>
                <w:lang w:val="en-US" w:eastAsia="zh-CN"/>
              </w:rPr>
              <w:t>收集的建筑垃圾入场核验合格后进入调配场根据建筑垃圾的分类进入相应的区域内暂存。</w:t>
            </w:r>
          </w:p>
          <w:p w14:paraId="3429C34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sz w:val="24"/>
                <w:szCs w:val="24"/>
                <w:lang w:val="en-US" w:eastAsia="zh-CN"/>
              </w:rPr>
            </w:pPr>
            <w:r>
              <w:rPr>
                <w:rFonts w:hint="eastAsia" w:ascii="Times New Roman" w:hAnsi="Times New Roman" w:eastAsia="宋体" w:cs="Times New Roman"/>
                <w:bCs/>
                <w:color w:val="auto"/>
                <w:sz w:val="24"/>
                <w:szCs w:val="24"/>
                <w:lang w:val="en-US" w:eastAsia="zh-CN"/>
              </w:rPr>
              <w:t>（2）建筑垃圾出场</w:t>
            </w:r>
          </w:p>
          <w:p w14:paraId="7045995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sz w:val="24"/>
                <w:szCs w:val="24"/>
                <w:lang w:val="en-US" w:eastAsia="zh-CN"/>
              </w:rPr>
            </w:pPr>
            <w:r>
              <w:rPr>
                <w:rFonts w:hint="eastAsia" w:ascii="Times New Roman" w:hAnsi="Times New Roman" w:eastAsia="宋体" w:cs="Times New Roman"/>
                <w:bCs/>
                <w:color w:val="auto"/>
                <w:sz w:val="24"/>
                <w:szCs w:val="24"/>
                <w:lang w:val="en-US" w:eastAsia="zh-CN"/>
              </w:rPr>
              <w:t>建筑垃圾经调配场中转暂存调配后，</w:t>
            </w:r>
            <w:r>
              <w:rPr>
                <w:rFonts w:hint="eastAsia" w:ascii="Times New Roman" w:hAnsi="Times New Roman" w:eastAsia="宋体" w:cs="Times New Roman"/>
                <w:color w:val="auto"/>
                <w:kern w:val="0"/>
                <w:sz w:val="24"/>
                <w:szCs w:val="22"/>
                <w:highlight w:val="none"/>
                <w:lang w:val="en-US" w:eastAsia="zh-CN"/>
              </w:rPr>
              <w:t>其中工程渣土</w:t>
            </w:r>
            <w:r>
              <w:rPr>
                <w:rFonts w:hint="default" w:ascii="Times New Roman" w:hAnsi="Times New Roman" w:eastAsia="宋体" w:cs="Times New Roman"/>
                <w:color w:val="auto"/>
                <w:sz w:val="24"/>
                <w:szCs w:val="24"/>
                <w:highlight w:val="none"/>
              </w:rPr>
              <w:t>调配至其他地方回填利用</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kern w:val="0"/>
                <w:sz w:val="24"/>
                <w:szCs w:val="22"/>
                <w:highlight w:val="none"/>
                <w:lang w:val="en-US" w:eastAsia="zh-CN"/>
              </w:rPr>
              <w:t>工程垃圾、装修垃圾、工程渣土</w:t>
            </w:r>
            <w:r>
              <w:rPr>
                <w:rFonts w:hint="eastAsia" w:ascii="Times New Roman" w:hAnsi="Times New Roman" w:eastAsia="宋体" w:cs="Times New Roman"/>
                <w:bCs/>
                <w:color w:val="auto"/>
                <w:sz w:val="24"/>
                <w:szCs w:val="24"/>
                <w:lang w:val="en-US" w:eastAsia="zh-CN"/>
              </w:rPr>
              <w:t>待建筑垃圾填埋场和建筑垃圾资源化利用项目运行后，应优先运至资源化利用项目，无法资源</w:t>
            </w:r>
            <w:r>
              <w:rPr>
                <w:rFonts w:hint="eastAsia" w:cs="Times New Roman"/>
                <w:bCs/>
                <w:color w:val="auto"/>
                <w:sz w:val="24"/>
                <w:szCs w:val="24"/>
                <w:lang w:val="en-US" w:eastAsia="zh-CN"/>
              </w:rPr>
              <w:t>化</w:t>
            </w:r>
            <w:r>
              <w:rPr>
                <w:rFonts w:hint="eastAsia" w:ascii="Times New Roman" w:hAnsi="Times New Roman" w:eastAsia="宋体" w:cs="Times New Roman"/>
                <w:bCs/>
                <w:color w:val="auto"/>
                <w:sz w:val="24"/>
                <w:szCs w:val="24"/>
                <w:lang w:val="en-US" w:eastAsia="zh-CN"/>
              </w:rPr>
              <w:t>利用的运输至建筑垃圾填埋场进行填埋处置。</w:t>
            </w:r>
          </w:p>
          <w:p w14:paraId="2154700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sz w:val="24"/>
                <w:szCs w:val="24"/>
                <w:lang w:val="en-US" w:eastAsia="zh-CN"/>
              </w:rPr>
            </w:pPr>
            <w:r>
              <w:rPr>
                <w:rFonts w:hint="eastAsia" w:ascii="Times New Roman" w:hAnsi="Times New Roman" w:eastAsia="宋体" w:cs="Times New Roman"/>
                <w:bCs/>
                <w:color w:val="auto"/>
                <w:sz w:val="24"/>
                <w:szCs w:val="24"/>
                <w:lang w:val="en-US" w:eastAsia="zh-CN"/>
              </w:rPr>
              <w:t>该过程中主要产生车辆运输扬尘、建筑垃圾装卸过程中产生的粉尘、堆存粉尘以及洗车废水、车辆运输噪声。</w:t>
            </w:r>
          </w:p>
          <w:p w14:paraId="0DA21C9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sz w:val="24"/>
                <w:szCs w:val="24"/>
                <w:lang w:val="en-US" w:eastAsia="zh-CN"/>
              </w:rPr>
            </w:pPr>
            <w:r>
              <w:rPr>
                <w:rFonts w:hint="eastAsia" w:ascii="Times New Roman" w:hAnsi="Times New Roman" w:eastAsia="宋体" w:cs="Times New Roman"/>
                <w:bCs/>
                <w:color w:val="auto"/>
                <w:sz w:val="24"/>
                <w:szCs w:val="24"/>
                <w:lang w:val="en-US" w:eastAsia="zh-CN"/>
              </w:rPr>
              <w:t>本项目运营期工艺流程图及产排污环节见下图。</w:t>
            </w:r>
          </w:p>
          <w:p w14:paraId="147BE3F5">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center"/>
              <w:textAlignment w:val="auto"/>
              <w:rPr>
                <w:rFonts w:hint="eastAsia" w:ascii="Times New Roman" w:hAnsi="Times New Roman" w:eastAsia="宋体" w:cs="Times New Roman"/>
                <w:bCs/>
                <w:color w:val="auto"/>
                <w:sz w:val="24"/>
                <w:szCs w:val="24"/>
                <w:lang w:val="en-US" w:eastAsia="zh-CN"/>
              </w:rPr>
            </w:pPr>
            <w:r>
              <w:rPr>
                <w:rFonts w:hint="eastAsia" w:ascii="Times New Roman" w:hAnsi="Times New Roman" w:eastAsia="宋体" w:cs="Times New Roman"/>
                <w:bCs/>
                <w:color w:val="auto"/>
                <w:sz w:val="24"/>
                <w:szCs w:val="24"/>
                <w:lang w:val="en-US" w:eastAsia="zh-CN"/>
              </w:rPr>
              <w:drawing>
                <wp:anchor distT="0" distB="0" distL="114300" distR="114300" simplePos="0" relativeHeight="251662336" behindDoc="0" locked="0" layoutInCell="1" allowOverlap="1">
                  <wp:simplePos x="0" y="0"/>
                  <wp:positionH relativeFrom="column">
                    <wp:posOffset>57150</wp:posOffset>
                  </wp:positionH>
                  <wp:positionV relativeFrom="paragraph">
                    <wp:posOffset>8255</wp:posOffset>
                  </wp:positionV>
                  <wp:extent cx="5031105" cy="731520"/>
                  <wp:effectExtent l="0" t="0" r="0" b="1905"/>
                  <wp:wrapTopAndBottom/>
                  <wp:docPr id="2" name="E657119C-6982-421D-8BA7-E74DEB70A7D9-2" descr="w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657119C-6982-421D-8BA7-E74DEB70A7D9-2" descr="wps"/>
                          <pic:cNvPicPr>
                            <a:picLocks noChangeAspect="1"/>
                          </pic:cNvPicPr>
                        </pic:nvPicPr>
                        <pic:blipFill>
                          <a:blip r:embed="rId19"/>
                          <a:stretch>
                            <a:fillRect/>
                          </a:stretch>
                        </pic:blipFill>
                        <pic:spPr>
                          <a:xfrm>
                            <a:off x="0" y="0"/>
                            <a:ext cx="5031105" cy="731520"/>
                          </a:xfrm>
                          <a:prstGeom prst="rect">
                            <a:avLst/>
                          </a:prstGeom>
                          <a:noFill/>
                          <a:ln>
                            <a:noFill/>
                          </a:ln>
                        </pic:spPr>
                      </pic:pic>
                    </a:graphicData>
                  </a:graphic>
                </wp:anchor>
              </w:drawing>
            </w:r>
            <w:r>
              <w:rPr>
                <w:rFonts w:hint="eastAsia" w:ascii="Times New Roman" w:hAnsi="Times New Roman" w:cs="Times New Roman"/>
                <w:b/>
                <w:bCs w:val="0"/>
                <w:color w:val="auto"/>
                <w:sz w:val="21"/>
                <w:szCs w:val="21"/>
                <w:highlight w:val="none"/>
                <w:lang w:val="en-US" w:eastAsia="zh-CN"/>
              </w:rPr>
              <w:t>图2-4   运营期工艺流程及产排污环节图</w:t>
            </w:r>
          </w:p>
          <w:p w14:paraId="27D39E5D">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eastAsia="宋体" w:cs="Times New Roman"/>
                <w:bCs/>
                <w:color w:val="auto"/>
                <w:sz w:val="24"/>
                <w:szCs w:val="24"/>
                <w:lang w:val="en-US" w:eastAsia="zh-CN"/>
              </w:rPr>
            </w:pPr>
            <w:r>
              <w:rPr>
                <w:rFonts w:hint="eastAsia" w:ascii="Times New Roman" w:hAnsi="Times New Roman" w:eastAsia="宋体" w:cs="Times New Roman"/>
                <w:b/>
                <w:bCs w:val="0"/>
                <w:color w:val="auto"/>
                <w:sz w:val="24"/>
                <w:szCs w:val="24"/>
                <w:lang w:val="en-US" w:eastAsia="zh-CN"/>
              </w:rPr>
              <w:t>2.2 产排污环节</w:t>
            </w:r>
          </w:p>
          <w:p w14:paraId="4C702F6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bCs/>
                <w:color w:val="auto"/>
                <w:sz w:val="21"/>
                <w:szCs w:val="21"/>
                <w:lang w:val="en-US" w:eastAsia="zh-CN"/>
              </w:rPr>
            </w:pPr>
            <w:r>
              <w:rPr>
                <w:rFonts w:hint="eastAsia" w:ascii="Times New Roman" w:hAnsi="Times New Roman" w:eastAsia="宋体" w:cs="Times New Roman"/>
                <w:color w:val="auto"/>
                <w:sz w:val="24"/>
                <w:szCs w:val="24"/>
                <w:lang w:val="en-US" w:eastAsia="zh-CN"/>
              </w:rPr>
              <w:t>本项目营运期污染工序与污染因子见下表。</w:t>
            </w:r>
          </w:p>
          <w:p w14:paraId="393DCBD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表2-</w:t>
            </w:r>
            <w:r>
              <w:rPr>
                <w:rFonts w:hint="eastAsia" w:ascii="Times New Roman" w:hAnsi="Times New Roman" w:eastAsia="宋体" w:cs="Times New Roman"/>
                <w:b/>
                <w:bCs/>
                <w:color w:val="auto"/>
                <w:sz w:val="21"/>
                <w:szCs w:val="21"/>
                <w:lang w:val="en-US" w:eastAsia="zh-CN"/>
              </w:rPr>
              <w:t>8</w:t>
            </w:r>
            <w:r>
              <w:rPr>
                <w:rFonts w:hint="default" w:ascii="Times New Roman" w:hAnsi="Times New Roman" w:eastAsia="宋体" w:cs="Times New Roman"/>
                <w:b/>
                <w:bCs/>
                <w:color w:val="auto"/>
                <w:sz w:val="21"/>
                <w:szCs w:val="21"/>
                <w:lang w:val="en-US" w:eastAsia="zh-CN"/>
              </w:rPr>
              <w:t xml:space="preserve">   项目产排污情况汇总表</w:t>
            </w:r>
          </w:p>
          <w:tbl>
            <w:tblPr>
              <w:tblStyle w:val="28"/>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2953"/>
              <w:gridCol w:w="3706"/>
            </w:tblGrid>
            <w:tr w14:paraId="510694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pct"/>
                  <w:tcBorders>
                    <w:bottom w:val="single" w:color="auto" w:sz="12" w:space="0"/>
                  </w:tcBorders>
                  <w:noWrap w:val="0"/>
                  <w:vAlign w:val="center"/>
                </w:tcPr>
                <w:p w14:paraId="010C697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vertAlign w:val="baseline"/>
                      <w:lang w:val="en-US" w:eastAsia="zh-CN"/>
                    </w:rPr>
                  </w:pPr>
                  <w:r>
                    <w:rPr>
                      <w:rFonts w:hint="eastAsia" w:ascii="Times New Roman" w:hAnsi="Times New Roman" w:eastAsia="宋体" w:cs="Times New Roman"/>
                      <w:b/>
                      <w:bCs/>
                      <w:color w:val="auto"/>
                      <w:sz w:val="21"/>
                      <w:szCs w:val="21"/>
                      <w:vertAlign w:val="baseline"/>
                      <w:lang w:val="en-US" w:eastAsia="zh-CN"/>
                    </w:rPr>
                    <w:t>污染类别</w:t>
                  </w:r>
                </w:p>
              </w:tc>
              <w:tc>
                <w:tcPr>
                  <w:tcW w:w="1871" w:type="pct"/>
                  <w:tcBorders>
                    <w:bottom w:val="single" w:color="auto" w:sz="12" w:space="0"/>
                  </w:tcBorders>
                  <w:noWrap w:val="0"/>
                  <w:vAlign w:val="center"/>
                </w:tcPr>
                <w:p w14:paraId="321DDF7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vertAlign w:val="baseline"/>
                      <w:lang w:val="en-US" w:eastAsia="zh-CN"/>
                    </w:rPr>
                  </w:pPr>
                  <w:r>
                    <w:rPr>
                      <w:rFonts w:hint="eastAsia" w:ascii="Times New Roman" w:hAnsi="Times New Roman" w:eastAsia="宋体" w:cs="Times New Roman"/>
                      <w:b/>
                      <w:bCs/>
                      <w:color w:val="auto"/>
                      <w:sz w:val="21"/>
                      <w:szCs w:val="21"/>
                      <w:vertAlign w:val="baseline"/>
                      <w:lang w:val="en-US" w:eastAsia="zh-CN"/>
                    </w:rPr>
                    <w:t>污染源/污染工序</w:t>
                  </w:r>
                </w:p>
              </w:tc>
              <w:tc>
                <w:tcPr>
                  <w:tcW w:w="2348" w:type="pct"/>
                  <w:tcBorders>
                    <w:bottom w:val="single" w:color="auto" w:sz="12" w:space="0"/>
                  </w:tcBorders>
                  <w:noWrap w:val="0"/>
                  <w:vAlign w:val="center"/>
                </w:tcPr>
                <w:p w14:paraId="4A65485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vertAlign w:val="baseline"/>
                      <w:lang w:val="en-US" w:eastAsia="zh-CN"/>
                    </w:rPr>
                  </w:pPr>
                  <w:r>
                    <w:rPr>
                      <w:rFonts w:hint="eastAsia" w:ascii="Times New Roman" w:hAnsi="Times New Roman" w:eastAsia="宋体" w:cs="Times New Roman"/>
                      <w:b/>
                      <w:bCs/>
                      <w:color w:val="auto"/>
                      <w:sz w:val="21"/>
                      <w:szCs w:val="21"/>
                      <w:vertAlign w:val="baseline"/>
                      <w:lang w:val="en-US" w:eastAsia="zh-CN"/>
                    </w:rPr>
                    <w:t>污染因子</w:t>
                  </w:r>
                </w:p>
              </w:tc>
            </w:tr>
            <w:tr w14:paraId="6878F4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pct"/>
                  <w:vMerge w:val="restart"/>
                  <w:tcBorders>
                    <w:top w:val="single" w:color="auto" w:sz="12" w:space="0"/>
                    <w:tl2br w:val="nil"/>
                    <w:tr2bl w:val="nil"/>
                  </w:tcBorders>
                  <w:noWrap w:val="0"/>
                  <w:vAlign w:val="center"/>
                </w:tcPr>
                <w:p w14:paraId="4BD05C4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废气</w:t>
                  </w:r>
                </w:p>
              </w:tc>
              <w:tc>
                <w:tcPr>
                  <w:tcW w:w="1871" w:type="pct"/>
                  <w:tcBorders>
                    <w:top w:val="single" w:color="auto" w:sz="12" w:space="0"/>
                    <w:bottom w:val="single" w:color="auto" w:sz="4" w:space="0"/>
                  </w:tcBorders>
                  <w:noWrap w:val="0"/>
                  <w:vAlign w:val="center"/>
                </w:tcPr>
                <w:p w14:paraId="36962A8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车辆运输扬尘</w:t>
                  </w:r>
                </w:p>
              </w:tc>
              <w:tc>
                <w:tcPr>
                  <w:tcW w:w="2348" w:type="pct"/>
                  <w:tcBorders>
                    <w:top w:val="single" w:color="auto" w:sz="12" w:space="0"/>
                    <w:bottom w:val="single" w:color="auto" w:sz="4" w:space="0"/>
                  </w:tcBorders>
                  <w:noWrap w:val="0"/>
                  <w:vAlign w:val="center"/>
                </w:tcPr>
                <w:p w14:paraId="6D34FEC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颗粒物</w:t>
                  </w:r>
                </w:p>
              </w:tc>
            </w:tr>
            <w:tr w14:paraId="0CF9FA5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pct"/>
                  <w:vMerge w:val="continue"/>
                  <w:tcBorders>
                    <w:tl2br w:val="nil"/>
                    <w:tr2bl w:val="nil"/>
                  </w:tcBorders>
                  <w:noWrap w:val="0"/>
                  <w:vAlign w:val="center"/>
                </w:tcPr>
                <w:p w14:paraId="24671E9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p>
              </w:tc>
              <w:tc>
                <w:tcPr>
                  <w:tcW w:w="1871" w:type="pct"/>
                  <w:tcBorders>
                    <w:top w:val="single" w:color="auto" w:sz="4" w:space="0"/>
                    <w:bottom w:val="single" w:color="auto" w:sz="4" w:space="0"/>
                  </w:tcBorders>
                  <w:noWrap w:val="0"/>
                  <w:vAlign w:val="center"/>
                </w:tcPr>
                <w:p w14:paraId="20B3BA6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装卸粉尘</w:t>
                  </w:r>
                </w:p>
              </w:tc>
              <w:tc>
                <w:tcPr>
                  <w:tcW w:w="2348" w:type="pct"/>
                  <w:tcBorders>
                    <w:top w:val="single" w:color="auto" w:sz="4" w:space="0"/>
                    <w:bottom w:val="single" w:color="auto" w:sz="4" w:space="0"/>
                  </w:tcBorders>
                  <w:noWrap w:val="0"/>
                  <w:vAlign w:val="center"/>
                </w:tcPr>
                <w:p w14:paraId="362952C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kern w:val="2"/>
                      <w:sz w:val="21"/>
                      <w:szCs w:val="21"/>
                      <w:vertAlign w:val="baseline"/>
                      <w:lang w:val="en-US" w:eastAsia="zh-CN" w:bidi="ar-SA"/>
                    </w:rPr>
                  </w:pPr>
                  <w:r>
                    <w:rPr>
                      <w:rFonts w:hint="eastAsia" w:ascii="Times New Roman" w:hAnsi="Times New Roman" w:eastAsia="宋体" w:cs="Times New Roman"/>
                      <w:color w:val="auto"/>
                      <w:sz w:val="21"/>
                      <w:szCs w:val="21"/>
                      <w:vertAlign w:val="baseline"/>
                      <w:lang w:val="en-US" w:eastAsia="zh-CN"/>
                    </w:rPr>
                    <w:t>颗粒物</w:t>
                  </w:r>
                </w:p>
              </w:tc>
            </w:tr>
            <w:tr w14:paraId="5B2793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pct"/>
                  <w:vMerge w:val="continue"/>
                  <w:tcBorders>
                    <w:tl2br w:val="nil"/>
                    <w:tr2bl w:val="nil"/>
                  </w:tcBorders>
                  <w:noWrap w:val="0"/>
                  <w:vAlign w:val="center"/>
                </w:tcPr>
                <w:p w14:paraId="24853F4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p>
              </w:tc>
              <w:tc>
                <w:tcPr>
                  <w:tcW w:w="1871" w:type="pct"/>
                  <w:tcBorders>
                    <w:top w:val="single" w:color="auto" w:sz="4" w:space="0"/>
                  </w:tcBorders>
                  <w:noWrap w:val="0"/>
                  <w:vAlign w:val="center"/>
                </w:tcPr>
                <w:p w14:paraId="6338F8C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堆存粉尘</w:t>
                  </w:r>
                </w:p>
              </w:tc>
              <w:tc>
                <w:tcPr>
                  <w:tcW w:w="2348" w:type="pct"/>
                  <w:tcBorders>
                    <w:top w:val="single" w:color="auto" w:sz="4" w:space="0"/>
                  </w:tcBorders>
                  <w:noWrap w:val="0"/>
                  <w:vAlign w:val="center"/>
                </w:tcPr>
                <w:p w14:paraId="4E3BDF8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颗粒物</w:t>
                  </w:r>
                </w:p>
              </w:tc>
            </w:tr>
            <w:tr w14:paraId="262E01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pct"/>
                  <w:vMerge w:val="restart"/>
                  <w:tcBorders>
                    <w:tl2br w:val="nil"/>
                    <w:tr2bl w:val="nil"/>
                  </w:tcBorders>
                  <w:noWrap w:val="0"/>
                  <w:vAlign w:val="center"/>
                </w:tcPr>
                <w:p w14:paraId="02F9B18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废水</w:t>
                  </w:r>
                </w:p>
              </w:tc>
              <w:tc>
                <w:tcPr>
                  <w:tcW w:w="1871" w:type="pct"/>
                  <w:tcBorders>
                    <w:tl2br w:val="nil"/>
                    <w:tr2bl w:val="nil"/>
                  </w:tcBorders>
                  <w:noWrap w:val="0"/>
                  <w:vAlign w:val="center"/>
                </w:tcPr>
                <w:p w14:paraId="6055DF1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车辆冲洗废水</w:t>
                  </w:r>
                </w:p>
              </w:tc>
              <w:tc>
                <w:tcPr>
                  <w:tcW w:w="2348" w:type="pct"/>
                  <w:tcBorders>
                    <w:tl2br w:val="nil"/>
                    <w:tr2bl w:val="nil"/>
                  </w:tcBorders>
                  <w:noWrap w:val="0"/>
                  <w:vAlign w:val="center"/>
                </w:tcPr>
                <w:p w14:paraId="76333BB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SS</w:t>
                  </w:r>
                </w:p>
              </w:tc>
            </w:tr>
            <w:tr w14:paraId="5AEB2C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pct"/>
                  <w:vMerge w:val="continue"/>
                  <w:tcBorders>
                    <w:tl2br w:val="nil"/>
                    <w:tr2bl w:val="nil"/>
                  </w:tcBorders>
                  <w:noWrap w:val="0"/>
                  <w:vAlign w:val="center"/>
                </w:tcPr>
                <w:p w14:paraId="5FE068A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p>
              </w:tc>
              <w:tc>
                <w:tcPr>
                  <w:tcW w:w="1871" w:type="pct"/>
                  <w:tcBorders>
                    <w:tl2br w:val="nil"/>
                    <w:tr2bl w:val="nil"/>
                  </w:tcBorders>
                  <w:noWrap w:val="0"/>
                  <w:vAlign w:val="center"/>
                </w:tcPr>
                <w:p w14:paraId="0BB0803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厂区雨水</w:t>
                  </w:r>
                </w:p>
              </w:tc>
              <w:tc>
                <w:tcPr>
                  <w:tcW w:w="2348" w:type="pct"/>
                  <w:tcBorders>
                    <w:tl2br w:val="nil"/>
                    <w:tr2bl w:val="nil"/>
                  </w:tcBorders>
                  <w:noWrap w:val="0"/>
                  <w:vAlign w:val="center"/>
                </w:tcPr>
                <w:p w14:paraId="414CCA9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SS</w:t>
                  </w:r>
                </w:p>
              </w:tc>
            </w:tr>
            <w:tr w14:paraId="19CC81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9" w:type="pct"/>
                  <w:vMerge w:val="continue"/>
                  <w:tcBorders>
                    <w:tl2br w:val="nil"/>
                    <w:tr2bl w:val="nil"/>
                  </w:tcBorders>
                  <w:noWrap w:val="0"/>
                  <w:vAlign w:val="center"/>
                </w:tcPr>
                <w:p w14:paraId="7C1384E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p>
              </w:tc>
              <w:tc>
                <w:tcPr>
                  <w:tcW w:w="1871" w:type="pct"/>
                  <w:tcBorders>
                    <w:tl2br w:val="nil"/>
                    <w:tr2bl w:val="nil"/>
                  </w:tcBorders>
                  <w:noWrap w:val="0"/>
                  <w:vAlign w:val="center"/>
                </w:tcPr>
                <w:p w14:paraId="42C1F1C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生活污水</w:t>
                  </w:r>
                </w:p>
              </w:tc>
              <w:tc>
                <w:tcPr>
                  <w:tcW w:w="2348" w:type="pct"/>
                  <w:tcBorders>
                    <w:tl2br w:val="nil"/>
                    <w:tr2bl w:val="nil"/>
                  </w:tcBorders>
                  <w:noWrap w:val="0"/>
                  <w:vAlign w:val="center"/>
                </w:tcPr>
                <w:p w14:paraId="02F8A31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pH、COD、SS、BOD</w:t>
                  </w:r>
                  <w:r>
                    <w:rPr>
                      <w:rFonts w:hint="eastAsia" w:ascii="Times New Roman" w:hAnsi="Times New Roman" w:eastAsia="宋体" w:cs="Times New Roman"/>
                      <w:color w:val="auto"/>
                      <w:sz w:val="21"/>
                      <w:szCs w:val="21"/>
                      <w:vertAlign w:val="subscript"/>
                      <w:lang w:val="en-US" w:eastAsia="zh-CN"/>
                    </w:rPr>
                    <w:t>5</w:t>
                  </w:r>
                  <w:r>
                    <w:rPr>
                      <w:rFonts w:hint="eastAsia" w:ascii="Times New Roman" w:hAnsi="Times New Roman" w:eastAsia="宋体" w:cs="Times New Roman"/>
                      <w:color w:val="auto"/>
                      <w:sz w:val="21"/>
                      <w:szCs w:val="21"/>
                      <w:vertAlign w:val="baseline"/>
                      <w:lang w:val="en-US" w:eastAsia="zh-CN"/>
                    </w:rPr>
                    <w:t>、NH</w:t>
                  </w:r>
                  <w:r>
                    <w:rPr>
                      <w:rFonts w:hint="eastAsia" w:ascii="Times New Roman" w:hAnsi="Times New Roman" w:eastAsia="宋体" w:cs="Times New Roman"/>
                      <w:color w:val="auto"/>
                      <w:sz w:val="21"/>
                      <w:szCs w:val="21"/>
                      <w:vertAlign w:val="subscript"/>
                      <w:lang w:val="en-US" w:eastAsia="zh-CN"/>
                    </w:rPr>
                    <w:t>3</w:t>
                  </w:r>
                  <w:r>
                    <w:rPr>
                      <w:rFonts w:hint="eastAsia" w:ascii="Times New Roman" w:hAnsi="Times New Roman" w:eastAsia="宋体" w:cs="Times New Roman"/>
                      <w:color w:val="auto"/>
                      <w:sz w:val="21"/>
                      <w:szCs w:val="21"/>
                      <w:vertAlign w:val="baseline"/>
                      <w:lang w:val="en-US" w:eastAsia="zh-CN"/>
                    </w:rPr>
                    <w:t>-N</w:t>
                  </w:r>
                </w:p>
              </w:tc>
            </w:tr>
            <w:tr w14:paraId="65B0D0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779" w:type="pct"/>
                  <w:tcBorders>
                    <w:tl2br w:val="nil"/>
                    <w:tr2bl w:val="nil"/>
                  </w:tcBorders>
                  <w:noWrap w:val="0"/>
                  <w:vAlign w:val="center"/>
                </w:tcPr>
                <w:p w14:paraId="528C51F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噪声</w:t>
                  </w:r>
                </w:p>
              </w:tc>
              <w:tc>
                <w:tcPr>
                  <w:tcW w:w="1871" w:type="pct"/>
                  <w:tcBorders>
                    <w:tl2br w:val="nil"/>
                    <w:tr2bl w:val="nil"/>
                  </w:tcBorders>
                  <w:noWrap w:val="0"/>
                  <w:vAlign w:val="center"/>
                </w:tcPr>
                <w:p w14:paraId="3AB2DA3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运输车辆、装载机、挖掘机</w:t>
                  </w:r>
                </w:p>
              </w:tc>
              <w:tc>
                <w:tcPr>
                  <w:tcW w:w="2348" w:type="pct"/>
                  <w:tcBorders>
                    <w:tl2br w:val="nil"/>
                    <w:tr2bl w:val="nil"/>
                  </w:tcBorders>
                  <w:noWrap w:val="0"/>
                  <w:vAlign w:val="center"/>
                </w:tcPr>
                <w:p w14:paraId="5A5942A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等效连续A声级</w:t>
                  </w:r>
                </w:p>
              </w:tc>
            </w:tr>
            <w:tr w14:paraId="5DAB62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779" w:type="pct"/>
                  <w:vMerge w:val="restart"/>
                  <w:tcBorders>
                    <w:tl2br w:val="nil"/>
                    <w:tr2bl w:val="nil"/>
                  </w:tcBorders>
                  <w:noWrap w:val="0"/>
                  <w:vAlign w:val="center"/>
                </w:tcPr>
                <w:p w14:paraId="7A1B5CA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固废</w:t>
                  </w:r>
                </w:p>
              </w:tc>
              <w:tc>
                <w:tcPr>
                  <w:tcW w:w="1871" w:type="pct"/>
                  <w:tcBorders>
                    <w:tl2br w:val="nil"/>
                    <w:tr2bl w:val="nil"/>
                  </w:tcBorders>
                  <w:noWrap w:val="0"/>
                  <w:vAlign w:val="center"/>
                </w:tcPr>
                <w:p w14:paraId="419A35F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员工生活</w:t>
                  </w:r>
                </w:p>
              </w:tc>
              <w:tc>
                <w:tcPr>
                  <w:tcW w:w="2348" w:type="pct"/>
                  <w:tcBorders>
                    <w:tl2br w:val="nil"/>
                    <w:tr2bl w:val="nil"/>
                  </w:tcBorders>
                  <w:noWrap w:val="0"/>
                  <w:vAlign w:val="center"/>
                </w:tcPr>
                <w:p w14:paraId="6EA4E59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生活垃圾</w:t>
                  </w:r>
                </w:p>
              </w:tc>
            </w:tr>
            <w:tr w14:paraId="4493E1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6" w:hRule="atLeast"/>
              </w:trPr>
              <w:tc>
                <w:tcPr>
                  <w:tcW w:w="779" w:type="pct"/>
                  <w:vMerge w:val="continue"/>
                  <w:tcBorders>
                    <w:tl2br w:val="nil"/>
                    <w:tr2bl w:val="nil"/>
                  </w:tcBorders>
                  <w:noWrap w:val="0"/>
                  <w:vAlign w:val="center"/>
                </w:tcPr>
                <w:p w14:paraId="0EEC769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sz w:val="21"/>
                      <w:szCs w:val="21"/>
                      <w:vertAlign w:val="baseline"/>
                      <w:lang w:val="en-US" w:eastAsia="zh-CN"/>
                    </w:rPr>
                  </w:pPr>
                </w:p>
              </w:tc>
              <w:tc>
                <w:tcPr>
                  <w:tcW w:w="1871" w:type="pct"/>
                  <w:tcBorders>
                    <w:tl2br w:val="nil"/>
                    <w:tr2bl w:val="nil"/>
                  </w:tcBorders>
                  <w:noWrap w:val="0"/>
                  <w:vAlign w:val="center"/>
                </w:tcPr>
                <w:p w14:paraId="518815C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沉淀池</w:t>
                  </w:r>
                </w:p>
              </w:tc>
              <w:tc>
                <w:tcPr>
                  <w:tcW w:w="2348" w:type="pct"/>
                  <w:tcBorders>
                    <w:tl2br w:val="nil"/>
                    <w:tr2bl w:val="nil"/>
                  </w:tcBorders>
                  <w:noWrap w:val="0"/>
                  <w:vAlign w:val="center"/>
                </w:tcPr>
                <w:p w14:paraId="01AFA54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污泥</w:t>
                  </w:r>
                </w:p>
              </w:tc>
            </w:tr>
          </w:tbl>
          <w:p w14:paraId="0B56E1C9">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both"/>
              <w:textAlignment w:val="auto"/>
              <w:rPr>
                <w:rFonts w:hint="default" w:ascii="Times New Roman" w:hAnsi="Times New Roman" w:eastAsia="宋体" w:cs="Times New Roman"/>
                <w:bCs/>
                <w:color w:val="auto"/>
                <w:sz w:val="24"/>
                <w:szCs w:val="24"/>
                <w:lang w:val="en-US" w:eastAsia="zh-CN"/>
              </w:rPr>
            </w:pPr>
          </w:p>
        </w:tc>
      </w:tr>
      <w:tr w14:paraId="0D2EAE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963" w:hRule="atLeast"/>
          <w:jc w:val="center"/>
        </w:trPr>
        <w:tc>
          <w:tcPr>
            <w:tcW w:w="916" w:type="dxa"/>
            <w:noWrap w:val="0"/>
            <w:vAlign w:val="center"/>
          </w:tcPr>
          <w:p w14:paraId="2DF57646">
            <w:pPr>
              <w:pStyle w:val="24"/>
              <w:adjustRightInd w:val="0"/>
              <w:snapToGrid w:val="0"/>
              <w:spacing w:before="0" w:beforeAutospacing="0" w:after="0" w:afterAutospacing="0"/>
              <w:jc w:val="center"/>
              <w:rPr>
                <w:rFonts w:hint="default" w:ascii="Times New Roman" w:hAnsi="Times New Roman" w:cs="Times New Roman"/>
                <w:color w:val="auto"/>
                <w:sz w:val="24"/>
                <w:szCs w:val="24"/>
              </w:rPr>
            </w:pPr>
            <w:r>
              <w:rPr>
                <w:rFonts w:hint="default" w:ascii="Times New Roman" w:hAnsi="Times New Roman" w:cs="Times New Roman"/>
                <w:bCs/>
                <w:color w:val="auto"/>
                <w:kern w:val="2"/>
                <w:sz w:val="24"/>
                <w:szCs w:val="24"/>
              </w:rPr>
              <w:t>与项目有关的原有环境污染问题</w:t>
            </w:r>
          </w:p>
        </w:tc>
        <w:tc>
          <w:tcPr>
            <w:tcW w:w="8108" w:type="dxa"/>
            <w:noWrap w:val="0"/>
            <w:vAlign w:val="center"/>
          </w:tcPr>
          <w:p w14:paraId="44992CFF">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both"/>
              <w:textAlignment w:val="auto"/>
              <w:rPr>
                <w:rFonts w:hint="eastAsia"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本项目为新建项目，根据现场踏勘，无原有环境污染问题。</w:t>
            </w:r>
          </w:p>
          <w:p w14:paraId="51B8A847">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center"/>
              <w:textAlignment w:val="auto"/>
              <w:rPr>
                <w:rFonts w:hint="default" w:ascii="Times New Roman" w:hAnsi="Times New Roman" w:cs="Times New Roman"/>
                <w:bCs/>
                <w:color w:val="auto"/>
                <w:sz w:val="24"/>
                <w:szCs w:val="24"/>
                <w:lang w:val="en-US" w:eastAsia="zh-CN"/>
              </w:rPr>
            </w:pPr>
          </w:p>
          <w:p w14:paraId="00345468">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center"/>
              <w:textAlignment w:val="auto"/>
              <w:rPr>
                <w:rFonts w:hint="default" w:ascii="Times New Roman" w:hAnsi="Times New Roman" w:cs="Times New Roman"/>
                <w:bCs/>
                <w:color w:val="auto"/>
                <w:sz w:val="24"/>
                <w:szCs w:val="24"/>
                <w:lang w:val="en-US" w:eastAsia="zh-CN"/>
              </w:rPr>
            </w:pPr>
          </w:p>
          <w:p w14:paraId="23ABDF62">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center"/>
              <w:textAlignment w:val="auto"/>
              <w:rPr>
                <w:rFonts w:hint="default" w:ascii="Times New Roman" w:hAnsi="Times New Roman" w:cs="Times New Roman"/>
                <w:bCs/>
                <w:color w:val="auto"/>
                <w:sz w:val="24"/>
                <w:szCs w:val="24"/>
                <w:lang w:val="en-US" w:eastAsia="zh-CN"/>
              </w:rPr>
            </w:pPr>
          </w:p>
          <w:p w14:paraId="247F81D6">
            <w:pPr>
              <w:keepNext w:val="0"/>
              <w:keepLines w:val="0"/>
              <w:pageBreakBefore w:val="0"/>
              <w:widowControl w:val="0"/>
              <w:kinsoku/>
              <w:wordWrap/>
              <w:overflowPunct/>
              <w:topLinePunct w:val="0"/>
              <w:autoSpaceDE/>
              <w:autoSpaceDN/>
              <w:bidi w:val="0"/>
              <w:adjustRightInd w:val="0"/>
              <w:snapToGrid w:val="0"/>
              <w:spacing w:line="560" w:lineRule="exact"/>
              <w:ind w:firstLine="480" w:firstLineChars="200"/>
              <w:jc w:val="center"/>
              <w:textAlignment w:val="auto"/>
              <w:rPr>
                <w:rFonts w:hint="default" w:ascii="Times New Roman" w:hAnsi="Times New Roman" w:cs="Times New Roman"/>
                <w:bCs/>
                <w:color w:val="auto"/>
                <w:sz w:val="24"/>
                <w:szCs w:val="24"/>
                <w:lang w:val="en-US" w:eastAsia="zh-CN"/>
              </w:rPr>
            </w:pPr>
          </w:p>
          <w:p w14:paraId="6B264D36">
            <w:pPr>
              <w:pStyle w:val="21"/>
              <w:rPr>
                <w:rFonts w:hint="default" w:ascii="Times New Roman" w:hAnsi="Times New Roman" w:cs="Times New Roman"/>
                <w:bCs/>
                <w:color w:val="auto"/>
                <w:sz w:val="24"/>
                <w:szCs w:val="24"/>
                <w:lang w:val="en-US" w:eastAsia="zh-CN"/>
              </w:rPr>
            </w:pPr>
          </w:p>
          <w:p w14:paraId="2B1194C5">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cs="Times New Roman"/>
                <w:bCs/>
                <w:color w:val="auto"/>
                <w:sz w:val="24"/>
                <w:szCs w:val="24"/>
                <w:lang w:val="en-US" w:eastAsia="zh-CN"/>
              </w:rPr>
            </w:pPr>
          </w:p>
          <w:p w14:paraId="52DA3487">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cs="Times New Roman"/>
                <w:bCs/>
                <w:color w:val="auto"/>
                <w:sz w:val="24"/>
                <w:szCs w:val="24"/>
                <w:lang w:val="en-US" w:eastAsia="zh-CN"/>
              </w:rPr>
            </w:pPr>
          </w:p>
          <w:p w14:paraId="126ACFAC">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cs="Times New Roman"/>
                <w:bCs/>
                <w:color w:val="auto"/>
                <w:sz w:val="24"/>
                <w:szCs w:val="24"/>
                <w:lang w:val="en-US" w:eastAsia="zh-CN"/>
              </w:rPr>
            </w:pPr>
          </w:p>
          <w:p w14:paraId="53655B6B">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cs="Times New Roman"/>
                <w:bCs/>
                <w:color w:val="auto"/>
                <w:sz w:val="24"/>
                <w:szCs w:val="24"/>
                <w:lang w:val="en-US" w:eastAsia="zh-CN"/>
              </w:rPr>
            </w:pPr>
          </w:p>
          <w:p w14:paraId="7577F6A2">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cs="Times New Roman"/>
                <w:bCs/>
                <w:color w:val="auto"/>
                <w:sz w:val="24"/>
                <w:szCs w:val="24"/>
                <w:lang w:val="en-US" w:eastAsia="zh-CN"/>
              </w:rPr>
            </w:pPr>
          </w:p>
          <w:p w14:paraId="788906CA">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cs="Times New Roman"/>
                <w:bCs/>
                <w:color w:val="auto"/>
                <w:sz w:val="24"/>
                <w:szCs w:val="24"/>
                <w:lang w:val="en-US" w:eastAsia="zh-CN"/>
              </w:rPr>
            </w:pPr>
          </w:p>
          <w:p w14:paraId="4E0B2C28">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cs="Times New Roman"/>
                <w:bCs/>
                <w:color w:val="auto"/>
                <w:sz w:val="24"/>
                <w:szCs w:val="24"/>
                <w:lang w:val="en-US" w:eastAsia="zh-CN"/>
              </w:rPr>
            </w:pPr>
          </w:p>
          <w:p w14:paraId="7E604822">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cs="Times New Roman"/>
                <w:bCs/>
                <w:color w:val="auto"/>
                <w:sz w:val="24"/>
                <w:szCs w:val="24"/>
                <w:lang w:val="en-US" w:eastAsia="zh-CN"/>
              </w:rPr>
            </w:pPr>
          </w:p>
          <w:p w14:paraId="5B6975F2">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cs="Times New Roman"/>
                <w:bCs/>
                <w:color w:val="auto"/>
                <w:sz w:val="24"/>
                <w:szCs w:val="24"/>
                <w:lang w:val="en-US" w:eastAsia="zh-CN"/>
              </w:rPr>
            </w:pPr>
          </w:p>
          <w:p w14:paraId="2CA7B60F">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cs="Times New Roman"/>
                <w:bCs/>
                <w:color w:val="auto"/>
                <w:sz w:val="24"/>
                <w:szCs w:val="24"/>
                <w:lang w:val="en-US" w:eastAsia="zh-CN"/>
              </w:rPr>
            </w:pPr>
          </w:p>
          <w:p w14:paraId="3DF7E33D">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cs="Times New Roman"/>
                <w:bCs/>
                <w:color w:val="auto"/>
                <w:sz w:val="24"/>
                <w:szCs w:val="24"/>
                <w:lang w:val="en-US" w:eastAsia="zh-CN"/>
              </w:rPr>
            </w:pPr>
          </w:p>
          <w:p w14:paraId="7DE54FF7">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cs="Times New Roman"/>
                <w:bCs/>
                <w:color w:val="auto"/>
                <w:sz w:val="24"/>
                <w:szCs w:val="24"/>
                <w:lang w:val="en-US" w:eastAsia="zh-CN"/>
              </w:rPr>
            </w:pPr>
          </w:p>
          <w:p w14:paraId="0934BD12">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cs="Times New Roman"/>
                <w:bCs/>
                <w:color w:val="auto"/>
                <w:sz w:val="24"/>
                <w:szCs w:val="24"/>
                <w:lang w:val="en-US" w:eastAsia="zh-CN"/>
              </w:rPr>
            </w:pPr>
          </w:p>
          <w:p w14:paraId="15ECACF2">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cs="Times New Roman"/>
                <w:bCs/>
                <w:color w:val="auto"/>
                <w:sz w:val="24"/>
                <w:szCs w:val="24"/>
                <w:lang w:val="en-US" w:eastAsia="zh-CN"/>
              </w:rPr>
            </w:pPr>
          </w:p>
          <w:p w14:paraId="1AF505D5">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cs="Times New Roman"/>
                <w:bCs/>
                <w:color w:val="auto"/>
                <w:sz w:val="24"/>
                <w:szCs w:val="24"/>
                <w:lang w:val="en-US" w:eastAsia="zh-CN"/>
              </w:rPr>
            </w:pPr>
          </w:p>
          <w:p w14:paraId="10226D8B">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cs="Times New Roman"/>
                <w:bCs/>
                <w:color w:val="auto"/>
                <w:sz w:val="24"/>
                <w:szCs w:val="24"/>
                <w:lang w:val="en-US" w:eastAsia="zh-CN"/>
              </w:rPr>
            </w:pPr>
          </w:p>
          <w:p w14:paraId="55E744FC">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cs="Times New Roman"/>
                <w:bCs/>
                <w:color w:val="auto"/>
                <w:sz w:val="24"/>
                <w:szCs w:val="24"/>
                <w:lang w:val="en-US" w:eastAsia="zh-CN"/>
              </w:rPr>
            </w:pPr>
          </w:p>
        </w:tc>
      </w:tr>
    </w:tbl>
    <w:p w14:paraId="7443D59D">
      <w:pPr>
        <w:pStyle w:val="24"/>
        <w:jc w:val="center"/>
        <w:rPr>
          <w:rFonts w:ascii="黑体" w:hAnsi="黑体" w:eastAsia="黑体"/>
          <w:snapToGrid w:val="0"/>
          <w:color w:val="auto"/>
          <w:sz w:val="36"/>
          <w:szCs w:val="36"/>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4C16F33E">
      <w:pPr>
        <w:pStyle w:val="24"/>
        <w:jc w:val="center"/>
        <w:outlineLvl w:val="0"/>
        <w:rPr>
          <w:rFonts w:ascii="黑体" w:hAnsi="黑体" w:eastAsia="黑体"/>
          <w:snapToGrid w:val="0"/>
          <w:color w:val="auto"/>
          <w:sz w:val="30"/>
          <w:szCs w:val="30"/>
        </w:rPr>
      </w:pPr>
      <w:r>
        <w:rPr>
          <w:rFonts w:hint="eastAsia" w:ascii="黑体" w:hAnsi="黑体" w:eastAsia="黑体"/>
          <w:snapToGrid w:val="0"/>
          <w:color w:val="auto"/>
          <w:sz w:val="30"/>
          <w:szCs w:val="30"/>
        </w:rPr>
        <w:t>三、区域环境质量现状、环境保护目标及评价标准</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61"/>
        <w:gridCol w:w="8183"/>
      </w:tblGrid>
      <w:tr w14:paraId="207B8B8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8" w:hRule="atLeast"/>
          <w:jc w:val="center"/>
        </w:trPr>
        <w:tc>
          <w:tcPr>
            <w:tcW w:w="861" w:type="dxa"/>
            <w:noWrap w:val="0"/>
            <w:vAlign w:val="center"/>
          </w:tcPr>
          <w:p w14:paraId="64BA52EC">
            <w:pPr>
              <w:adjustRightInd w:val="0"/>
              <w:snapToGrid w:val="0"/>
              <w:jc w:val="center"/>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区域</w:t>
            </w:r>
          </w:p>
          <w:p w14:paraId="0C210773">
            <w:pPr>
              <w:adjustRightInd w:val="0"/>
              <w:snapToGrid w:val="0"/>
              <w:jc w:val="center"/>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环境</w:t>
            </w:r>
          </w:p>
          <w:p w14:paraId="350450A6">
            <w:pPr>
              <w:adjustRightInd w:val="0"/>
              <w:snapToGrid w:val="0"/>
              <w:jc w:val="center"/>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质量</w:t>
            </w:r>
          </w:p>
          <w:p w14:paraId="74899E8B">
            <w:pPr>
              <w:adjustRightInd w:val="0"/>
              <w:snapToGrid w:val="0"/>
              <w:jc w:val="center"/>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现状</w:t>
            </w:r>
          </w:p>
        </w:tc>
        <w:tc>
          <w:tcPr>
            <w:tcW w:w="8183" w:type="dxa"/>
            <w:noWrap w:val="0"/>
            <w:vAlign w:val="top"/>
          </w:tcPr>
          <w:p w14:paraId="6BEDA83B">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color w:val="auto"/>
                <w:kern w:val="0"/>
                <w:sz w:val="24"/>
                <w:szCs w:val="24"/>
                <w:lang w:val="en-US" w:eastAsia="zh-CN"/>
              </w:rPr>
            </w:pPr>
            <w:r>
              <w:rPr>
                <w:rFonts w:hint="eastAsia" w:ascii="Times New Roman" w:hAnsi="Times New Roman" w:cs="Times New Roman"/>
                <w:b/>
                <w:bCs/>
                <w:color w:val="auto"/>
                <w:kern w:val="0"/>
                <w:sz w:val="24"/>
                <w:szCs w:val="24"/>
                <w:lang w:val="en-US" w:eastAsia="zh-CN"/>
              </w:rPr>
              <w:t>1 大气环境质量现状</w:t>
            </w:r>
          </w:p>
          <w:p w14:paraId="1600D3D2">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color w:val="auto"/>
                <w:kern w:val="0"/>
                <w:sz w:val="24"/>
                <w:szCs w:val="24"/>
                <w:lang w:val="en-US" w:eastAsia="zh-CN"/>
              </w:rPr>
            </w:pPr>
            <w:r>
              <w:rPr>
                <w:rFonts w:hint="eastAsia" w:ascii="Times New Roman" w:hAnsi="Times New Roman" w:cs="Times New Roman"/>
                <w:b/>
                <w:bCs/>
                <w:color w:val="auto"/>
                <w:kern w:val="0"/>
                <w:sz w:val="24"/>
                <w:szCs w:val="24"/>
                <w:lang w:val="en-US" w:eastAsia="zh-CN"/>
              </w:rPr>
              <w:t>1.1 基本污染物环境质量现状</w:t>
            </w:r>
          </w:p>
          <w:p w14:paraId="4B725E8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color w:val="auto"/>
                <w:kern w:val="0"/>
                <w:sz w:val="24"/>
                <w:szCs w:val="24"/>
                <w:lang w:val="en-US" w:eastAsia="zh-CN"/>
              </w:rPr>
            </w:pPr>
            <w:r>
              <w:rPr>
                <w:rFonts w:hint="eastAsia" w:ascii="Times New Roman" w:hAnsi="Times New Roman" w:cs="Times New Roman"/>
                <w:color w:val="auto"/>
                <w:kern w:val="0"/>
                <w:sz w:val="24"/>
                <w:szCs w:val="24"/>
                <w:lang w:val="en-US" w:eastAsia="zh-CN"/>
              </w:rPr>
              <w:t>（1）数据来源</w:t>
            </w:r>
          </w:p>
          <w:p w14:paraId="5B23CE15">
            <w:pPr>
              <w:pStyle w:val="61"/>
              <w:keepNext w:val="0"/>
              <w:keepLines w:val="0"/>
              <w:pageBreakBefore w:val="0"/>
              <w:widowControl w:val="0"/>
              <w:kinsoku/>
              <w:wordWrap/>
              <w:overflowPunct/>
              <w:topLinePunct w:val="0"/>
              <w:autoSpaceDE w:val="0"/>
              <w:autoSpaceDN w:val="0"/>
              <w:bidi w:val="0"/>
              <w:adjustRightInd w:val="0"/>
              <w:snapToGrid w:val="0"/>
              <w:spacing w:line="360" w:lineRule="auto"/>
              <w:ind w:firstLine="480"/>
              <w:textAlignment w:val="auto"/>
              <w:rPr>
                <w:rFonts w:hint="eastAsia"/>
                <w:color w:val="auto"/>
                <w:sz w:val="24"/>
                <w:szCs w:val="24"/>
              </w:rPr>
            </w:pPr>
            <w:r>
              <w:rPr>
                <w:rFonts w:hint="eastAsia"/>
                <w:color w:val="auto"/>
                <w:sz w:val="24"/>
                <w:szCs w:val="24"/>
              </w:rPr>
              <w:t>根据《建设项目环境影响报告表编制技术指南（污染影响类）（试行）》，大气环境质量现状常规污染物引用与建设项目距离近的有效数据，包括近3年的规划环境影响评价的监测数据，国家、地方环境空气质量监测网数据或生态环境主管部门公开发布的质量数据等。</w:t>
            </w:r>
          </w:p>
          <w:p w14:paraId="08C05FEF">
            <w:pPr>
              <w:pStyle w:val="61"/>
              <w:keepNext w:val="0"/>
              <w:keepLines w:val="0"/>
              <w:pageBreakBefore w:val="0"/>
              <w:widowControl w:val="0"/>
              <w:kinsoku/>
              <w:wordWrap/>
              <w:overflowPunct/>
              <w:topLinePunct w:val="0"/>
              <w:autoSpaceDE w:val="0"/>
              <w:autoSpaceDN w:val="0"/>
              <w:bidi w:val="0"/>
              <w:adjustRightInd w:val="0"/>
              <w:snapToGrid w:val="0"/>
              <w:spacing w:line="360" w:lineRule="auto"/>
              <w:ind w:firstLine="480"/>
              <w:textAlignment w:val="auto"/>
              <w:rPr>
                <w:color w:val="auto"/>
                <w:sz w:val="24"/>
                <w:szCs w:val="24"/>
              </w:rPr>
            </w:pPr>
            <w:r>
              <w:rPr>
                <w:rFonts w:hint="eastAsia"/>
                <w:color w:val="auto"/>
                <w:sz w:val="24"/>
                <w:szCs w:val="24"/>
              </w:rPr>
              <w:t>本次区域环境质量现状数据选择国家环境保护环境影响评价数值模拟重点实验室的环境空气质量模型技术支持服务系统中昌吉市202</w:t>
            </w:r>
            <w:r>
              <w:rPr>
                <w:rFonts w:hint="eastAsia"/>
                <w:color w:val="auto"/>
                <w:sz w:val="24"/>
                <w:szCs w:val="24"/>
                <w:lang w:val="en-US" w:eastAsia="zh-CN"/>
              </w:rPr>
              <w:t>5</w:t>
            </w:r>
            <w:r>
              <w:rPr>
                <w:rFonts w:hint="eastAsia"/>
                <w:color w:val="auto"/>
                <w:sz w:val="24"/>
                <w:szCs w:val="24"/>
              </w:rPr>
              <w:t>年的监测数据，作为本项目环境空气现状评价基本污染物SO</w:t>
            </w:r>
            <w:r>
              <w:rPr>
                <w:rFonts w:hint="eastAsia"/>
                <w:color w:val="auto"/>
                <w:sz w:val="24"/>
                <w:szCs w:val="24"/>
                <w:vertAlign w:val="subscript"/>
              </w:rPr>
              <w:t>2</w:t>
            </w:r>
            <w:r>
              <w:rPr>
                <w:rFonts w:hint="eastAsia"/>
                <w:color w:val="auto"/>
                <w:sz w:val="24"/>
                <w:szCs w:val="24"/>
              </w:rPr>
              <w:t>、NO</w:t>
            </w:r>
            <w:r>
              <w:rPr>
                <w:rFonts w:hint="eastAsia"/>
                <w:color w:val="auto"/>
                <w:sz w:val="24"/>
                <w:szCs w:val="24"/>
                <w:vertAlign w:val="subscript"/>
              </w:rPr>
              <w:t>2</w:t>
            </w:r>
            <w:r>
              <w:rPr>
                <w:rFonts w:hint="eastAsia"/>
                <w:color w:val="auto"/>
                <w:sz w:val="24"/>
                <w:szCs w:val="24"/>
              </w:rPr>
              <w:t>、PM</w:t>
            </w:r>
            <w:r>
              <w:rPr>
                <w:rFonts w:hint="eastAsia"/>
                <w:color w:val="auto"/>
                <w:sz w:val="24"/>
                <w:szCs w:val="24"/>
                <w:vertAlign w:val="subscript"/>
              </w:rPr>
              <w:t>10</w:t>
            </w:r>
            <w:r>
              <w:rPr>
                <w:rFonts w:hint="eastAsia"/>
                <w:color w:val="auto"/>
                <w:sz w:val="24"/>
                <w:szCs w:val="24"/>
              </w:rPr>
              <w:t>、PM</w:t>
            </w:r>
            <w:r>
              <w:rPr>
                <w:rFonts w:hint="eastAsia"/>
                <w:color w:val="auto"/>
                <w:sz w:val="24"/>
                <w:szCs w:val="24"/>
                <w:vertAlign w:val="subscript"/>
              </w:rPr>
              <w:t>2.5</w:t>
            </w:r>
            <w:r>
              <w:rPr>
                <w:rFonts w:hint="eastAsia"/>
                <w:color w:val="auto"/>
                <w:sz w:val="24"/>
                <w:szCs w:val="24"/>
              </w:rPr>
              <w:t>、CO和</w:t>
            </w:r>
            <w:r>
              <w:rPr>
                <w:rFonts w:hint="eastAsia"/>
                <w:color w:val="auto"/>
                <w:sz w:val="24"/>
                <w:szCs w:val="24"/>
                <w:lang w:val="en-US" w:eastAsia="zh-CN"/>
              </w:rPr>
              <w:t>O</w:t>
            </w:r>
            <w:r>
              <w:rPr>
                <w:rFonts w:hint="eastAsia"/>
                <w:color w:val="auto"/>
                <w:sz w:val="24"/>
                <w:szCs w:val="24"/>
                <w:vertAlign w:val="subscript"/>
              </w:rPr>
              <w:t>3</w:t>
            </w:r>
            <w:r>
              <w:rPr>
                <w:rFonts w:hint="eastAsia"/>
                <w:color w:val="auto"/>
                <w:sz w:val="24"/>
                <w:szCs w:val="24"/>
              </w:rPr>
              <w:t>的数据来源。</w:t>
            </w:r>
          </w:p>
          <w:p w14:paraId="7F924693">
            <w:pPr>
              <w:pStyle w:val="61"/>
              <w:keepNext w:val="0"/>
              <w:keepLines w:val="0"/>
              <w:pageBreakBefore w:val="0"/>
              <w:widowControl w:val="0"/>
              <w:kinsoku/>
              <w:wordWrap/>
              <w:overflowPunct/>
              <w:topLinePunct w:val="0"/>
              <w:autoSpaceDE w:val="0"/>
              <w:autoSpaceDN w:val="0"/>
              <w:bidi w:val="0"/>
              <w:adjustRightInd w:val="0"/>
              <w:snapToGrid w:val="0"/>
              <w:spacing w:line="360" w:lineRule="auto"/>
              <w:ind w:firstLine="480"/>
              <w:textAlignment w:val="auto"/>
              <w:rPr>
                <w:color w:val="auto"/>
                <w:sz w:val="24"/>
                <w:szCs w:val="24"/>
              </w:rPr>
            </w:pPr>
            <w:r>
              <w:rPr>
                <w:rFonts w:hint="eastAsia"/>
                <w:color w:val="auto"/>
                <w:sz w:val="24"/>
                <w:szCs w:val="24"/>
                <w:lang w:eastAsia="zh-CN"/>
              </w:rPr>
              <w:t>（</w:t>
            </w:r>
            <w:r>
              <w:rPr>
                <w:rFonts w:hint="eastAsia"/>
                <w:color w:val="auto"/>
                <w:sz w:val="24"/>
                <w:szCs w:val="24"/>
                <w:lang w:val="en-US" w:eastAsia="zh-CN"/>
              </w:rPr>
              <w:t>2</w:t>
            </w:r>
            <w:r>
              <w:rPr>
                <w:rFonts w:hint="eastAsia"/>
                <w:color w:val="auto"/>
                <w:sz w:val="24"/>
                <w:szCs w:val="24"/>
                <w:lang w:eastAsia="zh-CN"/>
              </w:rPr>
              <w:t>）</w:t>
            </w:r>
            <w:r>
              <w:rPr>
                <w:color w:val="auto"/>
                <w:sz w:val="24"/>
                <w:szCs w:val="24"/>
              </w:rPr>
              <w:t>评价标准</w:t>
            </w:r>
          </w:p>
          <w:p w14:paraId="4EAD3052">
            <w:pPr>
              <w:pStyle w:val="61"/>
              <w:keepNext w:val="0"/>
              <w:keepLines w:val="0"/>
              <w:pageBreakBefore w:val="0"/>
              <w:widowControl w:val="0"/>
              <w:kinsoku/>
              <w:wordWrap/>
              <w:overflowPunct/>
              <w:topLinePunct w:val="0"/>
              <w:autoSpaceDE w:val="0"/>
              <w:autoSpaceDN w:val="0"/>
              <w:bidi w:val="0"/>
              <w:adjustRightInd w:val="0"/>
              <w:snapToGrid w:val="0"/>
              <w:spacing w:line="360" w:lineRule="auto"/>
              <w:ind w:firstLine="480"/>
              <w:textAlignment w:val="auto"/>
              <w:rPr>
                <w:color w:val="auto"/>
                <w:sz w:val="24"/>
                <w:szCs w:val="24"/>
              </w:rPr>
            </w:pPr>
            <w:bookmarkStart w:id="3" w:name="_Toc11467"/>
            <w:r>
              <w:rPr>
                <w:color w:val="auto"/>
                <w:sz w:val="24"/>
                <w:szCs w:val="24"/>
              </w:rPr>
              <w:t>基本污染物SO</w:t>
            </w:r>
            <w:r>
              <w:rPr>
                <w:color w:val="auto"/>
                <w:sz w:val="24"/>
                <w:szCs w:val="24"/>
                <w:vertAlign w:val="subscript"/>
              </w:rPr>
              <w:t>2</w:t>
            </w:r>
            <w:r>
              <w:rPr>
                <w:color w:val="auto"/>
                <w:sz w:val="24"/>
                <w:szCs w:val="24"/>
              </w:rPr>
              <w:t>、NO</w:t>
            </w:r>
            <w:r>
              <w:rPr>
                <w:color w:val="auto"/>
                <w:sz w:val="24"/>
                <w:szCs w:val="24"/>
                <w:vertAlign w:val="subscript"/>
              </w:rPr>
              <w:t>2</w:t>
            </w:r>
            <w:r>
              <w:rPr>
                <w:color w:val="auto"/>
                <w:sz w:val="24"/>
                <w:szCs w:val="24"/>
              </w:rPr>
              <w:t>、PM</w:t>
            </w:r>
            <w:r>
              <w:rPr>
                <w:color w:val="auto"/>
                <w:sz w:val="24"/>
                <w:szCs w:val="24"/>
                <w:vertAlign w:val="subscript"/>
              </w:rPr>
              <w:t>10</w:t>
            </w:r>
            <w:r>
              <w:rPr>
                <w:color w:val="auto"/>
                <w:sz w:val="24"/>
                <w:szCs w:val="24"/>
              </w:rPr>
              <w:t>、PM</w:t>
            </w:r>
            <w:r>
              <w:rPr>
                <w:color w:val="auto"/>
                <w:sz w:val="24"/>
                <w:szCs w:val="24"/>
                <w:vertAlign w:val="subscript"/>
              </w:rPr>
              <w:t>2.5</w:t>
            </w:r>
            <w:r>
              <w:rPr>
                <w:color w:val="auto"/>
                <w:sz w:val="24"/>
                <w:szCs w:val="24"/>
              </w:rPr>
              <w:t>、CO和O</w:t>
            </w:r>
            <w:r>
              <w:rPr>
                <w:color w:val="auto"/>
                <w:sz w:val="24"/>
                <w:szCs w:val="24"/>
                <w:vertAlign w:val="subscript"/>
              </w:rPr>
              <w:t>3</w:t>
            </w:r>
            <w:r>
              <w:rPr>
                <w:color w:val="auto"/>
                <w:sz w:val="24"/>
                <w:szCs w:val="24"/>
              </w:rPr>
              <w:t>执行《环境空气质量标准》（GB3095-20</w:t>
            </w:r>
            <w:r>
              <w:rPr>
                <w:rFonts w:hint="eastAsia"/>
                <w:color w:val="auto"/>
                <w:sz w:val="24"/>
                <w:szCs w:val="24"/>
                <w:lang w:val="en-US" w:eastAsia="zh-CN"/>
              </w:rPr>
              <w:t>26</w:t>
            </w:r>
            <w:r>
              <w:rPr>
                <w:color w:val="auto"/>
                <w:sz w:val="24"/>
                <w:szCs w:val="24"/>
              </w:rPr>
              <w:t>）</w:t>
            </w:r>
            <w:r>
              <w:rPr>
                <w:rFonts w:hint="eastAsia"/>
                <w:color w:val="auto"/>
                <w:sz w:val="24"/>
                <w:szCs w:val="24"/>
                <w:lang w:val="en-US" w:eastAsia="zh-CN"/>
              </w:rPr>
              <w:t>表1</w:t>
            </w:r>
            <w:r>
              <w:rPr>
                <w:color w:val="auto"/>
                <w:sz w:val="24"/>
                <w:szCs w:val="24"/>
              </w:rPr>
              <w:t>中的</w:t>
            </w:r>
            <w:r>
              <w:rPr>
                <w:rFonts w:hint="eastAsia"/>
                <w:color w:val="auto"/>
                <w:sz w:val="24"/>
                <w:szCs w:val="24"/>
                <w:lang w:val="en-US" w:eastAsia="zh-CN"/>
              </w:rPr>
              <w:t>过渡阶段</w:t>
            </w:r>
            <w:r>
              <w:rPr>
                <w:color w:val="auto"/>
                <w:sz w:val="24"/>
                <w:szCs w:val="24"/>
              </w:rPr>
              <w:t>二级标准</w:t>
            </w:r>
            <w:r>
              <w:rPr>
                <w:rFonts w:hint="eastAsia"/>
                <w:color w:val="auto"/>
                <w:sz w:val="24"/>
                <w:szCs w:val="24"/>
                <w:lang w:val="en-US" w:eastAsia="zh-CN"/>
              </w:rPr>
              <w:t>限值</w:t>
            </w:r>
            <w:r>
              <w:rPr>
                <w:color w:val="auto"/>
                <w:sz w:val="24"/>
                <w:szCs w:val="24"/>
              </w:rPr>
              <w:t>。</w:t>
            </w:r>
          </w:p>
          <w:bookmarkEnd w:id="3"/>
          <w:p w14:paraId="0CBDE837">
            <w:pPr>
              <w:pStyle w:val="61"/>
              <w:keepNext w:val="0"/>
              <w:keepLines w:val="0"/>
              <w:pageBreakBefore w:val="0"/>
              <w:widowControl w:val="0"/>
              <w:kinsoku/>
              <w:wordWrap/>
              <w:overflowPunct/>
              <w:topLinePunct w:val="0"/>
              <w:autoSpaceDE w:val="0"/>
              <w:autoSpaceDN w:val="0"/>
              <w:bidi w:val="0"/>
              <w:adjustRightInd w:val="0"/>
              <w:snapToGrid w:val="0"/>
              <w:spacing w:line="360" w:lineRule="auto"/>
              <w:ind w:firstLine="480"/>
              <w:textAlignment w:val="auto"/>
              <w:rPr>
                <w:color w:val="auto"/>
                <w:sz w:val="24"/>
                <w:szCs w:val="24"/>
              </w:rPr>
            </w:pPr>
            <w:r>
              <w:rPr>
                <w:rFonts w:hint="eastAsia"/>
                <w:color w:val="auto"/>
                <w:sz w:val="24"/>
                <w:szCs w:val="24"/>
                <w:lang w:eastAsia="zh-CN"/>
              </w:rPr>
              <w:t>（</w:t>
            </w:r>
            <w:r>
              <w:rPr>
                <w:rFonts w:hint="eastAsia"/>
                <w:color w:val="auto"/>
                <w:sz w:val="24"/>
                <w:szCs w:val="24"/>
                <w:lang w:val="en-US" w:eastAsia="zh-CN"/>
              </w:rPr>
              <w:t>3</w:t>
            </w:r>
            <w:r>
              <w:rPr>
                <w:rFonts w:hint="eastAsia"/>
                <w:color w:val="auto"/>
                <w:sz w:val="24"/>
                <w:szCs w:val="24"/>
                <w:lang w:eastAsia="zh-CN"/>
              </w:rPr>
              <w:t>）</w:t>
            </w:r>
            <w:r>
              <w:rPr>
                <w:color w:val="auto"/>
                <w:sz w:val="24"/>
                <w:szCs w:val="24"/>
              </w:rPr>
              <w:t>评价方法</w:t>
            </w:r>
          </w:p>
          <w:p w14:paraId="63A09EF7">
            <w:pPr>
              <w:pStyle w:val="61"/>
              <w:keepNext w:val="0"/>
              <w:keepLines w:val="0"/>
              <w:pageBreakBefore w:val="0"/>
              <w:widowControl w:val="0"/>
              <w:kinsoku/>
              <w:wordWrap/>
              <w:overflowPunct/>
              <w:topLinePunct w:val="0"/>
              <w:autoSpaceDE w:val="0"/>
              <w:autoSpaceDN w:val="0"/>
              <w:bidi w:val="0"/>
              <w:adjustRightInd w:val="0"/>
              <w:snapToGrid w:val="0"/>
              <w:spacing w:line="360" w:lineRule="auto"/>
              <w:ind w:firstLine="480"/>
              <w:textAlignment w:val="auto"/>
              <w:rPr>
                <w:color w:val="auto"/>
                <w:sz w:val="24"/>
                <w:szCs w:val="24"/>
              </w:rPr>
            </w:pPr>
            <w:r>
              <w:rPr>
                <w:color w:val="auto"/>
                <w:sz w:val="24"/>
                <w:szCs w:val="24"/>
              </w:rPr>
              <w:t>评价方法：基本污染物按照《环境空气质量评价技术规范》（HJ663-</w:t>
            </w:r>
            <w:r>
              <w:rPr>
                <w:rFonts w:hint="eastAsia"/>
                <w:color w:val="auto"/>
                <w:sz w:val="24"/>
                <w:szCs w:val="24"/>
                <w:lang w:val="en-US" w:eastAsia="zh-CN"/>
              </w:rPr>
              <w:t>2026</w:t>
            </w:r>
            <w:r>
              <w:rPr>
                <w:color w:val="auto"/>
                <w:sz w:val="24"/>
                <w:szCs w:val="24"/>
              </w:rPr>
              <w:t>）中各评价项目的年评价指标进行判定。年评价指标中的年均浓度和相应百分位数24h平均或8h平均质量浓度满足GB3095-</w:t>
            </w:r>
            <w:r>
              <w:rPr>
                <w:rFonts w:hint="eastAsia"/>
                <w:color w:val="auto"/>
                <w:sz w:val="24"/>
                <w:szCs w:val="24"/>
                <w:lang w:val="en-US" w:eastAsia="zh-CN"/>
              </w:rPr>
              <w:t>2026</w:t>
            </w:r>
            <w:r>
              <w:rPr>
                <w:color w:val="auto"/>
                <w:sz w:val="24"/>
                <w:szCs w:val="24"/>
              </w:rPr>
              <w:t>中浓度限值要求的即为达标。对于超标的污染物，计算其超标倍数。</w:t>
            </w:r>
          </w:p>
          <w:p w14:paraId="26A449E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color w:val="auto"/>
              </w:rPr>
            </w:pPr>
            <w:r>
              <w:rPr>
                <w:rFonts w:hint="eastAsia"/>
                <w:color w:val="auto"/>
                <w:sz w:val="24"/>
                <w:szCs w:val="24"/>
                <w:lang w:val="en-US" w:eastAsia="zh-CN"/>
              </w:rPr>
              <w:t>监测结果与评价结果见下表</w:t>
            </w:r>
            <w:r>
              <w:rPr>
                <w:color w:val="auto"/>
                <w:sz w:val="24"/>
                <w:szCs w:val="24"/>
              </w:rPr>
              <w:t>。</w:t>
            </w:r>
          </w:p>
          <w:p w14:paraId="657B6E1F">
            <w:pPr>
              <w:pStyle w:val="5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firstLine="0"/>
              <w:textAlignment w:val="auto"/>
              <w:rPr>
                <w:color w:val="auto"/>
              </w:rPr>
            </w:pPr>
            <w:r>
              <w:rPr>
                <w:rFonts w:hint="default" w:ascii="Times New Roman" w:hAnsi="Times New Roman" w:cs="Times New Roman"/>
                <w:color w:val="auto"/>
              </w:rPr>
              <w:t>表3-</w:t>
            </w:r>
            <w:r>
              <w:rPr>
                <w:rFonts w:hint="default" w:ascii="Times New Roman" w:hAnsi="Times New Roman" w:cs="Times New Roman"/>
                <w:color w:val="auto"/>
                <w:lang w:val="en-US" w:eastAsia="zh-CN"/>
              </w:rPr>
              <w:t>1</w:t>
            </w:r>
            <w:r>
              <w:rPr>
                <w:rFonts w:hint="default" w:ascii="Times New Roman" w:hAnsi="Times New Roman" w:cs="Times New Roman"/>
                <w:color w:val="auto"/>
              </w:rPr>
              <w:t xml:space="preserve">   区域空气质量现状评价表</w:t>
            </w:r>
          </w:p>
          <w:tbl>
            <w:tblPr>
              <w:tblStyle w:val="28"/>
              <w:tblW w:w="4997"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44"/>
              <w:gridCol w:w="2371"/>
              <w:gridCol w:w="1174"/>
              <w:gridCol w:w="1108"/>
              <w:gridCol w:w="1108"/>
              <w:gridCol w:w="1057"/>
            </w:tblGrid>
            <w:tr w14:paraId="3436F2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8" w:type="pct"/>
                  <w:tcBorders>
                    <w:bottom w:val="single" w:color="auto" w:sz="12" w:space="0"/>
                  </w:tcBorders>
                  <w:noWrap w:val="0"/>
                  <w:vAlign w:val="center"/>
                </w:tcPr>
                <w:p w14:paraId="381EC379">
                  <w:pPr>
                    <w:pStyle w:val="62"/>
                    <w:spacing w:line="240" w:lineRule="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评价因子</w:t>
                  </w:r>
                </w:p>
              </w:tc>
              <w:tc>
                <w:tcPr>
                  <w:tcW w:w="1488" w:type="pct"/>
                  <w:tcBorders>
                    <w:bottom w:val="single" w:color="auto" w:sz="12" w:space="0"/>
                  </w:tcBorders>
                  <w:noWrap w:val="0"/>
                  <w:vAlign w:val="center"/>
                </w:tcPr>
                <w:p w14:paraId="08CBA983">
                  <w:pPr>
                    <w:pStyle w:val="62"/>
                    <w:spacing w:line="240" w:lineRule="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年评价指标</w:t>
                  </w:r>
                </w:p>
              </w:tc>
              <w:tc>
                <w:tcPr>
                  <w:tcW w:w="737" w:type="pct"/>
                  <w:tcBorders>
                    <w:bottom w:val="single" w:color="auto" w:sz="12" w:space="0"/>
                  </w:tcBorders>
                  <w:noWrap w:val="0"/>
                  <w:vAlign w:val="center"/>
                </w:tcPr>
                <w:p w14:paraId="2B8BECBC">
                  <w:pPr>
                    <w:pStyle w:val="62"/>
                    <w:spacing w:line="240" w:lineRule="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现状浓度μg/m</w:t>
                  </w:r>
                  <w:r>
                    <w:rPr>
                      <w:rFonts w:hint="default" w:ascii="Times New Roman" w:hAnsi="Times New Roman" w:cs="Times New Roman"/>
                      <w:b/>
                      <w:bCs/>
                      <w:color w:val="auto"/>
                      <w:sz w:val="21"/>
                      <w:szCs w:val="21"/>
                      <w:vertAlign w:val="superscript"/>
                    </w:rPr>
                    <w:t>3</w:t>
                  </w:r>
                </w:p>
              </w:tc>
              <w:tc>
                <w:tcPr>
                  <w:tcW w:w="695" w:type="pct"/>
                  <w:tcBorders>
                    <w:bottom w:val="single" w:color="auto" w:sz="12" w:space="0"/>
                  </w:tcBorders>
                  <w:noWrap w:val="0"/>
                  <w:vAlign w:val="center"/>
                </w:tcPr>
                <w:p w14:paraId="69B9FE46">
                  <w:pPr>
                    <w:pStyle w:val="62"/>
                    <w:spacing w:line="240" w:lineRule="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评价标准μg/m</w:t>
                  </w:r>
                  <w:r>
                    <w:rPr>
                      <w:rFonts w:hint="default" w:ascii="Times New Roman" w:hAnsi="Times New Roman" w:cs="Times New Roman"/>
                      <w:b/>
                      <w:bCs/>
                      <w:color w:val="auto"/>
                      <w:sz w:val="21"/>
                      <w:szCs w:val="21"/>
                      <w:vertAlign w:val="superscript"/>
                    </w:rPr>
                    <w:t>3</w:t>
                  </w:r>
                </w:p>
              </w:tc>
              <w:tc>
                <w:tcPr>
                  <w:tcW w:w="695" w:type="pct"/>
                  <w:tcBorders>
                    <w:bottom w:val="single" w:color="auto" w:sz="12" w:space="0"/>
                  </w:tcBorders>
                  <w:noWrap w:val="0"/>
                  <w:vAlign w:val="center"/>
                </w:tcPr>
                <w:p w14:paraId="5E114808">
                  <w:pPr>
                    <w:pStyle w:val="62"/>
                    <w:spacing w:line="240" w:lineRule="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占标率/%</w:t>
                  </w:r>
                </w:p>
              </w:tc>
              <w:tc>
                <w:tcPr>
                  <w:tcW w:w="663" w:type="pct"/>
                  <w:tcBorders>
                    <w:bottom w:val="single" w:color="auto" w:sz="12" w:space="0"/>
                  </w:tcBorders>
                  <w:noWrap w:val="0"/>
                  <w:vAlign w:val="center"/>
                </w:tcPr>
                <w:p w14:paraId="290BB2A5">
                  <w:pPr>
                    <w:pStyle w:val="62"/>
                    <w:spacing w:line="240" w:lineRule="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达标情况</w:t>
                  </w:r>
                </w:p>
              </w:tc>
            </w:tr>
            <w:tr w14:paraId="44B54C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8" w:type="pct"/>
                  <w:tcBorders>
                    <w:top w:val="single" w:color="auto" w:sz="12" w:space="0"/>
                    <w:tl2br w:val="nil"/>
                    <w:tr2bl w:val="nil"/>
                  </w:tcBorders>
                  <w:noWrap w:val="0"/>
                  <w:vAlign w:val="center"/>
                </w:tcPr>
                <w:p w14:paraId="5066B900">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SO</w:t>
                  </w:r>
                  <w:r>
                    <w:rPr>
                      <w:rFonts w:hint="default" w:ascii="Times New Roman" w:hAnsi="Times New Roman" w:eastAsia="宋体" w:cs="Times New Roman"/>
                      <w:color w:val="auto"/>
                      <w:kern w:val="0"/>
                      <w:szCs w:val="21"/>
                      <w:vertAlign w:val="subscript"/>
                      <w:lang w:val="en-US" w:eastAsia="zh-CN"/>
                    </w:rPr>
                    <w:t>2</w:t>
                  </w:r>
                </w:p>
              </w:tc>
              <w:tc>
                <w:tcPr>
                  <w:tcW w:w="1488" w:type="pct"/>
                  <w:tcBorders>
                    <w:top w:val="single" w:color="auto" w:sz="12" w:space="0"/>
                    <w:tl2br w:val="nil"/>
                    <w:tr2bl w:val="nil"/>
                  </w:tcBorders>
                  <w:noWrap w:val="0"/>
                  <w:vAlign w:val="center"/>
                </w:tcPr>
                <w:p w14:paraId="00CC5674">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年平均</w:t>
                  </w:r>
                </w:p>
              </w:tc>
              <w:tc>
                <w:tcPr>
                  <w:tcW w:w="1174" w:type="dxa"/>
                  <w:tcBorders>
                    <w:top w:val="single" w:color="auto" w:sz="12" w:space="0"/>
                    <w:tl2br w:val="nil"/>
                    <w:tr2bl w:val="nil"/>
                  </w:tcBorders>
                  <w:noWrap w:val="0"/>
                  <w:vAlign w:val="center"/>
                </w:tcPr>
                <w:p w14:paraId="30AA31FA">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7</w:t>
                  </w:r>
                </w:p>
              </w:tc>
              <w:tc>
                <w:tcPr>
                  <w:tcW w:w="695" w:type="pct"/>
                  <w:tcBorders>
                    <w:top w:val="single" w:color="auto" w:sz="12" w:space="0"/>
                    <w:tl2br w:val="nil"/>
                    <w:tr2bl w:val="nil"/>
                  </w:tcBorders>
                  <w:noWrap w:val="0"/>
                  <w:vAlign w:val="center"/>
                </w:tcPr>
                <w:p w14:paraId="23E4A1B4">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60</w:t>
                  </w:r>
                </w:p>
              </w:tc>
              <w:tc>
                <w:tcPr>
                  <w:tcW w:w="1108" w:type="dxa"/>
                  <w:tcBorders>
                    <w:top w:val="single" w:color="auto" w:sz="12" w:space="0"/>
                    <w:tl2br w:val="nil"/>
                    <w:tr2bl w:val="nil"/>
                  </w:tcBorders>
                  <w:noWrap w:val="0"/>
                  <w:vAlign w:val="center"/>
                </w:tcPr>
                <w:p w14:paraId="0FE02E43">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12</w:t>
                  </w:r>
                </w:p>
              </w:tc>
              <w:tc>
                <w:tcPr>
                  <w:tcW w:w="663" w:type="pct"/>
                  <w:tcBorders>
                    <w:top w:val="single" w:color="auto" w:sz="12" w:space="0"/>
                    <w:tl2br w:val="nil"/>
                    <w:tr2bl w:val="nil"/>
                  </w:tcBorders>
                  <w:noWrap w:val="0"/>
                  <w:vAlign w:val="center"/>
                </w:tcPr>
                <w:p w14:paraId="0C8E06CC">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达标</w:t>
                  </w:r>
                </w:p>
              </w:tc>
            </w:tr>
            <w:tr w14:paraId="756741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8" w:type="pct"/>
                  <w:tcBorders>
                    <w:tl2br w:val="nil"/>
                    <w:tr2bl w:val="nil"/>
                  </w:tcBorders>
                  <w:noWrap w:val="0"/>
                  <w:vAlign w:val="center"/>
                </w:tcPr>
                <w:p w14:paraId="11A6E38A">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NO</w:t>
                  </w:r>
                  <w:r>
                    <w:rPr>
                      <w:rFonts w:hint="default" w:ascii="Times New Roman" w:hAnsi="Times New Roman" w:eastAsia="宋体" w:cs="Times New Roman"/>
                      <w:color w:val="auto"/>
                      <w:kern w:val="0"/>
                      <w:szCs w:val="21"/>
                      <w:vertAlign w:val="subscript"/>
                      <w:lang w:val="en-US" w:eastAsia="zh-CN"/>
                    </w:rPr>
                    <w:t>2</w:t>
                  </w:r>
                </w:p>
              </w:tc>
              <w:tc>
                <w:tcPr>
                  <w:tcW w:w="1488" w:type="pct"/>
                  <w:tcBorders>
                    <w:tl2br w:val="nil"/>
                    <w:tr2bl w:val="nil"/>
                  </w:tcBorders>
                  <w:noWrap w:val="0"/>
                  <w:vAlign w:val="center"/>
                </w:tcPr>
                <w:p w14:paraId="71B39499">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年平均</w:t>
                  </w:r>
                </w:p>
              </w:tc>
              <w:tc>
                <w:tcPr>
                  <w:tcW w:w="1174" w:type="dxa"/>
                  <w:tcBorders>
                    <w:tl2br w:val="nil"/>
                    <w:tr2bl w:val="nil"/>
                  </w:tcBorders>
                  <w:noWrap w:val="0"/>
                  <w:vAlign w:val="center"/>
                </w:tcPr>
                <w:p w14:paraId="6F007BED">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25</w:t>
                  </w:r>
                </w:p>
              </w:tc>
              <w:tc>
                <w:tcPr>
                  <w:tcW w:w="695" w:type="pct"/>
                  <w:tcBorders>
                    <w:tl2br w:val="nil"/>
                    <w:tr2bl w:val="nil"/>
                  </w:tcBorders>
                  <w:noWrap w:val="0"/>
                  <w:vAlign w:val="center"/>
                </w:tcPr>
                <w:p w14:paraId="431D1DE8">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40</w:t>
                  </w:r>
                </w:p>
              </w:tc>
              <w:tc>
                <w:tcPr>
                  <w:tcW w:w="1108" w:type="dxa"/>
                  <w:tcBorders>
                    <w:tl2br w:val="nil"/>
                    <w:tr2bl w:val="nil"/>
                  </w:tcBorders>
                  <w:noWrap w:val="0"/>
                  <w:vAlign w:val="center"/>
                </w:tcPr>
                <w:p w14:paraId="61B0CB09">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62.5</w:t>
                  </w:r>
                </w:p>
              </w:tc>
              <w:tc>
                <w:tcPr>
                  <w:tcW w:w="663" w:type="pct"/>
                  <w:tcBorders>
                    <w:tl2br w:val="nil"/>
                    <w:tr2bl w:val="nil"/>
                  </w:tcBorders>
                  <w:noWrap w:val="0"/>
                  <w:vAlign w:val="center"/>
                </w:tcPr>
                <w:p w14:paraId="0D085732">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达标</w:t>
                  </w:r>
                </w:p>
              </w:tc>
            </w:tr>
            <w:tr w14:paraId="16AA33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8" w:type="pct"/>
                  <w:tcBorders>
                    <w:tl2br w:val="nil"/>
                    <w:tr2bl w:val="nil"/>
                  </w:tcBorders>
                  <w:noWrap w:val="0"/>
                  <w:vAlign w:val="center"/>
                </w:tcPr>
                <w:p w14:paraId="5DE820A9">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CO</w:t>
                  </w:r>
                </w:p>
              </w:tc>
              <w:tc>
                <w:tcPr>
                  <w:tcW w:w="1488" w:type="pct"/>
                  <w:tcBorders>
                    <w:tl2br w:val="nil"/>
                    <w:tr2bl w:val="nil"/>
                  </w:tcBorders>
                  <w:noWrap w:val="0"/>
                  <w:vAlign w:val="center"/>
                </w:tcPr>
                <w:p w14:paraId="43E72A1E">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日平均第95百分位数</w:t>
                  </w:r>
                </w:p>
              </w:tc>
              <w:tc>
                <w:tcPr>
                  <w:tcW w:w="1174" w:type="dxa"/>
                  <w:tcBorders>
                    <w:tl2br w:val="nil"/>
                    <w:tr2bl w:val="nil"/>
                  </w:tcBorders>
                  <w:noWrap w:val="0"/>
                  <w:vAlign w:val="center"/>
                </w:tcPr>
                <w:p w14:paraId="362326F9">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1</w:t>
                  </w:r>
                  <w:r>
                    <w:rPr>
                      <w:rFonts w:hint="eastAsia" w:ascii="Times New Roman" w:hAnsi="Times New Roman" w:eastAsia="宋体" w:cs="Times New Roman"/>
                      <w:color w:val="auto"/>
                      <w:kern w:val="0"/>
                      <w:szCs w:val="21"/>
                      <w:lang w:val="en-US" w:eastAsia="zh-CN"/>
                    </w:rPr>
                    <w:t>6</w:t>
                  </w:r>
                  <w:r>
                    <w:rPr>
                      <w:rFonts w:hint="default" w:ascii="Times New Roman" w:hAnsi="Times New Roman" w:eastAsia="宋体" w:cs="Times New Roman"/>
                      <w:color w:val="auto"/>
                      <w:kern w:val="0"/>
                      <w:szCs w:val="21"/>
                      <w:lang w:val="en-US" w:eastAsia="zh-CN"/>
                    </w:rPr>
                    <w:t>00</w:t>
                  </w:r>
                </w:p>
              </w:tc>
              <w:tc>
                <w:tcPr>
                  <w:tcW w:w="695" w:type="pct"/>
                  <w:tcBorders>
                    <w:tl2br w:val="nil"/>
                    <w:tr2bl w:val="nil"/>
                  </w:tcBorders>
                  <w:noWrap w:val="0"/>
                  <w:vAlign w:val="center"/>
                </w:tcPr>
                <w:p w14:paraId="5883FD89">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4000</w:t>
                  </w:r>
                </w:p>
              </w:tc>
              <w:tc>
                <w:tcPr>
                  <w:tcW w:w="1108" w:type="dxa"/>
                  <w:tcBorders>
                    <w:tl2br w:val="nil"/>
                    <w:tr2bl w:val="nil"/>
                  </w:tcBorders>
                  <w:noWrap w:val="0"/>
                  <w:vAlign w:val="center"/>
                </w:tcPr>
                <w:p w14:paraId="44A6E34F">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40.0</w:t>
                  </w:r>
                </w:p>
              </w:tc>
              <w:tc>
                <w:tcPr>
                  <w:tcW w:w="663" w:type="pct"/>
                  <w:tcBorders>
                    <w:tl2br w:val="nil"/>
                    <w:tr2bl w:val="nil"/>
                  </w:tcBorders>
                  <w:noWrap w:val="0"/>
                  <w:vAlign w:val="center"/>
                </w:tcPr>
                <w:p w14:paraId="3D4E7A37">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达标</w:t>
                  </w:r>
                </w:p>
              </w:tc>
            </w:tr>
            <w:tr w14:paraId="1D86FF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8" w:type="pct"/>
                  <w:tcBorders>
                    <w:tl2br w:val="nil"/>
                    <w:tr2bl w:val="nil"/>
                  </w:tcBorders>
                  <w:noWrap w:val="0"/>
                  <w:vAlign w:val="center"/>
                </w:tcPr>
                <w:p w14:paraId="3D2FF1FB">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O</w:t>
                  </w:r>
                  <w:r>
                    <w:rPr>
                      <w:rFonts w:hint="default" w:ascii="Times New Roman" w:hAnsi="Times New Roman" w:eastAsia="宋体" w:cs="Times New Roman"/>
                      <w:color w:val="auto"/>
                      <w:kern w:val="0"/>
                      <w:szCs w:val="21"/>
                      <w:vertAlign w:val="subscript"/>
                      <w:lang w:val="en-US" w:eastAsia="zh-CN"/>
                    </w:rPr>
                    <w:t>3</w:t>
                  </w:r>
                </w:p>
              </w:tc>
              <w:tc>
                <w:tcPr>
                  <w:tcW w:w="1488" w:type="pct"/>
                  <w:tcBorders>
                    <w:tl2br w:val="nil"/>
                    <w:tr2bl w:val="nil"/>
                  </w:tcBorders>
                  <w:noWrap w:val="0"/>
                  <w:vAlign w:val="center"/>
                </w:tcPr>
                <w:p w14:paraId="5CE7842C">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日平均第90百分位数</w:t>
                  </w:r>
                </w:p>
              </w:tc>
              <w:tc>
                <w:tcPr>
                  <w:tcW w:w="1174" w:type="dxa"/>
                  <w:tcBorders>
                    <w:tl2br w:val="nil"/>
                    <w:tr2bl w:val="nil"/>
                  </w:tcBorders>
                  <w:noWrap w:val="0"/>
                  <w:vAlign w:val="center"/>
                </w:tcPr>
                <w:p w14:paraId="33B419B1">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133</w:t>
                  </w:r>
                </w:p>
              </w:tc>
              <w:tc>
                <w:tcPr>
                  <w:tcW w:w="695" w:type="pct"/>
                  <w:tcBorders>
                    <w:tl2br w:val="nil"/>
                    <w:tr2bl w:val="nil"/>
                  </w:tcBorders>
                  <w:noWrap w:val="0"/>
                  <w:vAlign w:val="center"/>
                </w:tcPr>
                <w:p w14:paraId="7E11008E">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160</w:t>
                  </w:r>
                </w:p>
              </w:tc>
              <w:tc>
                <w:tcPr>
                  <w:tcW w:w="1108" w:type="dxa"/>
                  <w:tcBorders>
                    <w:tl2br w:val="nil"/>
                    <w:tr2bl w:val="nil"/>
                  </w:tcBorders>
                  <w:noWrap w:val="0"/>
                  <w:vAlign w:val="center"/>
                </w:tcPr>
                <w:p w14:paraId="6D8ACCA4">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83</w:t>
                  </w:r>
                </w:p>
              </w:tc>
              <w:tc>
                <w:tcPr>
                  <w:tcW w:w="663" w:type="pct"/>
                  <w:tcBorders>
                    <w:tl2br w:val="nil"/>
                    <w:tr2bl w:val="nil"/>
                  </w:tcBorders>
                  <w:noWrap w:val="0"/>
                  <w:vAlign w:val="center"/>
                </w:tcPr>
                <w:p w14:paraId="27DE4A46">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达标</w:t>
                  </w:r>
                </w:p>
              </w:tc>
            </w:tr>
            <w:tr w14:paraId="5CEB3A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8" w:type="pct"/>
                  <w:tcBorders>
                    <w:tl2br w:val="nil"/>
                    <w:tr2bl w:val="nil"/>
                  </w:tcBorders>
                  <w:noWrap w:val="0"/>
                  <w:vAlign w:val="center"/>
                </w:tcPr>
                <w:p w14:paraId="4442EB34">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PM</w:t>
                  </w:r>
                  <w:r>
                    <w:rPr>
                      <w:rFonts w:hint="default" w:ascii="Times New Roman" w:hAnsi="Times New Roman" w:eastAsia="宋体" w:cs="Times New Roman"/>
                      <w:color w:val="auto"/>
                      <w:kern w:val="0"/>
                      <w:szCs w:val="21"/>
                      <w:vertAlign w:val="subscript"/>
                      <w:lang w:val="en-US" w:eastAsia="zh-CN"/>
                    </w:rPr>
                    <w:t>10</w:t>
                  </w:r>
                </w:p>
              </w:tc>
              <w:tc>
                <w:tcPr>
                  <w:tcW w:w="1488" w:type="pct"/>
                  <w:tcBorders>
                    <w:tl2br w:val="nil"/>
                    <w:tr2bl w:val="nil"/>
                  </w:tcBorders>
                  <w:noWrap w:val="0"/>
                  <w:vAlign w:val="center"/>
                </w:tcPr>
                <w:p w14:paraId="4C6B8AA0">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年平均</w:t>
                  </w:r>
                </w:p>
              </w:tc>
              <w:tc>
                <w:tcPr>
                  <w:tcW w:w="1174" w:type="dxa"/>
                  <w:tcBorders>
                    <w:tl2br w:val="nil"/>
                    <w:tr2bl w:val="nil"/>
                  </w:tcBorders>
                  <w:noWrap w:val="0"/>
                  <w:vAlign w:val="center"/>
                </w:tcPr>
                <w:p w14:paraId="35F8BD3A">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67</w:t>
                  </w:r>
                </w:p>
              </w:tc>
              <w:tc>
                <w:tcPr>
                  <w:tcW w:w="695" w:type="pct"/>
                  <w:tcBorders>
                    <w:tl2br w:val="nil"/>
                    <w:tr2bl w:val="nil"/>
                  </w:tcBorders>
                  <w:noWrap w:val="0"/>
                  <w:vAlign w:val="center"/>
                </w:tcPr>
                <w:p w14:paraId="59FF4CBB">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60</w:t>
                  </w:r>
                </w:p>
              </w:tc>
              <w:tc>
                <w:tcPr>
                  <w:tcW w:w="1108" w:type="dxa"/>
                  <w:tcBorders>
                    <w:tl2br w:val="nil"/>
                    <w:tr2bl w:val="nil"/>
                  </w:tcBorders>
                  <w:noWrap w:val="0"/>
                  <w:vAlign w:val="center"/>
                </w:tcPr>
                <w:p w14:paraId="0E18A298">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116.7</w:t>
                  </w:r>
                </w:p>
              </w:tc>
              <w:tc>
                <w:tcPr>
                  <w:tcW w:w="663" w:type="pct"/>
                  <w:tcBorders>
                    <w:tl2br w:val="nil"/>
                    <w:tr2bl w:val="nil"/>
                  </w:tcBorders>
                  <w:noWrap w:val="0"/>
                  <w:vAlign w:val="center"/>
                </w:tcPr>
                <w:p w14:paraId="7A61EA9F">
                  <w:pPr>
                    <w:autoSpaceDE w:val="0"/>
                    <w:autoSpaceDN w:val="0"/>
                    <w:snapToGrid w:val="0"/>
                    <w:spacing w:line="240" w:lineRule="auto"/>
                    <w:jc w:val="center"/>
                    <w:rPr>
                      <w:rFonts w:hint="eastAsia"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超</w:t>
                  </w:r>
                  <w:r>
                    <w:rPr>
                      <w:rFonts w:hint="eastAsia" w:ascii="Times New Roman" w:hAnsi="Times New Roman" w:eastAsia="宋体" w:cs="Times New Roman"/>
                      <w:color w:val="auto"/>
                      <w:kern w:val="0"/>
                      <w:szCs w:val="21"/>
                      <w:lang w:val="en-US" w:eastAsia="zh-CN"/>
                    </w:rPr>
                    <w:t>标</w:t>
                  </w:r>
                </w:p>
              </w:tc>
            </w:tr>
            <w:tr w14:paraId="054253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718" w:type="pct"/>
                  <w:tcBorders>
                    <w:tl2br w:val="nil"/>
                    <w:tr2bl w:val="nil"/>
                  </w:tcBorders>
                  <w:noWrap w:val="0"/>
                  <w:vAlign w:val="center"/>
                </w:tcPr>
                <w:p w14:paraId="70BA1865">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PM</w:t>
                  </w:r>
                  <w:r>
                    <w:rPr>
                      <w:rFonts w:hint="default" w:ascii="Times New Roman" w:hAnsi="Times New Roman" w:eastAsia="宋体" w:cs="Times New Roman"/>
                      <w:color w:val="auto"/>
                      <w:kern w:val="0"/>
                      <w:szCs w:val="21"/>
                      <w:vertAlign w:val="subscript"/>
                      <w:lang w:val="en-US" w:eastAsia="zh-CN"/>
                    </w:rPr>
                    <w:t>2.5</w:t>
                  </w:r>
                </w:p>
              </w:tc>
              <w:tc>
                <w:tcPr>
                  <w:tcW w:w="1488" w:type="pct"/>
                  <w:tcBorders>
                    <w:tl2br w:val="nil"/>
                    <w:tr2bl w:val="nil"/>
                  </w:tcBorders>
                  <w:noWrap w:val="0"/>
                  <w:vAlign w:val="center"/>
                </w:tcPr>
                <w:p w14:paraId="2B04F57A">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年平均</w:t>
                  </w:r>
                </w:p>
              </w:tc>
              <w:tc>
                <w:tcPr>
                  <w:tcW w:w="1174" w:type="dxa"/>
                  <w:tcBorders>
                    <w:tl2br w:val="nil"/>
                    <w:tr2bl w:val="nil"/>
                  </w:tcBorders>
                  <w:noWrap w:val="0"/>
                  <w:vAlign w:val="center"/>
                </w:tcPr>
                <w:p w14:paraId="2B3F5648">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37</w:t>
                  </w:r>
                </w:p>
              </w:tc>
              <w:tc>
                <w:tcPr>
                  <w:tcW w:w="695" w:type="pct"/>
                  <w:tcBorders>
                    <w:tl2br w:val="nil"/>
                    <w:tr2bl w:val="nil"/>
                  </w:tcBorders>
                  <w:noWrap w:val="0"/>
                  <w:vAlign w:val="center"/>
                </w:tcPr>
                <w:p w14:paraId="35A8EBE1">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30</w:t>
                  </w:r>
                </w:p>
              </w:tc>
              <w:tc>
                <w:tcPr>
                  <w:tcW w:w="1108" w:type="dxa"/>
                  <w:tcBorders>
                    <w:tl2br w:val="nil"/>
                    <w:tr2bl w:val="nil"/>
                  </w:tcBorders>
                  <w:noWrap w:val="0"/>
                  <w:vAlign w:val="center"/>
                </w:tcPr>
                <w:p w14:paraId="6539E085">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123.3</w:t>
                  </w:r>
                </w:p>
              </w:tc>
              <w:tc>
                <w:tcPr>
                  <w:tcW w:w="663" w:type="pct"/>
                  <w:tcBorders>
                    <w:tl2br w:val="nil"/>
                    <w:tr2bl w:val="nil"/>
                  </w:tcBorders>
                  <w:noWrap w:val="0"/>
                  <w:vAlign w:val="center"/>
                </w:tcPr>
                <w:p w14:paraId="6B9EC722">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default" w:ascii="Times New Roman" w:hAnsi="Times New Roman" w:eastAsia="宋体" w:cs="Times New Roman"/>
                      <w:color w:val="auto"/>
                      <w:kern w:val="0"/>
                      <w:szCs w:val="21"/>
                      <w:lang w:val="en-US" w:eastAsia="zh-CN"/>
                    </w:rPr>
                    <w:t>超标</w:t>
                  </w:r>
                </w:p>
              </w:tc>
            </w:tr>
          </w:tbl>
          <w:p w14:paraId="2B9D524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color w:val="auto"/>
                <w:kern w:val="0"/>
                <w:sz w:val="24"/>
                <w:szCs w:val="24"/>
                <w:lang w:val="en-US" w:eastAsia="zh-CN"/>
              </w:rPr>
            </w:pPr>
            <w:r>
              <w:rPr>
                <w:rFonts w:hint="eastAsia" w:ascii="Times New Roman" w:hAnsi="Times New Roman" w:cs="Times New Roman"/>
                <w:color w:val="auto"/>
                <w:kern w:val="0"/>
                <w:sz w:val="24"/>
                <w:szCs w:val="24"/>
                <w:lang w:val="en-US" w:eastAsia="zh-CN"/>
              </w:rPr>
              <w:t>由上表结果得出：项目所在区域PM</w:t>
            </w:r>
            <w:r>
              <w:rPr>
                <w:rFonts w:hint="eastAsia" w:ascii="Times New Roman" w:hAnsi="Times New Roman" w:cs="Times New Roman"/>
                <w:color w:val="auto"/>
                <w:kern w:val="0"/>
                <w:sz w:val="24"/>
                <w:szCs w:val="24"/>
                <w:vertAlign w:val="subscript"/>
                <w:lang w:val="en-US" w:eastAsia="zh-CN"/>
              </w:rPr>
              <w:t>10</w:t>
            </w:r>
            <w:r>
              <w:rPr>
                <w:rFonts w:hint="eastAsia" w:ascii="Times New Roman" w:hAnsi="Times New Roman" w:cs="Times New Roman"/>
                <w:color w:val="auto"/>
                <w:kern w:val="0"/>
                <w:sz w:val="24"/>
                <w:szCs w:val="24"/>
                <w:lang w:val="en-US" w:eastAsia="zh-CN"/>
              </w:rPr>
              <w:t>、PM</w:t>
            </w:r>
            <w:r>
              <w:rPr>
                <w:rFonts w:hint="eastAsia" w:ascii="Times New Roman" w:hAnsi="Times New Roman" w:cs="Times New Roman"/>
                <w:color w:val="auto"/>
                <w:kern w:val="0"/>
                <w:sz w:val="24"/>
                <w:szCs w:val="24"/>
                <w:vertAlign w:val="subscript"/>
                <w:lang w:val="en-US" w:eastAsia="zh-CN"/>
              </w:rPr>
              <w:t>2.5</w:t>
            </w:r>
            <w:r>
              <w:rPr>
                <w:rFonts w:hint="eastAsia" w:ascii="Times New Roman" w:hAnsi="Times New Roman" w:cs="Times New Roman"/>
                <w:color w:val="auto"/>
                <w:kern w:val="0"/>
                <w:sz w:val="24"/>
                <w:szCs w:val="24"/>
                <w:lang w:val="en-US" w:eastAsia="zh-CN"/>
              </w:rPr>
              <w:t>年平均浓度超过</w:t>
            </w:r>
            <w:r>
              <w:rPr>
                <w:color w:val="auto"/>
                <w:sz w:val="24"/>
                <w:szCs w:val="24"/>
              </w:rPr>
              <w:t>《环境空气质量标准》（GB3095-20</w:t>
            </w:r>
            <w:r>
              <w:rPr>
                <w:rFonts w:hint="eastAsia"/>
                <w:color w:val="auto"/>
                <w:sz w:val="24"/>
                <w:szCs w:val="24"/>
                <w:lang w:val="en-US" w:eastAsia="zh-CN"/>
              </w:rPr>
              <w:t>26</w:t>
            </w:r>
            <w:r>
              <w:rPr>
                <w:color w:val="auto"/>
                <w:sz w:val="24"/>
                <w:szCs w:val="24"/>
              </w:rPr>
              <w:t>）</w:t>
            </w:r>
            <w:r>
              <w:rPr>
                <w:rFonts w:hint="eastAsia"/>
                <w:color w:val="auto"/>
                <w:sz w:val="24"/>
                <w:szCs w:val="24"/>
                <w:lang w:val="en-US" w:eastAsia="zh-CN"/>
              </w:rPr>
              <w:t>表1</w:t>
            </w:r>
            <w:r>
              <w:rPr>
                <w:color w:val="auto"/>
                <w:sz w:val="24"/>
                <w:szCs w:val="24"/>
              </w:rPr>
              <w:t>中的</w:t>
            </w:r>
            <w:r>
              <w:rPr>
                <w:rFonts w:hint="eastAsia"/>
                <w:color w:val="auto"/>
                <w:sz w:val="24"/>
                <w:szCs w:val="24"/>
                <w:lang w:val="en-US" w:eastAsia="zh-CN"/>
              </w:rPr>
              <w:t>过渡阶段</w:t>
            </w:r>
            <w:r>
              <w:rPr>
                <w:color w:val="auto"/>
                <w:sz w:val="24"/>
                <w:szCs w:val="24"/>
              </w:rPr>
              <w:t>二级标准</w:t>
            </w:r>
            <w:r>
              <w:rPr>
                <w:rFonts w:hint="eastAsia"/>
                <w:color w:val="auto"/>
                <w:sz w:val="24"/>
                <w:szCs w:val="24"/>
                <w:lang w:val="en-US" w:eastAsia="zh-CN"/>
              </w:rPr>
              <w:t>限值</w:t>
            </w:r>
            <w:r>
              <w:rPr>
                <w:rFonts w:hint="eastAsia" w:ascii="Times New Roman" w:hAnsi="Times New Roman" w:cs="Times New Roman"/>
                <w:color w:val="auto"/>
                <w:kern w:val="0"/>
                <w:sz w:val="24"/>
                <w:szCs w:val="24"/>
                <w:lang w:val="en-US" w:eastAsia="zh-CN"/>
              </w:rPr>
              <w:t>要求；SO</w:t>
            </w:r>
            <w:r>
              <w:rPr>
                <w:rFonts w:hint="eastAsia" w:ascii="Times New Roman" w:hAnsi="Times New Roman" w:cs="Times New Roman"/>
                <w:color w:val="auto"/>
                <w:kern w:val="0"/>
                <w:sz w:val="24"/>
                <w:szCs w:val="24"/>
                <w:vertAlign w:val="subscript"/>
                <w:lang w:val="en-US" w:eastAsia="zh-CN"/>
              </w:rPr>
              <w:t>2</w:t>
            </w:r>
            <w:r>
              <w:rPr>
                <w:rFonts w:hint="eastAsia" w:ascii="Times New Roman" w:hAnsi="Times New Roman" w:cs="Times New Roman"/>
                <w:color w:val="auto"/>
                <w:kern w:val="0"/>
                <w:sz w:val="24"/>
                <w:szCs w:val="24"/>
                <w:lang w:val="en-US" w:eastAsia="zh-CN"/>
              </w:rPr>
              <w:t>、NO</w:t>
            </w:r>
            <w:r>
              <w:rPr>
                <w:rFonts w:hint="eastAsia" w:ascii="Times New Roman" w:hAnsi="Times New Roman" w:cs="Times New Roman"/>
                <w:color w:val="auto"/>
                <w:kern w:val="0"/>
                <w:sz w:val="24"/>
                <w:szCs w:val="24"/>
                <w:vertAlign w:val="subscript"/>
                <w:lang w:val="en-US" w:eastAsia="zh-CN"/>
              </w:rPr>
              <w:t>2</w:t>
            </w:r>
            <w:r>
              <w:rPr>
                <w:rFonts w:hint="eastAsia" w:ascii="Times New Roman" w:hAnsi="Times New Roman" w:cs="Times New Roman"/>
                <w:color w:val="auto"/>
                <w:kern w:val="0"/>
                <w:sz w:val="24"/>
                <w:szCs w:val="24"/>
                <w:lang w:val="en-US" w:eastAsia="zh-CN"/>
              </w:rPr>
              <w:t>的年均浓度、O</w:t>
            </w:r>
            <w:r>
              <w:rPr>
                <w:rFonts w:hint="eastAsia" w:ascii="Times New Roman" w:hAnsi="Times New Roman" w:cs="Times New Roman"/>
                <w:color w:val="auto"/>
                <w:kern w:val="0"/>
                <w:sz w:val="24"/>
                <w:szCs w:val="24"/>
                <w:vertAlign w:val="subscript"/>
                <w:lang w:val="en-US" w:eastAsia="zh-CN"/>
              </w:rPr>
              <w:t>3</w:t>
            </w:r>
            <w:r>
              <w:rPr>
                <w:rFonts w:hint="eastAsia" w:ascii="Times New Roman" w:hAnsi="Times New Roman" w:cs="Times New Roman"/>
                <w:color w:val="auto"/>
                <w:kern w:val="0"/>
                <w:sz w:val="24"/>
                <w:szCs w:val="24"/>
                <w:lang w:val="en-US" w:eastAsia="zh-CN"/>
              </w:rPr>
              <w:t>日最大8小时平均浓度第90百分位数及CO第95百分位数日平均浓度均满足</w:t>
            </w:r>
            <w:r>
              <w:rPr>
                <w:color w:val="auto"/>
                <w:sz w:val="24"/>
                <w:szCs w:val="24"/>
              </w:rPr>
              <w:t>《环境空气质量标准》（GB3095-20</w:t>
            </w:r>
            <w:r>
              <w:rPr>
                <w:rFonts w:hint="eastAsia"/>
                <w:color w:val="auto"/>
                <w:sz w:val="24"/>
                <w:szCs w:val="24"/>
                <w:lang w:val="en-US" w:eastAsia="zh-CN"/>
              </w:rPr>
              <w:t>26</w:t>
            </w:r>
            <w:r>
              <w:rPr>
                <w:color w:val="auto"/>
                <w:sz w:val="24"/>
                <w:szCs w:val="24"/>
              </w:rPr>
              <w:t>）</w:t>
            </w:r>
            <w:r>
              <w:rPr>
                <w:rFonts w:hint="eastAsia"/>
                <w:color w:val="auto"/>
                <w:sz w:val="24"/>
                <w:szCs w:val="24"/>
                <w:lang w:val="en-US" w:eastAsia="zh-CN"/>
              </w:rPr>
              <w:t>表1</w:t>
            </w:r>
            <w:r>
              <w:rPr>
                <w:color w:val="auto"/>
                <w:sz w:val="24"/>
                <w:szCs w:val="24"/>
              </w:rPr>
              <w:t>中的</w:t>
            </w:r>
            <w:r>
              <w:rPr>
                <w:rFonts w:hint="eastAsia"/>
                <w:color w:val="auto"/>
                <w:sz w:val="24"/>
                <w:szCs w:val="24"/>
                <w:lang w:val="en-US" w:eastAsia="zh-CN"/>
              </w:rPr>
              <w:t>过渡阶段</w:t>
            </w:r>
            <w:r>
              <w:rPr>
                <w:color w:val="auto"/>
                <w:sz w:val="24"/>
                <w:szCs w:val="24"/>
              </w:rPr>
              <w:t>二级标准</w:t>
            </w:r>
            <w:r>
              <w:rPr>
                <w:rFonts w:hint="eastAsia"/>
                <w:color w:val="auto"/>
                <w:sz w:val="24"/>
                <w:szCs w:val="24"/>
                <w:lang w:val="en-US" w:eastAsia="zh-CN"/>
              </w:rPr>
              <w:t>限值</w:t>
            </w:r>
            <w:r>
              <w:rPr>
                <w:rFonts w:hint="eastAsia" w:ascii="Times New Roman" w:hAnsi="Times New Roman" w:cs="Times New Roman"/>
                <w:color w:val="auto"/>
                <w:kern w:val="0"/>
                <w:sz w:val="24"/>
                <w:szCs w:val="24"/>
                <w:lang w:val="en-US" w:eastAsia="zh-CN"/>
              </w:rPr>
              <w:t>要求，故本项目所在区域为不达标区域。</w:t>
            </w:r>
          </w:p>
          <w:p w14:paraId="5C34BB8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color w:val="auto"/>
                <w:kern w:val="0"/>
                <w:sz w:val="24"/>
                <w:szCs w:val="24"/>
                <w:lang w:val="en-US" w:eastAsia="zh-CN"/>
              </w:rPr>
              <w:t>根据项目特点，确定本</w:t>
            </w:r>
            <w:r>
              <w:rPr>
                <w:rFonts w:hint="default" w:ascii="Times New Roman" w:hAnsi="Times New Roman" w:eastAsia="宋体" w:cs="Times New Roman"/>
                <w:color w:val="auto"/>
                <w:kern w:val="0"/>
                <w:sz w:val="24"/>
                <w:szCs w:val="24"/>
                <w:lang w:val="en-US" w:eastAsia="zh-CN"/>
              </w:rPr>
              <w:t>项目特征因子为TSP，为了解区域TSP的质量现状，本次评价</w:t>
            </w:r>
            <w:r>
              <w:rPr>
                <w:rFonts w:hint="eastAsia" w:ascii="Times New Roman" w:hAnsi="Times New Roman" w:eastAsia="宋体" w:cs="Times New Roman"/>
                <w:color w:val="auto"/>
                <w:kern w:val="0"/>
                <w:sz w:val="24"/>
                <w:szCs w:val="24"/>
                <w:lang w:val="en-US" w:eastAsia="zh-CN"/>
              </w:rPr>
              <w:t>引用</w:t>
            </w:r>
            <w:r>
              <w:rPr>
                <w:rFonts w:hint="default" w:ascii="Times New Roman" w:hAnsi="Times New Roman" w:eastAsia="宋体" w:cs="Times New Roman"/>
                <w:color w:val="auto"/>
                <w:kern w:val="0"/>
                <w:sz w:val="24"/>
                <w:szCs w:val="24"/>
                <w:lang w:val="en-US" w:eastAsia="zh-CN"/>
              </w:rPr>
              <w:t>新疆齐新环境服务有限公司于</w:t>
            </w:r>
            <w:r>
              <w:rPr>
                <w:rFonts w:hint="eastAsia" w:ascii="Times New Roman" w:hAnsi="Times New Roman" w:eastAsia="宋体" w:cs="Times New Roman"/>
                <w:color w:val="auto"/>
                <w:kern w:val="0"/>
                <w:sz w:val="24"/>
                <w:szCs w:val="24"/>
                <w:lang w:val="en-US" w:eastAsia="zh-CN"/>
              </w:rPr>
              <w:t>2025</w:t>
            </w:r>
            <w:r>
              <w:rPr>
                <w:rFonts w:hint="default" w:ascii="Times New Roman" w:hAnsi="Times New Roman" w:eastAsia="宋体" w:cs="Times New Roman"/>
                <w:color w:val="auto"/>
                <w:kern w:val="0"/>
                <w:sz w:val="24"/>
                <w:szCs w:val="24"/>
                <w:lang w:val="en-US" w:eastAsia="zh-CN"/>
              </w:rPr>
              <w:t>年</w:t>
            </w:r>
            <w:r>
              <w:rPr>
                <w:rFonts w:hint="eastAsia" w:ascii="Times New Roman" w:hAnsi="Times New Roman" w:eastAsia="宋体" w:cs="Times New Roman"/>
                <w:color w:val="auto"/>
                <w:kern w:val="0"/>
                <w:sz w:val="24"/>
                <w:szCs w:val="24"/>
                <w:lang w:val="en-US" w:eastAsia="zh-CN"/>
              </w:rPr>
              <w:t>12</w:t>
            </w:r>
            <w:r>
              <w:rPr>
                <w:rFonts w:hint="default" w:ascii="Times New Roman" w:hAnsi="Times New Roman" w:eastAsia="宋体" w:cs="Times New Roman"/>
                <w:color w:val="auto"/>
                <w:kern w:val="0"/>
                <w:sz w:val="24"/>
                <w:szCs w:val="24"/>
                <w:lang w:val="en-US" w:eastAsia="zh-CN"/>
              </w:rPr>
              <w:t>月</w:t>
            </w:r>
            <w:r>
              <w:rPr>
                <w:rFonts w:hint="eastAsia" w:ascii="Times New Roman" w:hAnsi="Times New Roman" w:eastAsia="宋体" w:cs="Times New Roman"/>
                <w:color w:val="auto"/>
                <w:kern w:val="0"/>
                <w:sz w:val="24"/>
                <w:szCs w:val="24"/>
                <w:lang w:val="en-US" w:eastAsia="zh-CN"/>
              </w:rPr>
              <w:t>13日</w:t>
            </w:r>
            <w:r>
              <w:rPr>
                <w:rFonts w:hint="default" w:ascii="Times New Roman" w:hAnsi="Times New Roman" w:eastAsia="宋体" w:cs="Times New Roman"/>
                <w:color w:val="auto"/>
                <w:kern w:val="0"/>
                <w:sz w:val="24"/>
                <w:szCs w:val="24"/>
                <w:lang w:val="en-US" w:eastAsia="zh-CN"/>
              </w:rPr>
              <w:t>~</w:t>
            </w:r>
            <w:r>
              <w:rPr>
                <w:rFonts w:hint="eastAsia" w:ascii="Times New Roman" w:hAnsi="Times New Roman" w:eastAsia="宋体" w:cs="Times New Roman"/>
                <w:color w:val="auto"/>
                <w:kern w:val="0"/>
                <w:sz w:val="24"/>
                <w:szCs w:val="24"/>
                <w:lang w:val="en-US" w:eastAsia="zh-CN"/>
              </w:rPr>
              <w:t>12月16</w:t>
            </w:r>
            <w:r>
              <w:rPr>
                <w:rFonts w:hint="default" w:ascii="Times New Roman" w:hAnsi="Times New Roman" w:eastAsia="宋体" w:cs="Times New Roman"/>
                <w:color w:val="auto"/>
                <w:kern w:val="0"/>
                <w:sz w:val="24"/>
                <w:szCs w:val="24"/>
                <w:lang w:val="en-US" w:eastAsia="zh-CN"/>
              </w:rPr>
              <w:t>日</w:t>
            </w:r>
            <w:r>
              <w:rPr>
                <w:rFonts w:hint="eastAsia" w:ascii="Times New Roman" w:hAnsi="Times New Roman" w:eastAsia="宋体" w:cs="Times New Roman"/>
                <w:color w:val="auto"/>
                <w:kern w:val="0"/>
                <w:sz w:val="24"/>
                <w:szCs w:val="24"/>
                <w:lang w:val="en-US" w:eastAsia="zh-CN"/>
              </w:rPr>
              <w:t>对昌吉市建筑垃圾处理厂建设项目的</w:t>
            </w:r>
            <w:r>
              <w:rPr>
                <w:rFonts w:hint="default" w:ascii="Times New Roman" w:hAnsi="Times New Roman" w:eastAsia="宋体" w:cs="Times New Roman"/>
                <w:color w:val="auto"/>
                <w:kern w:val="0"/>
                <w:sz w:val="24"/>
                <w:szCs w:val="24"/>
                <w:lang w:val="en-US" w:eastAsia="zh-CN"/>
              </w:rPr>
              <w:t>监测</w:t>
            </w:r>
            <w:r>
              <w:rPr>
                <w:rFonts w:hint="eastAsia" w:ascii="Times New Roman" w:hAnsi="Times New Roman" w:eastAsia="宋体" w:cs="Times New Roman"/>
                <w:color w:val="auto"/>
                <w:kern w:val="0"/>
                <w:sz w:val="24"/>
                <w:szCs w:val="24"/>
                <w:lang w:val="en-US" w:eastAsia="zh-CN"/>
              </w:rPr>
              <w:t>数据</w:t>
            </w:r>
            <w:r>
              <w:rPr>
                <w:rFonts w:hint="default" w:ascii="Times New Roman" w:hAnsi="Times New Roman" w:eastAsia="宋体" w:cs="Times New Roman"/>
                <w:color w:val="auto"/>
                <w:kern w:val="0"/>
                <w:sz w:val="24"/>
                <w:szCs w:val="24"/>
                <w:lang w:val="en-US" w:eastAsia="zh-CN"/>
              </w:rPr>
              <w:t>，</w:t>
            </w:r>
            <w:r>
              <w:rPr>
                <w:rFonts w:hint="eastAsia" w:cs="Times New Roman"/>
                <w:color w:val="auto"/>
                <w:sz w:val="24"/>
                <w:szCs w:val="24"/>
                <w:lang w:val="en-US" w:eastAsia="zh-CN"/>
              </w:rPr>
              <w:t>监测点位与本项目位置关系详见</w:t>
            </w:r>
            <w:r>
              <w:rPr>
                <w:rFonts w:hint="eastAsia" w:cs="Times New Roman"/>
                <w:b/>
                <w:bCs/>
                <w:color w:val="auto"/>
                <w:sz w:val="24"/>
                <w:szCs w:val="24"/>
                <w:lang w:val="en-US" w:eastAsia="zh-CN"/>
              </w:rPr>
              <w:t>附图3-1，</w:t>
            </w:r>
            <w:r>
              <w:rPr>
                <w:rFonts w:hint="eastAsia" w:ascii="Times New Roman" w:hAnsi="Times New Roman" w:eastAsia="宋体" w:cs="Times New Roman"/>
                <w:color w:val="auto"/>
                <w:sz w:val="24"/>
                <w:szCs w:val="24"/>
                <w:lang w:val="en-US" w:eastAsia="zh-CN"/>
              </w:rPr>
              <w:t>引用数据情况如下：</w:t>
            </w:r>
          </w:p>
          <w:p w14:paraId="1BD19B28">
            <w:pPr>
              <w:pStyle w:val="5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firstLine="0"/>
              <w:textAlignment w:val="auto"/>
              <w:rPr>
                <w:rFonts w:hint="default" w:ascii="Times New Roman" w:hAnsi="Times New Roman" w:cs="Times New Roman"/>
                <w:color w:val="auto"/>
                <w:lang w:val="en-US" w:eastAsia="zh-CN"/>
              </w:rPr>
            </w:pPr>
            <w:r>
              <w:rPr>
                <w:rFonts w:hint="eastAsia" w:ascii="Times New Roman" w:hAnsi="Times New Roman" w:cs="Times New Roman"/>
                <w:color w:val="auto"/>
                <w:lang w:val="en-US" w:eastAsia="zh-CN"/>
              </w:rPr>
              <w:t>表 3-2   特征污染物监测点位基本信息</w:t>
            </w:r>
          </w:p>
          <w:tbl>
            <w:tblPr>
              <w:tblStyle w:val="68"/>
              <w:tblW w:w="8036" w:type="dxa"/>
              <w:jc w:val="center"/>
              <w:tblBorders>
                <w:top w:val="single" w:color="auto" w:sz="12" w:space="0"/>
                <w:left w:val="none" w:color="auto" w:sz="0" w:space="0"/>
                <w:bottom w:val="single" w:color="auto" w:sz="12" w:space="0"/>
                <w:right w:val="none" w:color="auto" w:sz="0" w:space="0"/>
                <w:insideH w:val="single" w:color="000000" w:sz="6" w:space="0"/>
                <w:insideV w:val="single" w:color="000000" w:sz="6" w:space="0"/>
              </w:tblBorders>
              <w:tblLayout w:type="fixed"/>
              <w:tblCellMar>
                <w:top w:w="0" w:type="dxa"/>
                <w:left w:w="0" w:type="dxa"/>
                <w:bottom w:w="0" w:type="dxa"/>
                <w:right w:w="0" w:type="dxa"/>
              </w:tblCellMar>
            </w:tblPr>
            <w:tblGrid>
              <w:gridCol w:w="1094"/>
              <w:gridCol w:w="1034"/>
              <w:gridCol w:w="1783"/>
              <w:gridCol w:w="1068"/>
              <w:gridCol w:w="950"/>
              <w:gridCol w:w="1177"/>
              <w:gridCol w:w="930"/>
            </w:tblGrid>
            <w:tr w14:paraId="4B72EE7D">
              <w:tblPrEx>
                <w:tblBorders>
                  <w:top w:val="single" w:color="auto" w:sz="12" w:space="0"/>
                  <w:left w:val="none" w:color="auto" w:sz="0" w:space="0"/>
                  <w:bottom w:val="single" w:color="auto"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397" w:hRule="atLeast"/>
                <w:jc w:val="center"/>
              </w:trPr>
              <w:tc>
                <w:tcPr>
                  <w:tcW w:w="680" w:type="pct"/>
                  <w:tcBorders>
                    <w:tl2br w:val="nil"/>
                    <w:tr2bl w:val="nil"/>
                  </w:tcBorders>
                  <w:noWrap w:val="0"/>
                  <w:vAlign w:val="center"/>
                </w:tcPr>
                <w:p w14:paraId="0CCAAAAA">
                  <w:pPr>
                    <w:autoSpaceDE w:val="0"/>
                    <w:autoSpaceDN w:val="0"/>
                    <w:snapToGrid w:val="0"/>
                    <w:spacing w:line="360" w:lineRule="auto"/>
                    <w:jc w:val="center"/>
                    <w:rPr>
                      <w:rFonts w:hint="default" w:ascii="Times New Roman" w:hAnsi="Times New Roman" w:eastAsia="宋体" w:cs="Times New Roman"/>
                      <w:b/>
                      <w:bCs/>
                      <w:color w:val="auto"/>
                      <w:kern w:val="0"/>
                      <w:szCs w:val="21"/>
                      <w:lang w:val="en-US" w:eastAsia="zh-CN"/>
                    </w:rPr>
                  </w:pPr>
                  <w:r>
                    <w:rPr>
                      <w:rFonts w:hint="eastAsia" w:ascii="Times New Roman" w:hAnsi="Times New Roman" w:eastAsia="宋体" w:cs="Times New Roman"/>
                      <w:b/>
                      <w:bCs/>
                      <w:color w:val="auto"/>
                      <w:kern w:val="0"/>
                      <w:szCs w:val="21"/>
                    </w:rPr>
                    <w:t>监测</w:t>
                  </w:r>
                  <w:r>
                    <w:rPr>
                      <w:rFonts w:hint="eastAsia" w:ascii="Times New Roman" w:hAnsi="Times New Roman" w:eastAsia="宋体" w:cs="Times New Roman"/>
                      <w:b/>
                      <w:bCs/>
                      <w:color w:val="auto"/>
                      <w:kern w:val="0"/>
                      <w:szCs w:val="21"/>
                      <w:lang w:val="en-US" w:eastAsia="zh-CN"/>
                    </w:rPr>
                    <w:t>点名称</w:t>
                  </w:r>
                </w:p>
              </w:tc>
              <w:tc>
                <w:tcPr>
                  <w:tcW w:w="643" w:type="pct"/>
                  <w:tcBorders>
                    <w:tl2br w:val="nil"/>
                    <w:tr2bl w:val="nil"/>
                  </w:tcBorders>
                  <w:noWrap w:val="0"/>
                  <w:vAlign w:val="center"/>
                </w:tcPr>
                <w:p w14:paraId="7A2F2941">
                  <w:pPr>
                    <w:autoSpaceDE w:val="0"/>
                    <w:autoSpaceDN w:val="0"/>
                    <w:snapToGrid w:val="0"/>
                    <w:spacing w:line="360" w:lineRule="auto"/>
                    <w:jc w:val="center"/>
                    <w:rPr>
                      <w:rFonts w:hint="default" w:ascii="Times New Roman" w:hAnsi="Times New Roman" w:eastAsia="宋体" w:cs="Times New Roman"/>
                      <w:b/>
                      <w:bCs/>
                      <w:color w:val="auto"/>
                      <w:kern w:val="0"/>
                      <w:szCs w:val="21"/>
                      <w:lang w:val="en-US" w:eastAsia="zh-CN"/>
                    </w:rPr>
                  </w:pPr>
                  <w:r>
                    <w:rPr>
                      <w:rFonts w:hint="eastAsia" w:ascii="Times New Roman" w:hAnsi="Times New Roman" w:eastAsia="宋体" w:cs="Times New Roman"/>
                      <w:b/>
                      <w:bCs/>
                      <w:color w:val="auto"/>
                      <w:kern w:val="0"/>
                      <w:szCs w:val="21"/>
                      <w:lang w:val="en-US" w:eastAsia="zh-CN"/>
                    </w:rPr>
                    <w:t>监测因子</w:t>
                  </w:r>
                </w:p>
              </w:tc>
              <w:tc>
                <w:tcPr>
                  <w:tcW w:w="1109" w:type="pct"/>
                  <w:tcBorders>
                    <w:tl2br w:val="nil"/>
                    <w:tr2bl w:val="nil"/>
                  </w:tcBorders>
                  <w:noWrap w:val="0"/>
                  <w:vAlign w:val="center"/>
                </w:tcPr>
                <w:p w14:paraId="569D1A94">
                  <w:pPr>
                    <w:autoSpaceDE w:val="0"/>
                    <w:autoSpaceDN w:val="0"/>
                    <w:snapToGrid w:val="0"/>
                    <w:spacing w:line="360" w:lineRule="auto"/>
                    <w:jc w:val="center"/>
                    <w:rPr>
                      <w:rFonts w:hint="eastAsia" w:ascii="Times New Roman" w:hAnsi="Times New Roman" w:eastAsia="宋体" w:cs="Times New Roman"/>
                      <w:b/>
                      <w:bCs/>
                      <w:color w:val="auto"/>
                      <w:kern w:val="0"/>
                      <w:szCs w:val="21"/>
                      <w:lang w:val="en-US" w:eastAsia="zh-CN"/>
                    </w:rPr>
                  </w:pPr>
                  <w:r>
                    <w:rPr>
                      <w:rFonts w:hint="eastAsia" w:ascii="Times New Roman" w:hAnsi="Times New Roman" w:eastAsia="宋体" w:cs="Times New Roman"/>
                      <w:b/>
                      <w:bCs/>
                      <w:color w:val="auto"/>
                      <w:kern w:val="0"/>
                      <w:szCs w:val="21"/>
                      <w:lang w:val="en-US" w:eastAsia="zh-CN"/>
                    </w:rPr>
                    <w:t>地理坐标</w:t>
                  </w:r>
                </w:p>
              </w:tc>
              <w:tc>
                <w:tcPr>
                  <w:tcW w:w="664" w:type="pct"/>
                  <w:tcBorders>
                    <w:tl2br w:val="nil"/>
                    <w:tr2bl w:val="nil"/>
                  </w:tcBorders>
                  <w:noWrap w:val="0"/>
                  <w:vAlign w:val="center"/>
                </w:tcPr>
                <w:p w14:paraId="1CA81E1E">
                  <w:pPr>
                    <w:autoSpaceDE w:val="0"/>
                    <w:autoSpaceDN w:val="0"/>
                    <w:snapToGrid w:val="0"/>
                    <w:spacing w:line="360" w:lineRule="auto"/>
                    <w:jc w:val="center"/>
                    <w:rPr>
                      <w:rFonts w:hint="default" w:ascii="Times New Roman" w:hAnsi="Times New Roman" w:eastAsia="宋体" w:cs="Times New Roman"/>
                      <w:b/>
                      <w:bCs/>
                      <w:color w:val="auto"/>
                      <w:kern w:val="0"/>
                      <w:szCs w:val="21"/>
                      <w:lang w:val="en-US" w:eastAsia="zh-CN"/>
                    </w:rPr>
                  </w:pPr>
                  <w:r>
                    <w:rPr>
                      <w:rFonts w:hint="eastAsia" w:ascii="Times New Roman" w:hAnsi="Times New Roman" w:eastAsia="宋体" w:cs="Times New Roman"/>
                      <w:b/>
                      <w:bCs/>
                      <w:color w:val="auto"/>
                      <w:kern w:val="0"/>
                      <w:szCs w:val="21"/>
                      <w:lang w:val="en-US" w:eastAsia="zh-CN"/>
                    </w:rPr>
                    <w:t>评价指标</w:t>
                  </w:r>
                </w:p>
              </w:tc>
              <w:tc>
                <w:tcPr>
                  <w:tcW w:w="591" w:type="pct"/>
                  <w:tcBorders>
                    <w:tl2br w:val="nil"/>
                    <w:tr2bl w:val="nil"/>
                  </w:tcBorders>
                  <w:noWrap w:val="0"/>
                  <w:vAlign w:val="center"/>
                </w:tcPr>
                <w:p w14:paraId="6A7012F1">
                  <w:pPr>
                    <w:autoSpaceDE w:val="0"/>
                    <w:autoSpaceDN w:val="0"/>
                    <w:snapToGrid w:val="0"/>
                    <w:spacing w:line="360" w:lineRule="auto"/>
                    <w:jc w:val="center"/>
                    <w:rPr>
                      <w:rFonts w:hint="default" w:ascii="Times New Roman" w:hAnsi="Times New Roman" w:eastAsia="宋体" w:cs="Times New Roman"/>
                      <w:b/>
                      <w:bCs/>
                      <w:color w:val="auto"/>
                      <w:kern w:val="0"/>
                      <w:szCs w:val="21"/>
                      <w:lang w:val="en-US" w:eastAsia="zh-CN"/>
                    </w:rPr>
                  </w:pPr>
                  <w:r>
                    <w:rPr>
                      <w:rFonts w:hint="eastAsia" w:ascii="Times New Roman" w:hAnsi="Times New Roman" w:eastAsia="宋体" w:cs="Times New Roman"/>
                      <w:b/>
                      <w:bCs/>
                      <w:color w:val="auto"/>
                      <w:kern w:val="0"/>
                      <w:szCs w:val="21"/>
                      <w:lang w:val="en-US" w:eastAsia="zh-CN"/>
                    </w:rPr>
                    <w:t>相对方位</w:t>
                  </w:r>
                </w:p>
              </w:tc>
              <w:tc>
                <w:tcPr>
                  <w:tcW w:w="732" w:type="pct"/>
                  <w:tcBorders>
                    <w:tl2br w:val="nil"/>
                    <w:tr2bl w:val="nil"/>
                  </w:tcBorders>
                  <w:noWrap w:val="0"/>
                  <w:vAlign w:val="center"/>
                </w:tcPr>
                <w:p w14:paraId="44AE0896">
                  <w:pPr>
                    <w:autoSpaceDE w:val="0"/>
                    <w:autoSpaceDN w:val="0"/>
                    <w:snapToGrid w:val="0"/>
                    <w:spacing w:line="360" w:lineRule="auto"/>
                    <w:jc w:val="center"/>
                    <w:rPr>
                      <w:rFonts w:hint="default" w:ascii="Times New Roman" w:hAnsi="Times New Roman" w:eastAsia="宋体" w:cs="Times New Roman"/>
                      <w:b/>
                      <w:bCs/>
                      <w:color w:val="auto"/>
                      <w:kern w:val="0"/>
                      <w:szCs w:val="21"/>
                      <w:lang w:val="en-US" w:eastAsia="zh-CN"/>
                    </w:rPr>
                  </w:pPr>
                  <w:r>
                    <w:rPr>
                      <w:rFonts w:hint="eastAsia" w:ascii="Times New Roman" w:hAnsi="Times New Roman" w:eastAsia="宋体" w:cs="Times New Roman"/>
                      <w:b/>
                      <w:bCs/>
                      <w:color w:val="auto"/>
                      <w:kern w:val="0"/>
                      <w:szCs w:val="21"/>
                      <w:lang w:val="en-US" w:eastAsia="zh-CN"/>
                    </w:rPr>
                    <w:t>相对距离/m</w:t>
                  </w:r>
                </w:p>
              </w:tc>
              <w:tc>
                <w:tcPr>
                  <w:tcW w:w="578" w:type="pct"/>
                  <w:tcBorders>
                    <w:tl2br w:val="nil"/>
                    <w:tr2bl w:val="nil"/>
                  </w:tcBorders>
                  <w:noWrap w:val="0"/>
                  <w:vAlign w:val="center"/>
                </w:tcPr>
                <w:p w14:paraId="4F3089EC">
                  <w:pPr>
                    <w:autoSpaceDE w:val="0"/>
                    <w:autoSpaceDN w:val="0"/>
                    <w:snapToGrid w:val="0"/>
                    <w:spacing w:line="360" w:lineRule="auto"/>
                    <w:jc w:val="center"/>
                    <w:rPr>
                      <w:rFonts w:hint="default" w:ascii="Times New Roman" w:hAnsi="Times New Roman" w:eastAsia="宋体" w:cs="Times New Roman"/>
                      <w:b/>
                      <w:bCs/>
                      <w:color w:val="auto"/>
                      <w:kern w:val="0"/>
                      <w:szCs w:val="21"/>
                      <w:lang w:val="en-US" w:eastAsia="zh-CN"/>
                    </w:rPr>
                  </w:pPr>
                  <w:r>
                    <w:rPr>
                      <w:rFonts w:hint="eastAsia" w:ascii="Times New Roman" w:hAnsi="Times New Roman" w:eastAsia="宋体" w:cs="Times New Roman"/>
                      <w:b/>
                      <w:bCs/>
                      <w:color w:val="auto"/>
                      <w:kern w:val="0"/>
                      <w:szCs w:val="21"/>
                      <w:lang w:val="en-US" w:eastAsia="zh-CN"/>
                    </w:rPr>
                    <w:t>数据来源</w:t>
                  </w:r>
                </w:p>
              </w:tc>
            </w:tr>
            <w:tr w14:paraId="1723BA13">
              <w:tblPrEx>
                <w:tblBorders>
                  <w:top w:val="single" w:color="auto" w:sz="12" w:space="0"/>
                  <w:left w:val="none" w:color="auto" w:sz="0" w:space="0"/>
                  <w:bottom w:val="single" w:color="auto"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599" w:hRule="exact"/>
                <w:jc w:val="center"/>
              </w:trPr>
              <w:tc>
                <w:tcPr>
                  <w:tcW w:w="680" w:type="pct"/>
                  <w:tcBorders>
                    <w:tl2br w:val="nil"/>
                    <w:tr2bl w:val="nil"/>
                  </w:tcBorders>
                  <w:noWrap w:val="0"/>
                  <w:vAlign w:val="center"/>
                </w:tcPr>
                <w:p w14:paraId="5FE0E91D">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项目区下风向</w:t>
                  </w:r>
                </w:p>
              </w:tc>
              <w:tc>
                <w:tcPr>
                  <w:tcW w:w="643" w:type="pct"/>
                  <w:tcBorders>
                    <w:tl2br w:val="nil"/>
                    <w:tr2bl w:val="nil"/>
                  </w:tcBorders>
                  <w:noWrap w:val="0"/>
                  <w:vAlign w:val="center"/>
                </w:tcPr>
                <w:p w14:paraId="09C366D8">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TSP</w:t>
                  </w:r>
                </w:p>
              </w:tc>
              <w:tc>
                <w:tcPr>
                  <w:tcW w:w="1109" w:type="pct"/>
                  <w:tcBorders>
                    <w:tl2br w:val="nil"/>
                    <w:tr2bl w:val="nil"/>
                  </w:tcBorders>
                  <w:noWrap w:val="0"/>
                  <w:vAlign w:val="center"/>
                </w:tcPr>
                <w:p w14:paraId="2C18E1AF">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E</w:t>
                  </w:r>
                  <w:r>
                    <w:rPr>
                      <w:rFonts w:hint="default" w:ascii="Times New Roman" w:hAnsi="Times New Roman" w:eastAsia="宋体" w:cs="Times New Roman"/>
                      <w:color w:val="auto"/>
                      <w:kern w:val="0"/>
                      <w:szCs w:val="21"/>
                      <w:lang w:val="en-US" w:eastAsia="zh-CN"/>
                    </w:rPr>
                    <w:t>87°14′20.92464″,</w:t>
                  </w:r>
                  <w:r>
                    <w:rPr>
                      <w:rFonts w:hint="eastAsia" w:ascii="Times New Roman" w:hAnsi="Times New Roman" w:eastAsia="宋体" w:cs="Times New Roman"/>
                      <w:color w:val="auto"/>
                      <w:kern w:val="0"/>
                      <w:szCs w:val="21"/>
                      <w:lang w:val="en-US" w:eastAsia="zh-CN"/>
                    </w:rPr>
                    <w:t>N</w:t>
                  </w:r>
                  <w:r>
                    <w:rPr>
                      <w:rFonts w:hint="default" w:ascii="Times New Roman" w:hAnsi="Times New Roman" w:eastAsia="宋体" w:cs="Times New Roman"/>
                      <w:color w:val="auto"/>
                      <w:kern w:val="0"/>
                      <w:szCs w:val="21"/>
                      <w:lang w:val="en-US" w:eastAsia="zh-CN"/>
                    </w:rPr>
                    <w:t>44°6′45.28186″</w:t>
                  </w:r>
                </w:p>
              </w:tc>
              <w:tc>
                <w:tcPr>
                  <w:tcW w:w="664" w:type="pct"/>
                  <w:tcBorders>
                    <w:tl2br w:val="nil"/>
                    <w:tr2bl w:val="nil"/>
                  </w:tcBorders>
                  <w:noWrap w:val="0"/>
                  <w:vAlign w:val="center"/>
                </w:tcPr>
                <w:p w14:paraId="476F15B3">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日均值</w:t>
                  </w:r>
                </w:p>
              </w:tc>
              <w:tc>
                <w:tcPr>
                  <w:tcW w:w="591" w:type="pct"/>
                  <w:tcBorders>
                    <w:tl2br w:val="nil"/>
                    <w:tr2bl w:val="nil"/>
                  </w:tcBorders>
                  <w:noWrap w:val="0"/>
                  <w:vAlign w:val="center"/>
                </w:tcPr>
                <w:p w14:paraId="546CEC17">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东北偏东</w:t>
                  </w:r>
                </w:p>
              </w:tc>
              <w:tc>
                <w:tcPr>
                  <w:tcW w:w="732" w:type="pct"/>
                  <w:tcBorders>
                    <w:tl2br w:val="nil"/>
                    <w:tr2bl w:val="nil"/>
                  </w:tcBorders>
                  <w:noWrap w:val="0"/>
                  <w:vAlign w:val="center"/>
                </w:tcPr>
                <w:p w14:paraId="5CABFFB8">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870</w:t>
                  </w:r>
                </w:p>
              </w:tc>
              <w:tc>
                <w:tcPr>
                  <w:tcW w:w="578" w:type="pct"/>
                  <w:tcBorders>
                    <w:tl2br w:val="nil"/>
                    <w:tr2bl w:val="nil"/>
                  </w:tcBorders>
                  <w:noWrap w:val="0"/>
                  <w:vAlign w:val="center"/>
                </w:tcPr>
                <w:p w14:paraId="3DFADA3E">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引用</w:t>
                  </w:r>
                </w:p>
              </w:tc>
            </w:tr>
          </w:tbl>
          <w:p w14:paraId="35780B9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kern w:val="0"/>
                <w:sz w:val="24"/>
                <w:szCs w:val="24"/>
                <w:lang w:val="en-US" w:eastAsia="zh-CN"/>
              </w:rPr>
            </w:pPr>
            <w:r>
              <w:rPr>
                <w:rFonts w:hint="eastAsia" w:ascii="Times New Roman" w:hAnsi="Times New Roman" w:eastAsia="宋体" w:cs="Times New Roman"/>
                <w:color w:val="auto"/>
                <w:kern w:val="0"/>
                <w:sz w:val="24"/>
                <w:szCs w:val="24"/>
                <w:lang w:val="en-US" w:eastAsia="zh-CN"/>
              </w:rPr>
              <w:t>环境空气质量现状监测统计及评价结果见表3-3。</w:t>
            </w:r>
          </w:p>
          <w:p w14:paraId="40AE9C79">
            <w:pPr>
              <w:pStyle w:val="59"/>
              <w:keepNext w:val="0"/>
              <w:keepLines w:val="0"/>
              <w:pageBreakBefore w:val="0"/>
              <w:widowControl w:val="0"/>
              <w:kinsoku/>
              <w:wordWrap/>
              <w:overflowPunct/>
              <w:topLinePunct w:val="0"/>
              <w:autoSpaceDE/>
              <w:autoSpaceDN/>
              <w:bidi w:val="0"/>
              <w:adjustRightInd/>
              <w:snapToGrid/>
              <w:spacing w:before="0" w:beforeLines="0" w:after="0" w:afterLines="0" w:line="240" w:lineRule="auto"/>
              <w:ind w:firstLine="0"/>
              <w:textAlignment w:val="auto"/>
              <w:rPr>
                <w:rFonts w:hint="eastAsia" w:ascii="Times New Roman" w:hAnsi="Times New Roman" w:cs="Times New Roman"/>
                <w:color w:val="auto"/>
                <w:lang w:val="en-US" w:eastAsia="zh-CN"/>
              </w:rPr>
            </w:pPr>
            <w:r>
              <w:rPr>
                <w:rFonts w:hint="eastAsia" w:ascii="Times New Roman" w:hAnsi="Times New Roman" w:cs="Times New Roman"/>
                <w:color w:val="auto"/>
                <w:lang w:val="en-US" w:eastAsia="zh-CN"/>
              </w:rPr>
              <w:t>表 3-3   环境现状评价一览表</w:t>
            </w:r>
          </w:p>
          <w:tbl>
            <w:tblPr>
              <w:tblStyle w:val="68"/>
              <w:tblW w:w="4998" w:type="pct"/>
              <w:jc w:val="center"/>
              <w:tblBorders>
                <w:top w:val="single" w:color="auto" w:sz="12" w:space="0"/>
                <w:left w:val="none" w:color="auto" w:sz="0" w:space="0"/>
                <w:bottom w:val="single" w:color="auto" w:sz="12" w:space="0"/>
                <w:right w:val="none" w:color="auto" w:sz="0" w:space="0"/>
                <w:insideH w:val="single" w:color="000000" w:sz="6" w:space="0"/>
                <w:insideV w:val="single" w:color="000000" w:sz="6" w:space="0"/>
              </w:tblBorders>
              <w:tblLayout w:type="fixed"/>
              <w:tblCellMar>
                <w:top w:w="0" w:type="dxa"/>
                <w:left w:w="0" w:type="dxa"/>
                <w:bottom w:w="0" w:type="dxa"/>
                <w:right w:w="0" w:type="dxa"/>
              </w:tblCellMar>
            </w:tblPr>
            <w:tblGrid>
              <w:gridCol w:w="1196"/>
              <w:gridCol w:w="2217"/>
              <w:gridCol w:w="1653"/>
              <w:gridCol w:w="1371"/>
              <w:gridCol w:w="1527"/>
            </w:tblGrid>
            <w:tr w14:paraId="6F766D2F">
              <w:tblPrEx>
                <w:tblBorders>
                  <w:top w:val="single" w:color="auto" w:sz="12" w:space="0"/>
                  <w:left w:val="none" w:color="auto" w:sz="0" w:space="0"/>
                  <w:bottom w:val="single" w:color="auto"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632" w:hRule="atLeast"/>
                <w:jc w:val="center"/>
              </w:trPr>
              <w:tc>
                <w:tcPr>
                  <w:tcW w:w="751" w:type="pct"/>
                  <w:tcBorders>
                    <w:tl2br w:val="nil"/>
                    <w:tr2bl w:val="nil"/>
                  </w:tcBorders>
                  <w:noWrap w:val="0"/>
                  <w:vAlign w:val="center"/>
                </w:tcPr>
                <w:p w14:paraId="12F89DA1">
                  <w:pPr>
                    <w:autoSpaceDE w:val="0"/>
                    <w:autoSpaceDN w:val="0"/>
                    <w:snapToGrid w:val="0"/>
                    <w:spacing w:line="240" w:lineRule="auto"/>
                    <w:jc w:val="center"/>
                    <w:rPr>
                      <w:rFonts w:hint="eastAsia" w:ascii="Times New Roman" w:hAnsi="Times New Roman" w:eastAsia="宋体" w:cs="Times New Roman"/>
                      <w:b/>
                      <w:bCs/>
                      <w:color w:val="auto"/>
                      <w:kern w:val="0"/>
                      <w:szCs w:val="21"/>
                      <w:lang w:eastAsia="zh-CN"/>
                    </w:rPr>
                  </w:pPr>
                  <w:r>
                    <w:rPr>
                      <w:rFonts w:hint="eastAsia" w:ascii="Times New Roman" w:hAnsi="Times New Roman" w:eastAsia="宋体" w:cs="Times New Roman"/>
                      <w:b/>
                      <w:bCs/>
                      <w:color w:val="auto"/>
                      <w:kern w:val="0"/>
                      <w:szCs w:val="21"/>
                    </w:rPr>
                    <w:t>监测</w:t>
                  </w:r>
                  <w:r>
                    <w:rPr>
                      <w:rFonts w:hint="eastAsia" w:ascii="Times New Roman" w:hAnsi="Times New Roman" w:eastAsia="宋体" w:cs="Times New Roman"/>
                      <w:b/>
                      <w:bCs/>
                      <w:color w:val="auto"/>
                      <w:kern w:val="0"/>
                      <w:szCs w:val="21"/>
                      <w:lang w:eastAsia="zh-CN"/>
                    </w:rPr>
                    <w:t>项目</w:t>
                  </w:r>
                </w:p>
              </w:tc>
              <w:tc>
                <w:tcPr>
                  <w:tcW w:w="1391" w:type="pct"/>
                  <w:tcBorders>
                    <w:tl2br w:val="nil"/>
                    <w:tr2bl w:val="nil"/>
                  </w:tcBorders>
                  <w:noWrap w:val="0"/>
                  <w:vAlign w:val="center"/>
                </w:tcPr>
                <w:p w14:paraId="231FE41A">
                  <w:pPr>
                    <w:autoSpaceDE w:val="0"/>
                    <w:autoSpaceDN w:val="0"/>
                    <w:snapToGrid w:val="0"/>
                    <w:spacing w:line="240" w:lineRule="auto"/>
                    <w:jc w:val="center"/>
                    <w:rPr>
                      <w:rFonts w:ascii="Times New Roman" w:hAnsi="Times New Roman" w:eastAsia="宋体" w:cs="Times New Roman"/>
                      <w:b/>
                      <w:bCs/>
                      <w:color w:val="auto"/>
                      <w:kern w:val="0"/>
                      <w:szCs w:val="21"/>
                    </w:rPr>
                  </w:pPr>
                  <w:r>
                    <w:rPr>
                      <w:rFonts w:hint="eastAsia" w:ascii="Times New Roman" w:hAnsi="Times New Roman" w:eastAsia="宋体" w:cs="Times New Roman"/>
                      <w:b/>
                      <w:bCs/>
                      <w:color w:val="auto"/>
                      <w:kern w:val="0"/>
                      <w:szCs w:val="21"/>
                    </w:rPr>
                    <w:t>监测日期</w:t>
                  </w:r>
                </w:p>
              </w:tc>
              <w:tc>
                <w:tcPr>
                  <w:tcW w:w="1037" w:type="pct"/>
                  <w:tcBorders>
                    <w:tl2br w:val="nil"/>
                    <w:tr2bl w:val="nil"/>
                  </w:tcBorders>
                  <w:noWrap w:val="0"/>
                  <w:vAlign w:val="center"/>
                </w:tcPr>
                <w:p w14:paraId="6140AD09">
                  <w:pPr>
                    <w:autoSpaceDE w:val="0"/>
                    <w:autoSpaceDN w:val="0"/>
                    <w:snapToGrid w:val="0"/>
                    <w:spacing w:line="240" w:lineRule="auto"/>
                    <w:jc w:val="center"/>
                    <w:rPr>
                      <w:rFonts w:ascii="Times New Roman" w:hAnsi="Times New Roman" w:eastAsia="宋体" w:cs="Times New Roman"/>
                      <w:b/>
                      <w:bCs/>
                      <w:color w:val="auto"/>
                      <w:kern w:val="0"/>
                      <w:szCs w:val="21"/>
                    </w:rPr>
                  </w:pPr>
                  <w:r>
                    <w:rPr>
                      <w:rFonts w:hint="eastAsia" w:ascii="Times New Roman" w:hAnsi="Times New Roman" w:eastAsia="宋体" w:cs="Times New Roman"/>
                      <w:b/>
                      <w:bCs/>
                      <w:color w:val="auto"/>
                      <w:kern w:val="0"/>
                      <w:szCs w:val="21"/>
                      <w:lang w:val="en-US" w:eastAsia="zh-CN"/>
                    </w:rPr>
                    <w:t>监测结果</w:t>
                  </w:r>
                </w:p>
                <w:p w14:paraId="07891C5B">
                  <w:pPr>
                    <w:autoSpaceDE w:val="0"/>
                    <w:autoSpaceDN w:val="0"/>
                    <w:snapToGrid w:val="0"/>
                    <w:spacing w:line="240" w:lineRule="auto"/>
                    <w:jc w:val="center"/>
                    <w:rPr>
                      <w:rFonts w:hint="eastAsia" w:ascii="Times New Roman" w:hAnsi="Times New Roman" w:eastAsia="宋体" w:cs="Times New Roman"/>
                      <w:b/>
                      <w:bCs/>
                      <w:color w:val="auto"/>
                      <w:kern w:val="0"/>
                      <w:szCs w:val="21"/>
                      <w:lang w:eastAsia="zh-CN"/>
                    </w:rPr>
                  </w:pPr>
                  <w:r>
                    <w:rPr>
                      <w:rFonts w:hint="eastAsia" w:ascii="Times New Roman" w:hAnsi="Times New Roman" w:eastAsia="宋体" w:cs="Times New Roman"/>
                      <w:b/>
                      <w:bCs/>
                      <w:color w:val="auto"/>
                      <w:kern w:val="0"/>
                      <w:szCs w:val="21"/>
                      <w:lang w:eastAsia="zh-CN"/>
                    </w:rPr>
                    <w:t>（</w:t>
                  </w:r>
                  <w:r>
                    <w:rPr>
                      <w:rFonts w:ascii="Times New Roman" w:hAnsi="Times New Roman" w:eastAsia="宋体" w:cs="Times New Roman"/>
                      <w:b/>
                      <w:bCs/>
                      <w:color w:val="auto"/>
                    </w:rPr>
                    <w:t>μg</w:t>
                  </w:r>
                  <w:r>
                    <w:rPr>
                      <w:rFonts w:hint="eastAsia" w:ascii="Times New Roman" w:hAnsi="Times New Roman" w:eastAsia="宋体" w:cs="Times New Roman"/>
                      <w:b/>
                      <w:bCs/>
                      <w:color w:val="auto"/>
                      <w:kern w:val="0"/>
                      <w:szCs w:val="21"/>
                    </w:rPr>
                    <w:t>/</w:t>
                  </w:r>
                  <w:r>
                    <w:rPr>
                      <w:rFonts w:hint="eastAsia" w:ascii="Times New Roman" w:hAnsi="Times New Roman" w:eastAsia="宋体" w:cs="Times New Roman"/>
                      <w:b/>
                      <w:bCs/>
                      <w:color w:val="auto"/>
                      <w:kern w:val="0"/>
                      <w:szCs w:val="21"/>
                      <w:lang w:eastAsia="zh-CN"/>
                    </w:rPr>
                    <w:t>m³）</w:t>
                  </w:r>
                </w:p>
              </w:tc>
              <w:tc>
                <w:tcPr>
                  <w:tcW w:w="860" w:type="pct"/>
                  <w:tcBorders>
                    <w:tl2br w:val="nil"/>
                    <w:tr2bl w:val="nil"/>
                  </w:tcBorders>
                  <w:noWrap w:val="0"/>
                  <w:vAlign w:val="center"/>
                </w:tcPr>
                <w:p w14:paraId="23EAF904">
                  <w:pPr>
                    <w:autoSpaceDE w:val="0"/>
                    <w:autoSpaceDN w:val="0"/>
                    <w:snapToGrid w:val="0"/>
                    <w:spacing w:line="240" w:lineRule="auto"/>
                    <w:jc w:val="center"/>
                    <w:rPr>
                      <w:rFonts w:hint="eastAsia" w:ascii="Times New Roman" w:hAnsi="Times New Roman" w:eastAsia="宋体" w:cs="Times New Roman"/>
                      <w:b/>
                      <w:bCs/>
                      <w:color w:val="auto"/>
                      <w:kern w:val="0"/>
                      <w:szCs w:val="21"/>
                      <w:lang w:eastAsia="zh-CN"/>
                    </w:rPr>
                  </w:pPr>
                  <w:r>
                    <w:rPr>
                      <w:rFonts w:hint="eastAsia" w:ascii="Times New Roman" w:hAnsi="Times New Roman" w:eastAsia="宋体" w:cs="Times New Roman"/>
                      <w:b/>
                      <w:bCs/>
                      <w:color w:val="auto"/>
                      <w:kern w:val="0"/>
                      <w:szCs w:val="21"/>
                      <w:lang w:eastAsia="zh-CN"/>
                    </w:rPr>
                    <w:t>标准</w:t>
                  </w:r>
                  <w:r>
                    <w:rPr>
                      <w:rFonts w:ascii="Times New Roman" w:hAnsi="Times New Roman" w:eastAsia="宋体" w:cs="Times New Roman"/>
                      <w:b/>
                      <w:bCs/>
                      <w:color w:val="auto"/>
                    </w:rPr>
                    <w:t>限</w:t>
                  </w:r>
                  <w:r>
                    <w:rPr>
                      <w:rFonts w:hint="eastAsia" w:ascii="Times New Roman" w:hAnsi="Times New Roman" w:eastAsia="宋体" w:cs="Times New Roman"/>
                      <w:b/>
                      <w:bCs/>
                      <w:color w:val="auto"/>
                      <w:kern w:val="0"/>
                      <w:szCs w:val="21"/>
                      <w:lang w:eastAsia="zh-CN"/>
                    </w:rPr>
                    <w:t>值</w:t>
                  </w:r>
                </w:p>
                <w:p w14:paraId="0933FF84">
                  <w:pPr>
                    <w:autoSpaceDE w:val="0"/>
                    <w:autoSpaceDN w:val="0"/>
                    <w:snapToGrid w:val="0"/>
                    <w:spacing w:line="240" w:lineRule="auto"/>
                    <w:jc w:val="center"/>
                    <w:rPr>
                      <w:rFonts w:hint="eastAsia" w:ascii="Times New Roman" w:hAnsi="Times New Roman" w:eastAsia="宋体" w:cs="Times New Roman"/>
                      <w:b/>
                      <w:bCs/>
                      <w:color w:val="auto"/>
                      <w:kern w:val="0"/>
                      <w:szCs w:val="21"/>
                      <w:lang w:eastAsia="zh-CN"/>
                    </w:rPr>
                  </w:pPr>
                  <w:r>
                    <w:rPr>
                      <w:rFonts w:hint="eastAsia" w:ascii="Times New Roman" w:hAnsi="Times New Roman" w:eastAsia="宋体" w:cs="Times New Roman"/>
                      <w:b/>
                      <w:bCs/>
                      <w:color w:val="auto"/>
                      <w:kern w:val="0"/>
                      <w:szCs w:val="21"/>
                      <w:lang w:eastAsia="zh-CN"/>
                    </w:rPr>
                    <w:t>（</w:t>
                  </w:r>
                  <w:r>
                    <w:rPr>
                      <w:rFonts w:ascii="Times New Roman" w:hAnsi="Times New Roman" w:eastAsia="宋体" w:cs="Times New Roman"/>
                      <w:b/>
                      <w:bCs/>
                      <w:color w:val="auto"/>
                    </w:rPr>
                    <w:t>μg/</w:t>
                  </w:r>
                  <w:r>
                    <w:rPr>
                      <w:rFonts w:hint="eastAsia" w:ascii="Times New Roman" w:hAnsi="Times New Roman" w:eastAsia="宋体" w:cs="Times New Roman"/>
                      <w:b/>
                      <w:bCs/>
                      <w:color w:val="auto"/>
                      <w:lang w:eastAsia="zh-CN"/>
                    </w:rPr>
                    <w:t>m³</w:t>
                  </w:r>
                  <w:r>
                    <w:rPr>
                      <w:rFonts w:hint="eastAsia" w:ascii="Times New Roman" w:hAnsi="Times New Roman" w:eastAsia="宋体" w:cs="Times New Roman"/>
                      <w:b/>
                      <w:bCs/>
                      <w:color w:val="auto"/>
                      <w:kern w:val="0"/>
                      <w:szCs w:val="21"/>
                      <w:lang w:eastAsia="zh-CN"/>
                    </w:rPr>
                    <w:t>）</w:t>
                  </w:r>
                </w:p>
              </w:tc>
              <w:tc>
                <w:tcPr>
                  <w:tcW w:w="958" w:type="pct"/>
                  <w:tcBorders>
                    <w:tl2br w:val="nil"/>
                    <w:tr2bl w:val="nil"/>
                  </w:tcBorders>
                  <w:noWrap w:val="0"/>
                  <w:vAlign w:val="center"/>
                </w:tcPr>
                <w:p w14:paraId="0F77EBBA">
                  <w:pPr>
                    <w:autoSpaceDE w:val="0"/>
                    <w:autoSpaceDN w:val="0"/>
                    <w:snapToGrid w:val="0"/>
                    <w:spacing w:line="240" w:lineRule="auto"/>
                    <w:jc w:val="center"/>
                    <w:rPr>
                      <w:rFonts w:hint="eastAsia" w:ascii="Times New Roman" w:hAnsi="Times New Roman" w:eastAsia="宋体" w:cs="Times New Roman"/>
                      <w:b/>
                      <w:bCs/>
                      <w:color w:val="auto"/>
                      <w:kern w:val="0"/>
                      <w:szCs w:val="21"/>
                      <w:lang w:eastAsia="zh-CN"/>
                    </w:rPr>
                  </w:pPr>
                  <w:r>
                    <w:rPr>
                      <w:rFonts w:hint="eastAsia" w:ascii="Times New Roman" w:hAnsi="Times New Roman" w:eastAsia="宋体" w:cs="Times New Roman"/>
                      <w:b/>
                      <w:bCs/>
                      <w:color w:val="auto"/>
                      <w:kern w:val="0"/>
                      <w:szCs w:val="21"/>
                      <w:lang w:val="en-US" w:eastAsia="zh-CN"/>
                    </w:rPr>
                    <w:t>最大</w:t>
                  </w:r>
                  <w:r>
                    <w:rPr>
                      <w:rFonts w:hint="eastAsia" w:ascii="Times New Roman" w:hAnsi="Times New Roman" w:eastAsia="宋体" w:cs="Times New Roman"/>
                      <w:b/>
                      <w:bCs/>
                      <w:color w:val="auto"/>
                      <w:kern w:val="0"/>
                      <w:szCs w:val="21"/>
                    </w:rPr>
                    <w:t>占标率</w:t>
                  </w:r>
                  <w:r>
                    <w:rPr>
                      <w:rFonts w:hint="eastAsia" w:ascii="Times New Roman" w:hAnsi="Times New Roman" w:eastAsia="宋体" w:cs="Times New Roman"/>
                      <w:b/>
                      <w:bCs/>
                      <w:color w:val="auto"/>
                      <w:kern w:val="0"/>
                      <w:szCs w:val="21"/>
                      <w:lang w:eastAsia="zh-CN"/>
                    </w:rPr>
                    <w:t>（</w:t>
                  </w:r>
                  <w:r>
                    <w:rPr>
                      <w:rFonts w:hint="eastAsia" w:ascii="Times New Roman" w:hAnsi="Times New Roman" w:eastAsia="宋体" w:cs="Times New Roman"/>
                      <w:b/>
                      <w:bCs/>
                      <w:color w:val="auto"/>
                      <w:kern w:val="0"/>
                      <w:szCs w:val="21"/>
                    </w:rPr>
                    <w:t>%</w:t>
                  </w:r>
                  <w:r>
                    <w:rPr>
                      <w:rFonts w:hint="eastAsia" w:ascii="Times New Roman" w:hAnsi="Times New Roman" w:eastAsia="宋体" w:cs="Times New Roman"/>
                      <w:b/>
                      <w:bCs/>
                      <w:color w:val="auto"/>
                      <w:kern w:val="0"/>
                      <w:szCs w:val="21"/>
                      <w:lang w:eastAsia="zh-CN"/>
                    </w:rPr>
                    <w:t>）</w:t>
                  </w:r>
                </w:p>
              </w:tc>
            </w:tr>
            <w:tr w14:paraId="00C86DFE">
              <w:tblPrEx>
                <w:tblBorders>
                  <w:top w:val="single" w:color="auto" w:sz="12" w:space="0"/>
                  <w:left w:val="none" w:color="auto" w:sz="0" w:space="0"/>
                  <w:bottom w:val="single" w:color="auto" w:sz="12" w:space="0"/>
                  <w:right w:val="none" w:color="auto" w:sz="0" w:space="0"/>
                  <w:insideH w:val="single" w:color="000000" w:sz="6" w:space="0"/>
                  <w:insideV w:val="single" w:color="000000" w:sz="6" w:space="0"/>
                </w:tblBorders>
                <w:tblCellMar>
                  <w:top w:w="0" w:type="dxa"/>
                  <w:left w:w="0" w:type="dxa"/>
                  <w:bottom w:w="0" w:type="dxa"/>
                  <w:right w:w="0" w:type="dxa"/>
                </w:tblCellMar>
              </w:tblPrEx>
              <w:trPr>
                <w:trHeight w:val="676" w:hRule="exact"/>
                <w:jc w:val="center"/>
              </w:trPr>
              <w:tc>
                <w:tcPr>
                  <w:tcW w:w="751" w:type="pct"/>
                  <w:tcBorders>
                    <w:tl2br w:val="nil"/>
                    <w:tr2bl w:val="nil"/>
                  </w:tcBorders>
                  <w:noWrap w:val="0"/>
                  <w:vAlign w:val="center"/>
                </w:tcPr>
                <w:p w14:paraId="55A3C82F">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TSP</w:t>
                  </w:r>
                </w:p>
              </w:tc>
              <w:tc>
                <w:tcPr>
                  <w:tcW w:w="1391" w:type="pct"/>
                  <w:tcBorders>
                    <w:tl2br w:val="nil"/>
                    <w:tr2bl w:val="nil"/>
                  </w:tcBorders>
                  <w:noWrap w:val="0"/>
                  <w:vAlign w:val="center"/>
                </w:tcPr>
                <w:p w14:paraId="458A7184">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2025年12月13日至2025年12月16日</w:t>
                  </w:r>
                </w:p>
              </w:tc>
              <w:tc>
                <w:tcPr>
                  <w:tcW w:w="1037" w:type="pct"/>
                  <w:tcBorders>
                    <w:tl2br w:val="nil"/>
                    <w:tr2bl w:val="nil"/>
                  </w:tcBorders>
                  <w:noWrap w:val="0"/>
                  <w:vAlign w:val="center"/>
                </w:tcPr>
                <w:p w14:paraId="2EBA19AC">
                  <w:pPr>
                    <w:autoSpaceDE w:val="0"/>
                    <w:autoSpaceDN w:val="0"/>
                    <w:spacing w:line="240" w:lineRule="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lang w:val="en-US" w:eastAsia="zh-CN"/>
                    </w:rPr>
                    <w:t>219-225</w:t>
                  </w:r>
                </w:p>
              </w:tc>
              <w:tc>
                <w:tcPr>
                  <w:tcW w:w="860" w:type="pct"/>
                  <w:tcBorders>
                    <w:tl2br w:val="nil"/>
                    <w:tr2bl w:val="nil"/>
                  </w:tcBorders>
                  <w:noWrap w:val="0"/>
                  <w:vAlign w:val="center"/>
                </w:tcPr>
                <w:p w14:paraId="646A8248">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300</w:t>
                  </w:r>
                </w:p>
              </w:tc>
              <w:tc>
                <w:tcPr>
                  <w:tcW w:w="958" w:type="pct"/>
                  <w:tcBorders>
                    <w:tl2br w:val="nil"/>
                    <w:tr2bl w:val="nil"/>
                  </w:tcBorders>
                  <w:noWrap w:val="0"/>
                  <w:vAlign w:val="center"/>
                </w:tcPr>
                <w:p w14:paraId="02922183">
                  <w:pPr>
                    <w:autoSpaceDE w:val="0"/>
                    <w:autoSpaceDN w:val="0"/>
                    <w:snapToGrid w:val="0"/>
                    <w:spacing w:line="240" w:lineRule="auto"/>
                    <w:jc w:val="center"/>
                    <w:rPr>
                      <w:rFonts w:hint="default"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75</w:t>
                  </w:r>
                </w:p>
              </w:tc>
            </w:tr>
          </w:tbl>
          <w:p w14:paraId="1D38C2A0">
            <w:pPr>
              <w:keepNext w:val="0"/>
              <w:keepLines w:val="0"/>
              <w:pageBreakBefore w:val="0"/>
              <w:widowControl w:val="0"/>
              <w:kinsoku/>
              <w:wordWrap/>
              <w:overflowPunct/>
              <w:topLinePunct w:val="0"/>
              <w:autoSpaceDE/>
              <w:autoSpaceDN/>
              <w:bidi w:val="0"/>
              <w:spacing w:line="360" w:lineRule="auto"/>
              <w:ind w:firstLine="480" w:firstLineChars="200"/>
              <w:jc w:val="both"/>
              <w:rPr>
                <w:rFonts w:hint="eastAsia" w:ascii="Times New Roman" w:hAnsi="Times New Roman" w:eastAsia="宋体" w:cs="Times New Roman"/>
                <w:color w:val="auto"/>
                <w:kern w:val="0"/>
                <w:sz w:val="24"/>
                <w:szCs w:val="24"/>
                <w:lang w:val="en-US" w:eastAsia="zh-CN" w:bidi="ar-SA"/>
              </w:rPr>
            </w:pPr>
            <w:r>
              <w:rPr>
                <w:rFonts w:hint="eastAsia" w:ascii="Times New Roman" w:hAnsi="Times New Roman" w:eastAsia="宋体" w:cs="Times New Roman"/>
                <w:color w:val="auto"/>
                <w:kern w:val="0"/>
                <w:sz w:val="24"/>
                <w:szCs w:val="24"/>
                <w:lang w:val="en-US" w:eastAsia="zh-CN" w:bidi="ar-SA"/>
              </w:rPr>
              <w:t>由监测结果可知，项目区所在地TSP监测浓度符合《环境空气质量标准》（GB3095-2026）表2中二级标准限值。</w:t>
            </w:r>
          </w:p>
          <w:p w14:paraId="14634407">
            <w:pPr>
              <w:keepNext w:val="0"/>
              <w:keepLines w:val="0"/>
              <w:pageBreakBefore w:val="0"/>
              <w:widowControl w:val="0"/>
              <w:kinsoku/>
              <w:wordWrap/>
              <w:overflowPunct/>
              <w:topLinePunct w:val="0"/>
              <w:autoSpaceDE/>
              <w:autoSpaceDN/>
              <w:bidi w:val="0"/>
              <w:spacing w:line="360" w:lineRule="auto"/>
              <w:jc w:val="both"/>
              <w:rPr>
                <w:rFonts w:hint="default" w:ascii="Times New Roman" w:hAnsi="Times New Roman" w:cs="Times New Roman"/>
                <w:color w:val="auto"/>
                <w:kern w:val="0"/>
                <w:sz w:val="24"/>
                <w:szCs w:val="24"/>
                <w:lang w:val="en-US" w:eastAsia="zh-CN"/>
              </w:rPr>
            </w:pPr>
            <w:r>
              <w:rPr>
                <w:rFonts w:hint="eastAsia" w:ascii="Times New Roman" w:hAnsi="Times New Roman" w:cs="Times New Roman"/>
                <w:b/>
                <w:bCs/>
                <w:color w:val="auto"/>
                <w:kern w:val="0"/>
                <w:sz w:val="24"/>
                <w:szCs w:val="24"/>
                <w:lang w:val="en-US" w:eastAsia="zh-CN"/>
              </w:rPr>
              <w:t>2 地表水环境质量现状</w:t>
            </w:r>
          </w:p>
          <w:p w14:paraId="69AA9E8A">
            <w:pPr>
              <w:pStyle w:val="69"/>
              <w:keepNext w:val="0"/>
              <w:keepLines w:val="0"/>
              <w:pageBreakBefore w:val="0"/>
              <w:widowControl w:val="0"/>
              <w:kinsoku/>
              <w:wordWrap/>
              <w:overflowPunct/>
              <w:topLinePunct w:val="0"/>
              <w:autoSpaceDE/>
              <w:autoSpaceDN/>
              <w:bidi w:val="0"/>
              <w:spacing w:line="360" w:lineRule="auto"/>
              <w:ind w:firstLine="480"/>
              <w:jc w:val="both"/>
              <w:rPr>
                <w:rFonts w:hint="eastAsia" w:ascii="Times New Roman" w:hAnsi="Times New Roman" w:eastAsia="宋体" w:cs="Times New Roman"/>
                <w:color w:val="auto"/>
                <w:kern w:val="0"/>
                <w:sz w:val="24"/>
                <w:lang w:val="en-US" w:eastAsia="zh-CN"/>
              </w:rPr>
            </w:pPr>
            <w:r>
              <w:rPr>
                <w:rFonts w:hint="eastAsia" w:ascii="Times New Roman" w:hAnsi="Times New Roman" w:eastAsia="宋体" w:cs="Times New Roman"/>
                <w:color w:val="auto"/>
                <w:kern w:val="0"/>
                <w:sz w:val="24"/>
                <w:lang w:val="en-US" w:eastAsia="zh-CN"/>
              </w:rPr>
              <w:t>根据《建设项目环境影响报告表编制技术指南（污染影响类）（试行）》的要求，“地表水环境质量现状引用与建设项目距离近的有效数据，包括近3年的规划环境影响评价的监测数据，所在流域控制单元内国家、地方控制断面监测数据，生态环境主管部门发布的水环境质量数据或地表水达标情况的结论”。</w:t>
            </w:r>
          </w:p>
          <w:p w14:paraId="6BBF4EF7">
            <w:pPr>
              <w:pStyle w:val="69"/>
              <w:keepNext w:val="0"/>
              <w:keepLines w:val="0"/>
              <w:pageBreakBefore w:val="0"/>
              <w:widowControl w:val="0"/>
              <w:kinsoku/>
              <w:wordWrap/>
              <w:overflowPunct/>
              <w:topLinePunct w:val="0"/>
              <w:autoSpaceDE/>
              <w:autoSpaceDN/>
              <w:bidi w:val="0"/>
              <w:spacing w:line="360" w:lineRule="auto"/>
              <w:ind w:firstLine="480"/>
              <w:jc w:val="both"/>
              <w:rPr>
                <w:rFonts w:hint="default" w:ascii="Times New Roman" w:hAnsi="Times New Roman" w:eastAsia="宋体" w:cs="Times New Roman"/>
                <w:color w:val="auto"/>
                <w:kern w:val="0"/>
                <w:sz w:val="24"/>
                <w:lang w:val="en-US" w:eastAsia="zh-CN"/>
              </w:rPr>
            </w:pPr>
            <w:r>
              <w:rPr>
                <w:rFonts w:hint="eastAsia" w:ascii="Times New Roman" w:hAnsi="Times New Roman" w:eastAsia="宋体" w:cs="Times New Roman"/>
                <w:color w:val="auto"/>
                <w:kern w:val="0"/>
                <w:sz w:val="24"/>
                <w:lang w:val="en-US" w:eastAsia="zh-CN"/>
              </w:rPr>
              <w:t>本项目周边无地表水，根据昌吉州人民政府发布的《昌吉州地表水2024年第四季度水质状况报告》，头屯河和三屯河流域相关监测断面均达到《地表水环境质量标准》（GB3838-2002）对应标准，流域内无劣Ⅴ类水质断面，水环境质量达标率为100%，整体水环境质量稳定向好。其中头屯河八钢（硫磺沟）等区控断面水质达到Ⅰ类标准，部分断面水质较往期保持持平或稳步提升；整体水质优良。本项目无生产废水产生，生活污水排入市政排水管网</w:t>
            </w:r>
            <w:r>
              <w:rPr>
                <w:rFonts w:hint="eastAsia" w:cs="Times New Roman"/>
                <w:color w:val="auto"/>
                <w:kern w:val="0"/>
                <w:sz w:val="24"/>
                <w:lang w:val="en-US" w:eastAsia="zh-CN"/>
              </w:rPr>
              <w:t>由昌吉市城北污水厂处理</w:t>
            </w:r>
            <w:r>
              <w:rPr>
                <w:rFonts w:hint="eastAsia" w:ascii="Times New Roman" w:hAnsi="Times New Roman" w:eastAsia="宋体" w:cs="Times New Roman"/>
                <w:color w:val="auto"/>
                <w:kern w:val="0"/>
                <w:sz w:val="24"/>
                <w:lang w:val="en-US" w:eastAsia="zh-CN"/>
              </w:rPr>
              <w:t>，对周边地表水环境影响较小。</w:t>
            </w:r>
          </w:p>
          <w:p w14:paraId="597A84E5">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color w:val="auto"/>
                <w:kern w:val="0"/>
                <w:sz w:val="24"/>
                <w:szCs w:val="24"/>
                <w:lang w:val="en-US" w:eastAsia="zh-CN"/>
              </w:rPr>
            </w:pPr>
            <w:r>
              <w:rPr>
                <w:rFonts w:hint="eastAsia" w:ascii="Times New Roman" w:hAnsi="Times New Roman" w:cs="Times New Roman"/>
                <w:b/>
                <w:bCs/>
                <w:color w:val="auto"/>
                <w:kern w:val="0"/>
                <w:sz w:val="24"/>
                <w:szCs w:val="24"/>
                <w:lang w:val="en-US" w:eastAsia="zh-CN"/>
              </w:rPr>
              <w:t>3 声环境质量现状</w:t>
            </w:r>
          </w:p>
          <w:p w14:paraId="474CA92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color w:val="auto"/>
                <w:kern w:val="0"/>
                <w:sz w:val="24"/>
                <w:szCs w:val="24"/>
                <w:lang w:val="en-US" w:eastAsia="zh-CN"/>
              </w:rPr>
            </w:pPr>
            <w:r>
              <w:rPr>
                <w:rFonts w:hint="default" w:ascii="Times New Roman" w:hAnsi="Times New Roman" w:cs="Times New Roman"/>
                <w:color w:val="auto"/>
                <w:kern w:val="0"/>
                <w:sz w:val="24"/>
                <w:szCs w:val="24"/>
                <w:lang w:val="en-US" w:eastAsia="zh-CN"/>
              </w:rPr>
              <w:t>本项目厂界外50米范围内无声环境保护目标，故不对其进行现状评价。</w:t>
            </w:r>
          </w:p>
          <w:p w14:paraId="3F737E14">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color w:val="auto"/>
                <w:kern w:val="0"/>
                <w:sz w:val="24"/>
                <w:szCs w:val="24"/>
                <w:lang w:val="en-US" w:eastAsia="zh-CN"/>
              </w:rPr>
            </w:pPr>
            <w:r>
              <w:rPr>
                <w:rFonts w:hint="eastAsia" w:ascii="Times New Roman" w:hAnsi="Times New Roman" w:cs="Times New Roman"/>
                <w:b/>
                <w:bCs/>
                <w:color w:val="auto"/>
                <w:kern w:val="0"/>
                <w:sz w:val="24"/>
                <w:szCs w:val="24"/>
                <w:lang w:val="en-US" w:eastAsia="zh-CN"/>
              </w:rPr>
              <w:t>4 生态环境质量现状</w:t>
            </w:r>
          </w:p>
          <w:p w14:paraId="7DB6CF50">
            <w:pPr>
              <w:keepNext w:val="0"/>
              <w:keepLines w:val="0"/>
              <w:pageBreakBefore w:val="0"/>
              <w:widowControl w:val="0"/>
              <w:kinsoku/>
              <w:wordWrap/>
              <w:overflowPunct/>
              <w:topLinePunct w:val="0"/>
              <w:autoSpaceDE/>
              <w:autoSpaceDN/>
              <w:bidi w:val="0"/>
              <w:adjustRightInd w:val="0"/>
              <w:snapToGrid/>
              <w:spacing w:line="360" w:lineRule="auto"/>
              <w:ind w:firstLine="480" w:firstLineChars="200"/>
              <w:textAlignment w:val="auto"/>
              <w:rPr>
                <w:rFonts w:hint="eastAsia" w:ascii="Times New Roman" w:hAnsi="Times New Roman" w:cs="Times New Roman"/>
                <w:b/>
                <w:bCs/>
                <w:color w:val="auto"/>
                <w:kern w:val="0"/>
                <w:sz w:val="24"/>
                <w:szCs w:val="24"/>
                <w:lang w:val="en-US" w:eastAsia="zh-CN"/>
              </w:rPr>
            </w:pPr>
            <w:r>
              <w:rPr>
                <w:rFonts w:ascii="Times New Roman" w:hAnsi="Times New Roman" w:eastAsia="宋体" w:cs="Times New Roman"/>
                <w:color w:val="auto"/>
                <w:kern w:val="0"/>
                <w:sz w:val="24"/>
              </w:rPr>
              <w:t>依据</w:t>
            </w:r>
            <w:r>
              <w:rPr>
                <w:rFonts w:hint="default" w:ascii="Times New Roman" w:hAnsi="Times New Roman" w:eastAsia="宋体" w:cs="Times New Roman"/>
                <w:color w:val="auto"/>
                <w:sz w:val="24"/>
              </w:rPr>
              <w:t>《建设项目环境影响报告表编制技术指南（污染影响类）》（试行）</w:t>
            </w:r>
            <w:r>
              <w:rPr>
                <w:rFonts w:hint="eastAsia" w:ascii="Times New Roman" w:hAnsi="Times New Roman" w:eastAsia="宋体" w:cs="Times New Roman"/>
                <w:color w:val="auto"/>
                <w:sz w:val="24"/>
                <w:lang w:eastAsia="zh-CN"/>
              </w:rPr>
              <w:t>，产业园区外建设项目新增用地且用地范围内含有生态环境保护目标时，应进行生态现状调查。</w:t>
            </w:r>
            <w:r>
              <w:rPr>
                <w:rFonts w:hint="default" w:ascii="Times New Roman" w:hAnsi="Times New Roman" w:eastAsia="宋体" w:cs="Times New Roman"/>
                <w:color w:val="auto"/>
                <w:sz w:val="24"/>
              </w:rPr>
              <w:t>根据现场勘查，</w:t>
            </w:r>
            <w:r>
              <w:rPr>
                <w:rFonts w:hint="eastAsia" w:ascii="Times New Roman" w:hAnsi="Times New Roman" w:eastAsia="宋体" w:cs="Times New Roman"/>
                <w:color w:val="auto"/>
                <w:sz w:val="24"/>
                <w:lang w:eastAsia="zh-CN"/>
              </w:rPr>
              <w:t>本项目</w:t>
            </w:r>
            <w:r>
              <w:rPr>
                <w:rFonts w:hint="eastAsia" w:ascii="Times New Roman" w:hAnsi="Times New Roman" w:eastAsia="宋体" w:cs="Times New Roman"/>
                <w:color w:val="auto"/>
                <w:sz w:val="24"/>
                <w:lang w:val="en-US" w:eastAsia="zh-CN"/>
              </w:rPr>
              <w:t>位于产业园区外，</w:t>
            </w:r>
            <w:r>
              <w:rPr>
                <w:rFonts w:hint="eastAsia" w:ascii="Times New Roman" w:hAnsi="Times New Roman" w:eastAsia="宋体" w:cs="Times New Roman"/>
                <w:color w:val="auto"/>
                <w:sz w:val="24"/>
                <w:lang w:eastAsia="zh-CN"/>
              </w:rPr>
              <w:t>用地范围内无生态环境保护目标，</w:t>
            </w:r>
            <w:r>
              <w:rPr>
                <w:rFonts w:hint="eastAsia" w:ascii="Times New Roman" w:hAnsi="Times New Roman" w:eastAsia="宋体" w:cs="Times New Roman"/>
                <w:color w:val="auto"/>
                <w:kern w:val="0"/>
                <w:sz w:val="24"/>
                <w:lang w:eastAsia="zh-CN"/>
              </w:rPr>
              <w:t>因此本项目</w:t>
            </w:r>
            <w:r>
              <w:rPr>
                <w:rFonts w:hint="eastAsia" w:ascii="Times New Roman" w:hAnsi="Times New Roman" w:eastAsia="宋体" w:cs="Times New Roman"/>
                <w:color w:val="auto"/>
                <w:sz w:val="24"/>
                <w:lang w:eastAsia="zh-CN"/>
              </w:rPr>
              <w:t>可</w:t>
            </w:r>
            <w:r>
              <w:rPr>
                <w:rFonts w:ascii="Times New Roman" w:hAnsi="Times New Roman" w:eastAsia="宋体" w:cs="Times New Roman"/>
                <w:color w:val="auto"/>
                <w:sz w:val="24"/>
              </w:rPr>
              <w:t>不</w:t>
            </w:r>
            <w:r>
              <w:rPr>
                <w:rFonts w:hint="eastAsia" w:ascii="Times New Roman" w:hAnsi="Times New Roman" w:eastAsia="宋体" w:cs="Times New Roman"/>
                <w:color w:val="auto"/>
                <w:sz w:val="24"/>
                <w:lang w:eastAsia="zh-CN"/>
              </w:rPr>
              <w:t>开展生态环境</w:t>
            </w:r>
            <w:r>
              <w:rPr>
                <w:rFonts w:hint="default" w:ascii="Times New Roman" w:hAnsi="Times New Roman" w:eastAsia="宋体" w:cs="Times New Roman"/>
                <w:color w:val="auto"/>
                <w:sz w:val="24"/>
              </w:rPr>
              <w:t>现状调查</w:t>
            </w:r>
            <w:r>
              <w:rPr>
                <w:rFonts w:hint="eastAsia" w:ascii="Times New Roman" w:hAnsi="Times New Roman" w:eastAsia="宋体" w:cs="Times New Roman"/>
                <w:color w:val="auto"/>
                <w:sz w:val="24"/>
                <w:lang w:val="en-US" w:eastAsia="zh-CN"/>
              </w:rPr>
              <w:t>与评价</w:t>
            </w:r>
            <w:r>
              <w:rPr>
                <w:rFonts w:hint="default" w:ascii="Times New Roman" w:hAnsi="Times New Roman" w:eastAsia="宋体" w:cs="Times New Roman"/>
                <w:color w:val="auto"/>
                <w:sz w:val="24"/>
              </w:rPr>
              <w:t>。</w:t>
            </w:r>
          </w:p>
          <w:p w14:paraId="39C921DF">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color w:val="auto"/>
                <w:kern w:val="0"/>
                <w:sz w:val="24"/>
                <w:szCs w:val="24"/>
                <w:lang w:val="en-US" w:eastAsia="zh-CN"/>
              </w:rPr>
            </w:pPr>
            <w:r>
              <w:rPr>
                <w:rFonts w:hint="eastAsia" w:ascii="Times New Roman" w:hAnsi="Times New Roman" w:cs="Times New Roman"/>
                <w:b/>
                <w:bCs/>
                <w:color w:val="auto"/>
                <w:kern w:val="0"/>
                <w:sz w:val="24"/>
                <w:szCs w:val="24"/>
                <w:lang w:val="en-US" w:eastAsia="zh-CN"/>
              </w:rPr>
              <w:t>5 地下水、土壤环境质量现状</w:t>
            </w:r>
          </w:p>
          <w:p w14:paraId="0FB21985">
            <w:pPr>
              <w:keepNext w:val="0"/>
              <w:keepLines w:val="0"/>
              <w:pageBreakBefore w:val="0"/>
              <w:widowControl w:val="0"/>
              <w:numPr>
                <w:ilvl w:val="0"/>
                <w:numId w:val="0"/>
              </w:numPr>
              <w:kinsoku/>
              <w:wordWrap/>
              <w:overflowPunct/>
              <w:topLinePunct w:val="0"/>
              <w:autoSpaceDE/>
              <w:autoSpaceDN/>
              <w:bidi w:val="0"/>
              <w:adjustRightInd w:val="0"/>
              <w:snapToGrid/>
              <w:spacing w:line="360" w:lineRule="auto"/>
              <w:ind w:left="0" w:leftChars="0" w:firstLine="480" w:firstLineChars="200"/>
              <w:textAlignment w:val="auto"/>
              <w:rPr>
                <w:rFonts w:ascii="Times New Roman" w:hAnsi="Times New Roman" w:eastAsia="宋体" w:cs="Times New Roman"/>
                <w:color w:val="auto"/>
              </w:rPr>
            </w:pPr>
            <w:r>
              <w:rPr>
                <w:rFonts w:hint="default" w:ascii="Times New Roman" w:hAnsi="Times New Roman" w:eastAsia="宋体" w:cs="Times New Roman"/>
                <w:color w:val="auto"/>
                <w:sz w:val="24"/>
              </w:rPr>
              <w:t>根据《建设项目环境影响评价报告表编制技术指南》（污染影响类）（试行）地下水、土壤环境原则上不开展环境质量现状调查。建设项目存在土壤、地下水环境污染途径的，应结合污染源、保护目标分布情况开展现状调查以留作背景值。</w:t>
            </w:r>
          </w:p>
          <w:p w14:paraId="598D35E4">
            <w:pPr>
              <w:keepNext w:val="0"/>
              <w:keepLines w:val="0"/>
              <w:pageBreakBefore w:val="0"/>
              <w:widowControl/>
              <w:kinsoku/>
              <w:wordWrap/>
              <w:overflowPunct/>
              <w:topLinePunct w:val="0"/>
              <w:autoSpaceDE/>
              <w:autoSpaceDN/>
              <w:bidi w:val="0"/>
              <w:adjustRightInd w:val="0"/>
              <w:snapToGrid w:val="0"/>
              <w:spacing w:line="360" w:lineRule="auto"/>
              <w:ind w:firstLine="480" w:firstLineChars="200"/>
              <w:jc w:val="left"/>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sz w:val="24"/>
                <w:highlight w:val="none"/>
                <w:lang w:eastAsia="zh-CN"/>
              </w:rPr>
              <w:t>本项目对</w:t>
            </w:r>
            <w:r>
              <w:rPr>
                <w:rFonts w:hint="eastAsia" w:ascii="Times New Roman" w:hAnsi="Times New Roman" w:eastAsia="宋体" w:cs="Times New Roman"/>
                <w:color w:val="auto"/>
                <w:sz w:val="24"/>
                <w:highlight w:val="none"/>
                <w:lang w:val="en-US" w:eastAsia="zh-CN"/>
              </w:rPr>
              <w:t>沉淀池</w:t>
            </w:r>
            <w:r>
              <w:rPr>
                <w:rFonts w:hint="default" w:ascii="Times New Roman" w:hAnsi="Times New Roman" w:eastAsia="宋体" w:cs="Times New Roman"/>
                <w:color w:val="auto"/>
                <w:sz w:val="24"/>
                <w:highlight w:val="none"/>
                <w:lang w:eastAsia="zh-CN"/>
              </w:rPr>
              <w:t>等区域采取防腐防渗措施，可以有效防止土壤、地下水环境受到污染，</w:t>
            </w:r>
            <w:r>
              <w:rPr>
                <w:rFonts w:hint="eastAsia" w:ascii="Times New Roman" w:hAnsi="Times New Roman" w:eastAsia="宋体" w:cs="Times New Roman"/>
                <w:color w:val="auto"/>
                <w:sz w:val="24"/>
                <w:lang w:eastAsia="zh-CN"/>
              </w:rPr>
              <w:t>基本不存在土壤、地下水环境污染途径，</w:t>
            </w:r>
            <w:r>
              <w:rPr>
                <w:rFonts w:hint="default" w:ascii="Times New Roman" w:hAnsi="Times New Roman" w:eastAsia="宋体" w:cs="Times New Roman"/>
                <w:color w:val="auto"/>
                <w:sz w:val="24"/>
                <w:highlight w:val="none"/>
                <w:lang w:eastAsia="zh-CN"/>
              </w:rPr>
              <w:t>因此不对地下水、土壤环境质量开展现状调查。</w:t>
            </w:r>
          </w:p>
        </w:tc>
      </w:tr>
      <w:tr w14:paraId="6AED40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6" w:hRule="atLeast"/>
          <w:jc w:val="center"/>
        </w:trPr>
        <w:tc>
          <w:tcPr>
            <w:tcW w:w="861" w:type="dxa"/>
            <w:noWrap w:val="0"/>
            <w:vAlign w:val="center"/>
          </w:tcPr>
          <w:p w14:paraId="4B932F51">
            <w:pPr>
              <w:adjustRightInd w:val="0"/>
              <w:snapToGrid w:val="0"/>
              <w:jc w:val="center"/>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环境</w:t>
            </w:r>
          </w:p>
          <w:p w14:paraId="7F48BDDC">
            <w:pPr>
              <w:adjustRightInd w:val="0"/>
              <w:snapToGrid w:val="0"/>
              <w:jc w:val="center"/>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保护</w:t>
            </w:r>
          </w:p>
          <w:p w14:paraId="72FF2A65">
            <w:pPr>
              <w:adjustRightInd w:val="0"/>
              <w:snapToGrid w:val="0"/>
              <w:jc w:val="center"/>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目标</w:t>
            </w:r>
          </w:p>
        </w:tc>
        <w:tc>
          <w:tcPr>
            <w:tcW w:w="8183" w:type="dxa"/>
            <w:noWrap w:val="0"/>
            <w:vAlign w:val="top"/>
          </w:tcPr>
          <w:p w14:paraId="1B885F3E">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eastAsia" w:ascii="宋体" w:hAnsi="宋体" w:cs="宋体"/>
                <w:b/>
                <w:bCs/>
                <w:color w:val="auto"/>
                <w:kern w:val="0"/>
                <w:sz w:val="24"/>
                <w:szCs w:val="24"/>
                <w:lang w:val="en-US" w:eastAsia="zh-CN"/>
              </w:rPr>
            </w:pPr>
            <w:r>
              <w:rPr>
                <w:rFonts w:hint="default" w:ascii="Times New Roman" w:hAnsi="Times New Roman" w:eastAsia="宋体" w:cs="Times New Roman"/>
                <w:b/>
                <w:bCs/>
                <w:color w:val="auto"/>
                <w:kern w:val="0"/>
                <w:sz w:val="24"/>
                <w:szCs w:val="24"/>
                <w:lang w:val="en-US" w:eastAsia="zh-CN"/>
              </w:rPr>
              <w:t>1</w:t>
            </w:r>
            <w:r>
              <w:rPr>
                <w:rFonts w:hint="eastAsia" w:ascii="宋体" w:hAnsi="宋体" w:cs="宋体"/>
                <w:b/>
                <w:bCs/>
                <w:color w:val="auto"/>
                <w:kern w:val="0"/>
                <w:sz w:val="24"/>
                <w:szCs w:val="24"/>
                <w:lang w:val="en-US" w:eastAsia="zh-CN"/>
              </w:rPr>
              <w:t xml:space="preserve"> 大气环境</w:t>
            </w:r>
          </w:p>
          <w:p w14:paraId="740587B9">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 w:val="0"/>
                <w:bCs w:val="0"/>
                <w:color w:val="auto"/>
                <w:kern w:val="0"/>
                <w:sz w:val="24"/>
                <w:szCs w:val="24"/>
                <w:lang w:val="en-US" w:eastAsia="zh-CN"/>
              </w:rPr>
            </w:pPr>
            <w:r>
              <w:rPr>
                <w:rFonts w:hint="eastAsia" w:ascii="宋体" w:hAnsi="宋体" w:cs="宋体"/>
                <w:color w:val="auto"/>
                <w:sz w:val="24"/>
                <w:szCs w:val="24"/>
                <w:highlight w:val="none"/>
              </w:rPr>
              <w:t>本项目厂界外</w:t>
            </w:r>
            <w:r>
              <w:rPr>
                <w:rFonts w:hint="default" w:ascii="Times New Roman" w:hAnsi="Times New Roman" w:cs="Times New Roman"/>
                <w:color w:val="auto"/>
                <w:sz w:val="24"/>
                <w:szCs w:val="24"/>
                <w:highlight w:val="none"/>
              </w:rPr>
              <w:t>500</w:t>
            </w:r>
            <w:r>
              <w:rPr>
                <w:rFonts w:hint="eastAsia" w:ascii="宋体" w:hAnsi="宋体" w:cs="宋体"/>
                <w:color w:val="auto"/>
                <w:sz w:val="24"/>
                <w:szCs w:val="24"/>
                <w:highlight w:val="none"/>
              </w:rPr>
              <w:t>米范围内无自然保护区、风景名胜区、居住区、文化区和农村地区中人群较集中的区域等保护目标。</w:t>
            </w:r>
          </w:p>
          <w:p w14:paraId="75F9792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default" w:ascii="宋体" w:hAnsi="宋体" w:eastAsia="宋体" w:cs="宋体"/>
                <w:b/>
                <w:bCs/>
                <w:color w:val="auto"/>
                <w:kern w:val="0"/>
                <w:sz w:val="24"/>
                <w:szCs w:val="24"/>
                <w:lang w:val="en-US" w:eastAsia="zh-CN"/>
              </w:rPr>
            </w:pPr>
            <w:r>
              <w:rPr>
                <w:rFonts w:hint="default" w:ascii="Times New Roman" w:hAnsi="Times New Roman" w:cs="Times New Roman"/>
                <w:b/>
                <w:bCs/>
                <w:color w:val="auto"/>
                <w:kern w:val="0"/>
                <w:sz w:val="24"/>
                <w:szCs w:val="24"/>
                <w:lang w:val="en-US" w:eastAsia="zh-CN"/>
              </w:rPr>
              <w:t>2</w:t>
            </w:r>
            <w:r>
              <w:rPr>
                <w:rFonts w:hint="eastAsia" w:ascii="宋体" w:hAnsi="宋体" w:cs="宋体"/>
                <w:b/>
                <w:bCs/>
                <w:color w:val="auto"/>
                <w:kern w:val="0"/>
                <w:sz w:val="24"/>
                <w:szCs w:val="24"/>
                <w:lang w:val="en-US" w:eastAsia="zh-CN"/>
              </w:rPr>
              <w:t xml:space="preserve"> 声环境</w:t>
            </w:r>
          </w:p>
          <w:p w14:paraId="6B1DF67A">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default" w:ascii="宋体" w:hAnsi="宋体" w:eastAsia="宋体" w:cs="宋体"/>
                <w:color w:val="auto"/>
                <w:kern w:val="0"/>
                <w:sz w:val="24"/>
                <w:szCs w:val="24"/>
                <w:lang w:val="en-US" w:eastAsia="zh-CN"/>
              </w:rPr>
            </w:pPr>
            <w:r>
              <w:rPr>
                <w:rFonts w:hint="eastAsia"/>
                <w:color w:val="auto"/>
                <w:sz w:val="24"/>
                <w:szCs w:val="24"/>
                <w:highlight w:val="none"/>
              </w:rPr>
              <w:t>本项目厂界外50米范围内无声环境保护目标。</w:t>
            </w:r>
          </w:p>
          <w:p w14:paraId="57A341B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default" w:ascii="宋体" w:hAnsi="宋体" w:eastAsia="宋体" w:cs="宋体"/>
                <w:b/>
                <w:bCs/>
                <w:color w:val="auto"/>
                <w:kern w:val="0"/>
                <w:sz w:val="24"/>
                <w:szCs w:val="24"/>
                <w:lang w:val="en-US" w:eastAsia="zh-CN"/>
              </w:rPr>
            </w:pPr>
            <w:r>
              <w:rPr>
                <w:rFonts w:hint="default" w:ascii="Times New Roman" w:hAnsi="Times New Roman" w:cs="Times New Roman"/>
                <w:b/>
                <w:bCs/>
                <w:color w:val="auto"/>
                <w:kern w:val="0"/>
                <w:sz w:val="24"/>
                <w:szCs w:val="24"/>
                <w:lang w:val="en-US" w:eastAsia="zh-CN"/>
              </w:rPr>
              <w:t>3</w:t>
            </w:r>
            <w:r>
              <w:rPr>
                <w:rFonts w:hint="eastAsia" w:ascii="宋体" w:hAnsi="宋体" w:cs="宋体"/>
                <w:b/>
                <w:bCs/>
                <w:color w:val="auto"/>
                <w:kern w:val="0"/>
                <w:sz w:val="24"/>
                <w:szCs w:val="24"/>
                <w:lang w:val="en-US" w:eastAsia="zh-CN"/>
              </w:rPr>
              <w:t xml:space="preserve"> 地下水环境</w:t>
            </w:r>
          </w:p>
          <w:p w14:paraId="38595F0B">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default" w:ascii="宋体" w:hAnsi="宋体" w:eastAsia="宋体" w:cs="宋体"/>
                <w:color w:val="auto"/>
                <w:kern w:val="0"/>
                <w:sz w:val="24"/>
                <w:szCs w:val="24"/>
                <w:lang w:val="en-US" w:eastAsia="zh-CN"/>
              </w:rPr>
            </w:pPr>
            <w:r>
              <w:rPr>
                <w:rFonts w:hint="eastAsia" w:ascii="宋体" w:hAnsi="宋体" w:cs="宋体"/>
                <w:color w:val="auto"/>
                <w:sz w:val="24"/>
                <w:szCs w:val="24"/>
                <w:highlight w:val="none"/>
              </w:rPr>
              <w:t>本项目厂界外</w:t>
            </w:r>
            <w:r>
              <w:rPr>
                <w:color w:val="auto"/>
                <w:sz w:val="24"/>
                <w:szCs w:val="24"/>
                <w:highlight w:val="none"/>
              </w:rPr>
              <w:t>500</w:t>
            </w:r>
            <w:r>
              <w:rPr>
                <w:rFonts w:hint="eastAsia" w:ascii="宋体" w:hAnsi="宋体" w:cs="宋体"/>
                <w:color w:val="auto"/>
                <w:sz w:val="24"/>
                <w:szCs w:val="24"/>
                <w:highlight w:val="none"/>
              </w:rPr>
              <w:t>米范围内无地下水集中式饮用水水源地和热水、矿泉水、温泉等特殊地下水资源。</w:t>
            </w:r>
          </w:p>
          <w:p w14:paraId="039CA1ED">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default" w:ascii="宋体" w:hAnsi="宋体" w:eastAsia="宋体" w:cs="宋体"/>
                <w:b/>
                <w:bCs/>
                <w:color w:val="auto"/>
                <w:kern w:val="0"/>
                <w:sz w:val="24"/>
                <w:szCs w:val="24"/>
                <w:lang w:val="en-US" w:eastAsia="zh-CN"/>
              </w:rPr>
            </w:pPr>
            <w:r>
              <w:rPr>
                <w:rFonts w:hint="default" w:ascii="Times New Roman" w:hAnsi="Times New Roman" w:cs="Times New Roman"/>
                <w:b/>
                <w:bCs/>
                <w:color w:val="auto"/>
                <w:kern w:val="0"/>
                <w:sz w:val="24"/>
                <w:szCs w:val="24"/>
                <w:lang w:val="en-US" w:eastAsia="zh-CN"/>
              </w:rPr>
              <w:t>4</w:t>
            </w:r>
            <w:r>
              <w:rPr>
                <w:rFonts w:hint="eastAsia" w:ascii="宋体" w:hAnsi="宋体" w:cs="宋体"/>
                <w:b/>
                <w:bCs/>
                <w:color w:val="auto"/>
                <w:kern w:val="0"/>
                <w:sz w:val="24"/>
                <w:szCs w:val="24"/>
                <w:lang w:val="en-US" w:eastAsia="zh-CN"/>
              </w:rPr>
              <w:t xml:space="preserve"> 生态环境</w:t>
            </w:r>
          </w:p>
          <w:p w14:paraId="2B6F25E7">
            <w:pPr>
              <w:keepNext w:val="0"/>
              <w:keepLines w:val="0"/>
              <w:pageBreakBefore w:val="0"/>
              <w:widowControl w:val="0"/>
              <w:suppressLineNumbers w:val="0"/>
              <w:tabs>
                <w:tab w:val="left" w:pos="5252"/>
              </w:tabs>
              <w:kinsoku/>
              <w:wordWrap/>
              <w:overflowPunct/>
              <w:topLinePunct w:val="0"/>
              <w:autoSpaceDE/>
              <w:autoSpaceDN/>
              <w:bidi w:val="0"/>
              <w:adjustRightInd/>
              <w:snapToGrid/>
              <w:spacing w:before="0" w:beforeAutospacing="0" w:after="0" w:afterAutospacing="0" w:line="360" w:lineRule="auto"/>
              <w:ind w:left="0" w:leftChars="0" w:right="0" w:rightChars="0" w:firstLine="480" w:firstLineChars="200"/>
              <w:jc w:val="both"/>
              <w:textAlignment w:val="auto"/>
              <w:outlineLvl w:val="9"/>
              <w:rPr>
                <w:rFonts w:hint="eastAsia"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sz w:val="24"/>
                <w:szCs w:val="24"/>
                <w:highlight w:val="none"/>
                <w:lang w:val="en-US" w:eastAsia="zh-CN"/>
              </w:rPr>
              <w:t>本项目所在地为昌吉市大西渠镇新戽村</w:t>
            </w:r>
            <w:r>
              <w:rPr>
                <w:rFonts w:hint="eastAsia" w:ascii="Times New Roman" w:hAnsi="Times New Roman" w:eastAsia="宋体" w:cs="Times New Roman"/>
                <w:color w:val="auto"/>
                <w:sz w:val="24"/>
                <w:szCs w:val="24"/>
                <w:highlight w:val="none"/>
                <w:lang w:val="en-US" w:eastAsia="zh-CN"/>
              </w:rPr>
              <w:t>昌吉市再生资源回收利用产业园内</w:t>
            </w:r>
            <w:r>
              <w:rPr>
                <w:rFonts w:hint="default" w:ascii="Times New Roman" w:hAnsi="Times New Roman" w:eastAsia="宋体" w:cs="Times New Roman"/>
                <w:color w:val="auto"/>
                <w:sz w:val="24"/>
                <w:szCs w:val="24"/>
                <w:highlight w:val="none"/>
                <w:lang w:val="en-US" w:eastAsia="zh-CN"/>
              </w:rPr>
              <w:t>，区域内</w:t>
            </w:r>
            <w:r>
              <w:rPr>
                <w:rFonts w:hint="eastAsia" w:ascii="Times New Roman" w:hAnsi="Times New Roman" w:eastAsia="宋体" w:cs="Times New Roman"/>
                <w:color w:val="auto"/>
                <w:sz w:val="24"/>
                <w:szCs w:val="24"/>
                <w:highlight w:val="none"/>
                <w:lang w:val="en-US" w:eastAsia="zh-CN"/>
              </w:rPr>
              <w:t>无生态保护目标</w:t>
            </w:r>
            <w:r>
              <w:rPr>
                <w:rFonts w:hint="default" w:ascii="Times New Roman" w:hAnsi="Times New Roman" w:eastAsia="宋体" w:cs="Times New Roman"/>
                <w:color w:val="auto"/>
                <w:sz w:val="24"/>
                <w:szCs w:val="24"/>
                <w:highlight w:val="none"/>
                <w:lang w:val="en-US" w:eastAsia="zh-CN"/>
              </w:rPr>
              <w:t>分布。</w:t>
            </w:r>
          </w:p>
        </w:tc>
      </w:tr>
      <w:tr w14:paraId="0CDA6E4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4" w:hRule="atLeast"/>
          <w:jc w:val="center"/>
        </w:trPr>
        <w:tc>
          <w:tcPr>
            <w:tcW w:w="861" w:type="dxa"/>
            <w:noWrap w:val="0"/>
            <w:tcMar>
              <w:left w:w="28" w:type="dxa"/>
              <w:right w:w="28" w:type="dxa"/>
            </w:tcMar>
            <w:vAlign w:val="center"/>
          </w:tcPr>
          <w:p w14:paraId="5F545476">
            <w:pPr>
              <w:adjustRightInd w:val="0"/>
              <w:snapToGrid w:val="0"/>
              <w:jc w:val="center"/>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污染</w:t>
            </w:r>
          </w:p>
          <w:p w14:paraId="0F0E259F">
            <w:pPr>
              <w:adjustRightInd w:val="0"/>
              <w:snapToGrid w:val="0"/>
              <w:jc w:val="center"/>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物排</w:t>
            </w:r>
          </w:p>
          <w:p w14:paraId="31EE078A">
            <w:pPr>
              <w:adjustRightInd w:val="0"/>
              <w:snapToGrid w:val="0"/>
              <w:jc w:val="center"/>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放控</w:t>
            </w:r>
          </w:p>
          <w:p w14:paraId="03BA5C01">
            <w:pPr>
              <w:adjustRightInd w:val="0"/>
              <w:snapToGrid w:val="0"/>
              <w:jc w:val="center"/>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制标</w:t>
            </w:r>
          </w:p>
          <w:p w14:paraId="1F85D3D1">
            <w:pPr>
              <w:adjustRightInd w:val="0"/>
              <w:snapToGrid w:val="0"/>
              <w:jc w:val="center"/>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准</w:t>
            </w:r>
          </w:p>
        </w:tc>
        <w:tc>
          <w:tcPr>
            <w:tcW w:w="8183" w:type="dxa"/>
            <w:noWrap w:val="0"/>
            <w:vAlign w:val="top"/>
          </w:tcPr>
          <w:p w14:paraId="702A7526">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ascii="Times New Roman" w:hAnsi="Times New Roman" w:cs="Times New Roman"/>
                <w:b/>
                <w:bCs/>
                <w:color w:val="auto"/>
                <w:kern w:val="0"/>
                <w:sz w:val="24"/>
                <w:szCs w:val="24"/>
                <w:lang w:val="en-US" w:eastAsia="zh-CN"/>
              </w:rPr>
            </w:pPr>
            <w:r>
              <w:rPr>
                <w:rFonts w:hint="eastAsia" w:ascii="Times New Roman" w:hAnsi="Times New Roman" w:cs="Times New Roman"/>
                <w:b/>
                <w:bCs/>
                <w:color w:val="auto"/>
                <w:kern w:val="0"/>
                <w:sz w:val="24"/>
                <w:szCs w:val="24"/>
                <w:lang w:val="en-US" w:eastAsia="zh-CN"/>
              </w:rPr>
              <w:t>1 大气污染物排放标准</w:t>
            </w:r>
          </w:p>
          <w:p w14:paraId="1684DF4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 w:val="0"/>
                <w:bCs w:val="0"/>
                <w:color w:val="auto"/>
                <w:kern w:val="0"/>
                <w:sz w:val="24"/>
                <w:szCs w:val="24"/>
                <w:lang w:val="en-US" w:eastAsia="zh-CN"/>
              </w:rPr>
            </w:pPr>
            <w:r>
              <w:rPr>
                <w:rFonts w:hint="eastAsia" w:ascii="Times New Roman" w:hAnsi="Times New Roman" w:cs="Times New Roman"/>
                <w:b w:val="0"/>
                <w:bCs w:val="0"/>
                <w:color w:val="auto"/>
                <w:kern w:val="0"/>
                <w:sz w:val="24"/>
                <w:szCs w:val="24"/>
                <w:lang w:val="en-US" w:eastAsia="zh-CN"/>
              </w:rPr>
              <w:t>本项目大气污染物排放标准见下表。</w:t>
            </w:r>
          </w:p>
          <w:p w14:paraId="2F7F4F4B">
            <w:pPr>
              <w:pStyle w:val="46"/>
              <w:jc w:val="center"/>
              <w:rPr>
                <w:rFonts w:hint="default"/>
                <w:color w:val="auto"/>
                <w:lang w:val="en-US" w:eastAsia="zh-CN"/>
              </w:rPr>
            </w:pPr>
            <w:r>
              <w:rPr>
                <w:rFonts w:hint="eastAsia"/>
                <w:b/>
                <w:bCs/>
                <w:color w:val="auto"/>
                <w:sz w:val="21"/>
                <w:szCs w:val="21"/>
                <w:lang w:val="en-US" w:eastAsia="zh-CN"/>
              </w:rPr>
              <w:t>表</w:t>
            </w:r>
            <w:r>
              <w:rPr>
                <w:rFonts w:hint="default" w:ascii="Times New Roman" w:hAnsi="Times New Roman" w:cs="Times New Roman"/>
                <w:b/>
                <w:bCs/>
                <w:color w:val="auto"/>
                <w:sz w:val="21"/>
                <w:szCs w:val="21"/>
                <w:lang w:val="en-US" w:eastAsia="zh-CN"/>
              </w:rPr>
              <w:t>3-</w:t>
            </w:r>
            <w:r>
              <w:rPr>
                <w:rFonts w:hint="eastAsia" w:ascii="Times New Roman" w:cs="Times New Roman"/>
                <w:b/>
                <w:bCs/>
                <w:color w:val="auto"/>
                <w:sz w:val="21"/>
                <w:szCs w:val="21"/>
                <w:lang w:val="en-US" w:eastAsia="zh-CN"/>
              </w:rPr>
              <w:t>4</w:t>
            </w:r>
            <w:r>
              <w:rPr>
                <w:rFonts w:hint="eastAsia"/>
                <w:b/>
                <w:bCs/>
                <w:color w:val="auto"/>
                <w:sz w:val="21"/>
                <w:szCs w:val="21"/>
                <w:lang w:val="en-US" w:eastAsia="zh-CN"/>
              </w:rPr>
              <w:t xml:space="preserve">   大气污染物排放限值标准</w:t>
            </w:r>
          </w:p>
          <w:tbl>
            <w:tblPr>
              <w:tblStyle w:val="28"/>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342"/>
              <w:gridCol w:w="1214"/>
              <w:gridCol w:w="4172"/>
              <w:gridCol w:w="1236"/>
            </w:tblGrid>
            <w:tr w14:paraId="5130A7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42" w:type="pct"/>
                  <w:tcBorders>
                    <w:top w:val="single" w:color="auto" w:sz="12" w:space="0"/>
                    <w:bottom w:val="single" w:color="auto" w:sz="12" w:space="0"/>
                    <w:right w:val="single" w:color="auto" w:sz="4" w:space="0"/>
                  </w:tcBorders>
                  <w:noWrap w:val="0"/>
                  <w:vAlign w:val="center"/>
                </w:tcPr>
                <w:p w14:paraId="00D981D2">
                  <w:pPr>
                    <w:pStyle w:val="46"/>
                    <w:jc w:val="center"/>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污染物</w:t>
                  </w:r>
                </w:p>
              </w:tc>
              <w:tc>
                <w:tcPr>
                  <w:tcW w:w="762" w:type="pct"/>
                  <w:tcBorders>
                    <w:top w:val="single" w:color="auto" w:sz="12" w:space="0"/>
                    <w:left w:val="single" w:color="auto" w:sz="4" w:space="0"/>
                    <w:bottom w:val="single" w:color="auto" w:sz="12" w:space="0"/>
                    <w:right w:val="single" w:color="auto" w:sz="4" w:space="0"/>
                  </w:tcBorders>
                  <w:noWrap w:val="0"/>
                  <w:vAlign w:val="center"/>
                </w:tcPr>
                <w:p w14:paraId="31BB92D8">
                  <w:pPr>
                    <w:pStyle w:val="46"/>
                    <w:jc w:val="center"/>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排放形式</w:t>
                  </w:r>
                </w:p>
              </w:tc>
              <w:tc>
                <w:tcPr>
                  <w:tcW w:w="2618" w:type="pct"/>
                  <w:tcBorders>
                    <w:top w:val="single" w:color="auto" w:sz="12" w:space="0"/>
                    <w:left w:val="single" w:color="auto" w:sz="4" w:space="0"/>
                    <w:bottom w:val="single" w:color="auto" w:sz="12" w:space="0"/>
                    <w:right w:val="single" w:color="auto" w:sz="4" w:space="0"/>
                  </w:tcBorders>
                  <w:noWrap w:val="0"/>
                  <w:vAlign w:val="center"/>
                </w:tcPr>
                <w:p w14:paraId="7016DA36">
                  <w:pPr>
                    <w:pStyle w:val="46"/>
                    <w:jc w:val="center"/>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标准</w:t>
                  </w:r>
                </w:p>
              </w:tc>
              <w:tc>
                <w:tcPr>
                  <w:tcW w:w="776" w:type="pct"/>
                  <w:tcBorders>
                    <w:top w:val="single" w:color="auto" w:sz="12" w:space="0"/>
                    <w:left w:val="single" w:color="auto" w:sz="4" w:space="0"/>
                    <w:bottom w:val="single" w:color="auto" w:sz="12" w:space="0"/>
                  </w:tcBorders>
                  <w:noWrap w:val="0"/>
                  <w:vAlign w:val="center"/>
                </w:tcPr>
                <w:p w14:paraId="15E611AD">
                  <w:pPr>
                    <w:pStyle w:val="46"/>
                    <w:jc w:val="center"/>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限值</w:t>
                  </w:r>
                </w:p>
              </w:tc>
            </w:tr>
            <w:tr w14:paraId="3F50EE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2" w:hRule="atLeast"/>
              </w:trPr>
              <w:tc>
                <w:tcPr>
                  <w:tcW w:w="842" w:type="pct"/>
                  <w:tcBorders>
                    <w:top w:val="single" w:color="auto" w:sz="12" w:space="0"/>
                    <w:bottom w:val="single" w:color="auto" w:sz="12" w:space="0"/>
                    <w:right w:val="single" w:color="auto" w:sz="4" w:space="0"/>
                  </w:tcBorders>
                  <w:noWrap w:val="0"/>
                  <w:vAlign w:val="center"/>
                </w:tcPr>
                <w:p w14:paraId="6164A8F7">
                  <w:pPr>
                    <w:pStyle w:val="46"/>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颗粒物</w:t>
                  </w:r>
                </w:p>
              </w:tc>
              <w:tc>
                <w:tcPr>
                  <w:tcW w:w="762" w:type="pct"/>
                  <w:tcBorders>
                    <w:top w:val="single" w:color="auto" w:sz="12" w:space="0"/>
                    <w:left w:val="single" w:color="auto" w:sz="4" w:space="0"/>
                    <w:bottom w:val="single" w:color="auto" w:sz="12" w:space="0"/>
                    <w:right w:val="single" w:color="auto" w:sz="4" w:space="0"/>
                  </w:tcBorders>
                  <w:noWrap w:val="0"/>
                  <w:vAlign w:val="center"/>
                </w:tcPr>
                <w:p w14:paraId="58BE0AF9">
                  <w:pPr>
                    <w:pStyle w:val="46"/>
                    <w:jc w:val="center"/>
                    <w:rPr>
                      <w:rFonts w:hint="default" w:ascii="Times New Roman" w:hAnsi="Times New Roman" w:eastAsia="宋体" w:cs="Times New Roman"/>
                      <w:color w:val="auto"/>
                      <w:sz w:val="21"/>
                      <w:szCs w:val="21"/>
                      <w:vertAlign w:val="baseline"/>
                      <w:lang w:val="en-US" w:eastAsia="zh-CN"/>
                    </w:rPr>
                  </w:pPr>
                  <w:r>
                    <w:rPr>
                      <w:rFonts w:hint="eastAsia" w:ascii="Times New Roman" w:cs="Times New Roman"/>
                      <w:color w:val="auto"/>
                      <w:sz w:val="21"/>
                      <w:szCs w:val="21"/>
                      <w:vertAlign w:val="baseline"/>
                      <w:lang w:val="en-US" w:eastAsia="zh-CN"/>
                    </w:rPr>
                    <w:t>无</w:t>
                  </w:r>
                  <w:r>
                    <w:rPr>
                      <w:rFonts w:hint="default" w:ascii="Times New Roman" w:hAnsi="Times New Roman" w:eastAsia="宋体" w:cs="Times New Roman"/>
                      <w:color w:val="auto"/>
                      <w:sz w:val="21"/>
                      <w:szCs w:val="21"/>
                      <w:vertAlign w:val="baseline"/>
                      <w:lang w:val="en-US" w:eastAsia="zh-CN"/>
                    </w:rPr>
                    <w:t>组织</w:t>
                  </w:r>
                </w:p>
              </w:tc>
              <w:tc>
                <w:tcPr>
                  <w:tcW w:w="2618" w:type="pct"/>
                  <w:tcBorders>
                    <w:top w:val="single" w:color="auto" w:sz="12" w:space="0"/>
                    <w:left w:val="single" w:color="auto" w:sz="4" w:space="0"/>
                    <w:bottom w:val="single" w:color="auto" w:sz="12" w:space="0"/>
                    <w:right w:val="single" w:color="auto" w:sz="4" w:space="0"/>
                  </w:tcBorders>
                  <w:noWrap w:val="0"/>
                  <w:vAlign w:val="center"/>
                </w:tcPr>
                <w:p w14:paraId="0C7CFA59">
                  <w:pPr>
                    <w:pStyle w:val="46"/>
                    <w:jc w:val="center"/>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《大气污染物综合排放标准》（GB16297-1996）表2无组织排放限值</w:t>
                  </w:r>
                </w:p>
              </w:tc>
              <w:tc>
                <w:tcPr>
                  <w:tcW w:w="776" w:type="pct"/>
                  <w:tcBorders>
                    <w:top w:val="single" w:color="auto" w:sz="12" w:space="0"/>
                    <w:left w:val="single" w:color="auto" w:sz="4" w:space="0"/>
                    <w:bottom w:val="single" w:color="auto" w:sz="12" w:space="0"/>
                  </w:tcBorders>
                  <w:noWrap w:val="0"/>
                  <w:vAlign w:val="center"/>
                </w:tcPr>
                <w:p w14:paraId="5E990123">
                  <w:pPr>
                    <w:pStyle w:val="46"/>
                    <w:jc w:val="center"/>
                    <w:rPr>
                      <w:rFonts w:hint="default" w:ascii="Times New Roman" w:hAnsi="Times New Roman" w:eastAsia="宋体" w:cs="Times New Roman"/>
                      <w:color w:val="auto"/>
                      <w:sz w:val="21"/>
                      <w:szCs w:val="21"/>
                      <w:vertAlign w:val="baseline"/>
                      <w:lang w:val="en-US" w:eastAsia="zh-CN"/>
                    </w:rPr>
                  </w:pPr>
                  <w:r>
                    <w:rPr>
                      <w:rFonts w:hint="eastAsia" w:ascii="Times New Roman" w:cs="Times New Roman"/>
                      <w:color w:val="auto"/>
                      <w:sz w:val="21"/>
                      <w:szCs w:val="21"/>
                      <w:vertAlign w:val="baseline"/>
                      <w:lang w:val="en-US" w:eastAsia="zh-CN"/>
                    </w:rPr>
                    <w:t>1.0</w:t>
                  </w:r>
                  <w:r>
                    <w:rPr>
                      <w:rFonts w:hint="default" w:ascii="Times New Roman" w:hAnsi="Times New Roman" w:eastAsia="宋体" w:cs="Times New Roman"/>
                      <w:color w:val="auto"/>
                      <w:sz w:val="21"/>
                      <w:szCs w:val="21"/>
                      <w:vertAlign w:val="baseline"/>
                      <w:lang w:val="en-US" w:eastAsia="zh-CN"/>
                    </w:rPr>
                    <w:t>mg/m</w:t>
                  </w:r>
                  <w:r>
                    <w:rPr>
                      <w:rFonts w:hint="default" w:ascii="Times New Roman" w:hAnsi="Times New Roman" w:eastAsia="宋体" w:cs="Times New Roman"/>
                      <w:color w:val="auto"/>
                      <w:sz w:val="21"/>
                      <w:szCs w:val="21"/>
                      <w:vertAlign w:val="superscript"/>
                      <w:lang w:val="en-US" w:eastAsia="zh-CN"/>
                    </w:rPr>
                    <w:t>3</w:t>
                  </w:r>
                </w:p>
              </w:tc>
            </w:tr>
          </w:tbl>
          <w:p w14:paraId="72E7FABE">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b w:val="0"/>
                <w:bCs w:val="0"/>
                <w:color w:val="auto"/>
                <w:kern w:val="0"/>
                <w:sz w:val="24"/>
                <w:szCs w:val="24"/>
                <w:lang w:val="en-US" w:eastAsia="zh-CN"/>
              </w:rPr>
            </w:pPr>
            <w:r>
              <w:rPr>
                <w:rFonts w:hint="eastAsia" w:ascii="Times New Roman" w:hAnsi="Times New Roman" w:cs="Times New Roman"/>
                <w:b/>
                <w:bCs/>
                <w:color w:val="auto"/>
                <w:kern w:val="0"/>
                <w:sz w:val="24"/>
                <w:szCs w:val="24"/>
                <w:lang w:val="en-US" w:eastAsia="zh-CN"/>
              </w:rPr>
              <w:t>2 水污染物排放标准</w:t>
            </w:r>
          </w:p>
          <w:p w14:paraId="37E7320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 w:val="0"/>
                <w:bCs w:val="0"/>
                <w:color w:val="auto"/>
                <w:kern w:val="0"/>
                <w:sz w:val="24"/>
                <w:szCs w:val="24"/>
                <w:lang w:val="en-US" w:eastAsia="zh-CN"/>
              </w:rPr>
            </w:pPr>
            <w:r>
              <w:rPr>
                <w:rFonts w:hint="eastAsia" w:ascii="Times New Roman" w:hAnsi="Times New Roman" w:cs="Times New Roman"/>
                <w:b w:val="0"/>
                <w:bCs w:val="0"/>
                <w:color w:val="auto"/>
                <w:kern w:val="0"/>
                <w:sz w:val="24"/>
                <w:szCs w:val="24"/>
                <w:lang w:val="en-US" w:eastAsia="zh-CN"/>
              </w:rPr>
              <w:t>本项目生活污水排放标准见下表。</w:t>
            </w:r>
          </w:p>
          <w:p w14:paraId="22BFC96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val="0"/>
                <w:bCs w:val="0"/>
                <w:color w:val="auto"/>
                <w:kern w:val="0"/>
                <w:sz w:val="24"/>
                <w:szCs w:val="24"/>
                <w:lang w:val="en-US" w:eastAsia="zh-CN"/>
              </w:rPr>
            </w:pPr>
            <w:r>
              <w:rPr>
                <w:rFonts w:hint="eastAsia" w:ascii="Times New Roman" w:hAnsi="Times New Roman" w:cs="Times New Roman"/>
                <w:b/>
                <w:bCs/>
                <w:color w:val="auto"/>
                <w:kern w:val="0"/>
                <w:sz w:val="21"/>
                <w:szCs w:val="21"/>
                <w:lang w:val="en-US" w:eastAsia="zh-CN"/>
              </w:rPr>
              <w:t>表3-5   生活污水排放标准</w:t>
            </w:r>
          </w:p>
          <w:tbl>
            <w:tblPr>
              <w:tblStyle w:val="28"/>
              <w:tblW w:w="7964"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44"/>
              <w:gridCol w:w="1320"/>
              <w:gridCol w:w="3628"/>
              <w:gridCol w:w="1672"/>
            </w:tblGrid>
            <w:tr w14:paraId="2D2278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44" w:type="dxa"/>
                  <w:tcBorders>
                    <w:bottom w:val="single" w:color="auto" w:sz="12" w:space="0"/>
                  </w:tcBorders>
                  <w:noWrap w:val="0"/>
                  <w:vAlign w:val="center"/>
                </w:tcPr>
                <w:p w14:paraId="61CD67E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color w:val="auto"/>
                      <w:kern w:val="0"/>
                      <w:sz w:val="21"/>
                      <w:szCs w:val="21"/>
                      <w:vertAlign w:val="baseline"/>
                      <w:lang w:val="en-US" w:eastAsia="zh-CN"/>
                    </w:rPr>
                  </w:pPr>
                  <w:r>
                    <w:rPr>
                      <w:rFonts w:hint="eastAsia" w:ascii="Times New Roman" w:hAnsi="Times New Roman" w:cs="Times New Roman"/>
                      <w:b/>
                      <w:bCs/>
                      <w:color w:val="auto"/>
                      <w:kern w:val="0"/>
                      <w:sz w:val="21"/>
                      <w:szCs w:val="21"/>
                      <w:vertAlign w:val="baseline"/>
                      <w:lang w:val="en-US" w:eastAsia="zh-CN"/>
                    </w:rPr>
                    <w:t>废水类别</w:t>
                  </w:r>
                </w:p>
              </w:tc>
              <w:tc>
                <w:tcPr>
                  <w:tcW w:w="1320" w:type="dxa"/>
                  <w:tcBorders>
                    <w:bottom w:val="single" w:color="auto" w:sz="12" w:space="0"/>
                  </w:tcBorders>
                  <w:noWrap w:val="0"/>
                  <w:vAlign w:val="center"/>
                </w:tcPr>
                <w:p w14:paraId="3D8F116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color w:val="auto"/>
                      <w:kern w:val="0"/>
                      <w:sz w:val="21"/>
                      <w:szCs w:val="21"/>
                      <w:vertAlign w:val="baseline"/>
                      <w:lang w:val="en-US" w:eastAsia="zh-CN"/>
                    </w:rPr>
                  </w:pPr>
                  <w:r>
                    <w:rPr>
                      <w:rFonts w:hint="eastAsia" w:ascii="Times New Roman" w:hAnsi="Times New Roman" w:cs="Times New Roman"/>
                      <w:b/>
                      <w:bCs/>
                      <w:color w:val="auto"/>
                      <w:kern w:val="0"/>
                      <w:sz w:val="21"/>
                      <w:szCs w:val="21"/>
                      <w:vertAlign w:val="baseline"/>
                      <w:lang w:val="en-US" w:eastAsia="zh-CN"/>
                    </w:rPr>
                    <w:t>污染物</w:t>
                  </w:r>
                </w:p>
              </w:tc>
              <w:tc>
                <w:tcPr>
                  <w:tcW w:w="3628" w:type="dxa"/>
                  <w:tcBorders>
                    <w:bottom w:val="single" w:color="auto" w:sz="12" w:space="0"/>
                  </w:tcBorders>
                  <w:noWrap w:val="0"/>
                  <w:vAlign w:val="center"/>
                </w:tcPr>
                <w:p w14:paraId="036289A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color w:val="auto"/>
                      <w:kern w:val="0"/>
                      <w:sz w:val="21"/>
                      <w:szCs w:val="21"/>
                      <w:vertAlign w:val="baseline"/>
                      <w:lang w:val="en-US" w:eastAsia="zh-CN"/>
                    </w:rPr>
                  </w:pPr>
                  <w:r>
                    <w:rPr>
                      <w:rFonts w:hint="eastAsia" w:ascii="Times New Roman" w:hAnsi="Times New Roman" w:cs="Times New Roman"/>
                      <w:b/>
                      <w:bCs/>
                      <w:color w:val="auto"/>
                      <w:kern w:val="0"/>
                      <w:sz w:val="21"/>
                      <w:szCs w:val="21"/>
                      <w:vertAlign w:val="baseline"/>
                      <w:lang w:val="en-US" w:eastAsia="zh-CN"/>
                    </w:rPr>
                    <w:t>标准</w:t>
                  </w:r>
                </w:p>
              </w:tc>
              <w:tc>
                <w:tcPr>
                  <w:tcW w:w="1672" w:type="dxa"/>
                  <w:tcBorders>
                    <w:bottom w:val="single" w:color="auto" w:sz="12" w:space="0"/>
                  </w:tcBorders>
                  <w:noWrap w:val="0"/>
                  <w:vAlign w:val="center"/>
                </w:tcPr>
                <w:p w14:paraId="0FF0BDE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color w:val="auto"/>
                      <w:kern w:val="0"/>
                      <w:sz w:val="21"/>
                      <w:szCs w:val="21"/>
                      <w:vertAlign w:val="baseline"/>
                      <w:lang w:val="en-US" w:eastAsia="zh-CN"/>
                    </w:rPr>
                  </w:pPr>
                  <w:r>
                    <w:rPr>
                      <w:rFonts w:hint="eastAsia" w:ascii="Times New Roman" w:hAnsi="Times New Roman" w:cs="Times New Roman"/>
                      <w:b/>
                      <w:bCs/>
                      <w:color w:val="auto"/>
                      <w:kern w:val="0"/>
                      <w:sz w:val="21"/>
                      <w:szCs w:val="21"/>
                      <w:vertAlign w:val="baseline"/>
                      <w:lang w:val="en-US" w:eastAsia="zh-CN"/>
                    </w:rPr>
                    <w:t>限值</w:t>
                  </w:r>
                </w:p>
              </w:tc>
            </w:tr>
            <w:tr w14:paraId="07E37C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9" w:hRule="atLeast"/>
              </w:trPr>
              <w:tc>
                <w:tcPr>
                  <w:tcW w:w="1344" w:type="dxa"/>
                  <w:vMerge w:val="restart"/>
                  <w:tcBorders>
                    <w:top w:val="single" w:color="auto" w:sz="12" w:space="0"/>
                    <w:tl2br w:val="nil"/>
                    <w:tr2bl w:val="nil"/>
                  </w:tcBorders>
                  <w:noWrap w:val="0"/>
                  <w:vAlign w:val="center"/>
                </w:tcPr>
                <w:p w14:paraId="6810F08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val="0"/>
                      <w:bCs w:val="0"/>
                      <w:color w:val="auto"/>
                      <w:kern w:val="0"/>
                      <w:sz w:val="21"/>
                      <w:szCs w:val="21"/>
                      <w:vertAlign w:val="baseline"/>
                      <w:lang w:val="en-US" w:eastAsia="zh-CN"/>
                    </w:rPr>
                  </w:pPr>
                  <w:r>
                    <w:rPr>
                      <w:rFonts w:hint="eastAsia" w:ascii="Times New Roman" w:hAnsi="Times New Roman" w:cs="Times New Roman"/>
                      <w:b w:val="0"/>
                      <w:bCs w:val="0"/>
                      <w:color w:val="auto"/>
                      <w:kern w:val="0"/>
                      <w:sz w:val="21"/>
                      <w:szCs w:val="21"/>
                      <w:vertAlign w:val="baseline"/>
                      <w:lang w:val="en-US" w:eastAsia="zh-CN"/>
                    </w:rPr>
                    <w:t>生活污水</w:t>
                  </w:r>
                </w:p>
              </w:tc>
              <w:tc>
                <w:tcPr>
                  <w:tcW w:w="1320" w:type="dxa"/>
                  <w:tcBorders>
                    <w:top w:val="single" w:color="auto" w:sz="12" w:space="0"/>
                    <w:tl2br w:val="nil"/>
                    <w:tr2bl w:val="nil"/>
                  </w:tcBorders>
                  <w:noWrap w:val="0"/>
                  <w:vAlign w:val="center"/>
                </w:tcPr>
                <w:p w14:paraId="624AF80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val="0"/>
                      <w:bCs w:val="0"/>
                      <w:color w:val="auto"/>
                      <w:kern w:val="0"/>
                      <w:sz w:val="21"/>
                      <w:szCs w:val="21"/>
                      <w:vertAlign w:val="baseline"/>
                      <w:lang w:val="en-US" w:eastAsia="zh-CN"/>
                    </w:rPr>
                  </w:pPr>
                  <w:r>
                    <w:rPr>
                      <w:rFonts w:hint="eastAsia" w:ascii="Times New Roman" w:hAnsi="Times New Roman" w:cs="Times New Roman"/>
                      <w:b w:val="0"/>
                      <w:bCs w:val="0"/>
                      <w:color w:val="auto"/>
                      <w:kern w:val="0"/>
                      <w:sz w:val="21"/>
                      <w:szCs w:val="21"/>
                      <w:vertAlign w:val="baseline"/>
                      <w:lang w:val="en-US" w:eastAsia="zh-CN"/>
                    </w:rPr>
                    <w:t>COD</w:t>
                  </w:r>
                </w:p>
              </w:tc>
              <w:tc>
                <w:tcPr>
                  <w:tcW w:w="3628" w:type="dxa"/>
                  <w:vMerge w:val="restart"/>
                  <w:tcBorders>
                    <w:top w:val="single" w:color="auto" w:sz="12" w:space="0"/>
                    <w:tl2br w:val="nil"/>
                    <w:tr2bl w:val="nil"/>
                  </w:tcBorders>
                  <w:noWrap w:val="0"/>
                  <w:vAlign w:val="center"/>
                </w:tcPr>
                <w:p w14:paraId="3DC33FA3">
                  <w:pPr>
                    <w:pStyle w:val="46"/>
                    <w:jc w:val="center"/>
                    <w:rPr>
                      <w:rFonts w:hint="eastAsia" w:ascii="Times New Roman" w:hAnsi="Times New Roman" w:cs="Times New Roman"/>
                      <w:b w:val="0"/>
                      <w:bCs w:val="0"/>
                      <w:color w:val="auto"/>
                      <w:kern w:val="0"/>
                      <w:sz w:val="21"/>
                      <w:szCs w:val="21"/>
                      <w:vertAlign w:val="baseline"/>
                      <w:lang w:val="en-US" w:eastAsia="zh-CN"/>
                    </w:rPr>
                  </w:pPr>
                  <w:r>
                    <w:rPr>
                      <w:rFonts w:hint="eastAsia" w:ascii="Times New Roman" w:hAnsi="Times New Roman" w:eastAsia="宋体" w:cs="Times New Roman"/>
                      <w:color w:val="auto"/>
                      <w:sz w:val="21"/>
                      <w:szCs w:val="21"/>
                      <w:vertAlign w:val="baseline"/>
                      <w:lang w:val="en-US" w:eastAsia="zh-CN"/>
                    </w:rPr>
                    <w:t>《污水排入城镇下水道水质标准》（</w:t>
                  </w:r>
                  <w:r>
                    <w:rPr>
                      <w:rFonts w:hint="default" w:ascii="Times New Roman" w:hAnsi="Times New Roman" w:eastAsia="宋体" w:cs="Times New Roman"/>
                      <w:color w:val="auto"/>
                      <w:sz w:val="21"/>
                      <w:szCs w:val="21"/>
                      <w:vertAlign w:val="baseline"/>
                      <w:lang w:val="en-US" w:eastAsia="zh-CN"/>
                    </w:rPr>
                    <w:t>GB/T 31962-2015</w:t>
                  </w:r>
                  <w:r>
                    <w:rPr>
                      <w:rFonts w:hint="eastAsia" w:ascii="Times New Roman" w:hAnsi="Times New Roman" w:eastAsia="宋体" w:cs="Times New Roman"/>
                      <w:color w:val="auto"/>
                      <w:sz w:val="21"/>
                      <w:szCs w:val="21"/>
                      <w:vertAlign w:val="baseline"/>
                      <w:lang w:val="en-US" w:eastAsia="zh-CN"/>
                    </w:rPr>
                    <w:t>）</w:t>
                  </w:r>
                </w:p>
              </w:tc>
              <w:tc>
                <w:tcPr>
                  <w:tcW w:w="1672" w:type="dxa"/>
                  <w:tcBorders>
                    <w:top w:val="single" w:color="auto" w:sz="12" w:space="0"/>
                    <w:tl2br w:val="nil"/>
                    <w:tr2bl w:val="nil"/>
                  </w:tcBorders>
                  <w:noWrap w:val="0"/>
                  <w:vAlign w:val="center"/>
                </w:tcPr>
                <w:p w14:paraId="077F96F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val="0"/>
                      <w:bCs w:val="0"/>
                      <w:color w:val="auto"/>
                      <w:kern w:val="0"/>
                      <w:sz w:val="21"/>
                      <w:szCs w:val="21"/>
                      <w:vertAlign w:val="baseline"/>
                      <w:lang w:val="en-US" w:eastAsia="zh-CN"/>
                    </w:rPr>
                  </w:pPr>
                  <w:r>
                    <w:rPr>
                      <w:rFonts w:hint="eastAsia" w:ascii="Times New Roman" w:hAnsi="Times New Roman" w:cs="Times New Roman"/>
                      <w:b w:val="0"/>
                      <w:bCs w:val="0"/>
                      <w:color w:val="auto"/>
                      <w:kern w:val="0"/>
                      <w:sz w:val="21"/>
                      <w:szCs w:val="21"/>
                      <w:vertAlign w:val="baseline"/>
                      <w:lang w:val="en-US" w:eastAsia="zh-CN"/>
                    </w:rPr>
                    <w:t>500mg/L</w:t>
                  </w:r>
                </w:p>
              </w:tc>
            </w:tr>
            <w:tr w14:paraId="77A949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1344" w:type="dxa"/>
                  <w:vMerge w:val="continue"/>
                  <w:tcBorders>
                    <w:tl2br w:val="nil"/>
                    <w:tr2bl w:val="nil"/>
                  </w:tcBorders>
                  <w:noWrap w:val="0"/>
                  <w:vAlign w:val="center"/>
                </w:tcPr>
                <w:p w14:paraId="052A53D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b w:val="0"/>
                      <w:bCs w:val="0"/>
                      <w:color w:val="auto"/>
                      <w:kern w:val="0"/>
                      <w:sz w:val="21"/>
                      <w:szCs w:val="21"/>
                      <w:vertAlign w:val="baseline"/>
                      <w:lang w:val="en-US" w:eastAsia="zh-CN"/>
                    </w:rPr>
                  </w:pPr>
                </w:p>
              </w:tc>
              <w:tc>
                <w:tcPr>
                  <w:tcW w:w="1320" w:type="dxa"/>
                  <w:tcBorders>
                    <w:tl2br w:val="nil"/>
                    <w:tr2bl w:val="nil"/>
                  </w:tcBorders>
                  <w:noWrap w:val="0"/>
                  <w:vAlign w:val="center"/>
                </w:tcPr>
                <w:p w14:paraId="3829E4A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val="0"/>
                      <w:bCs w:val="0"/>
                      <w:color w:val="auto"/>
                      <w:kern w:val="0"/>
                      <w:sz w:val="21"/>
                      <w:szCs w:val="21"/>
                      <w:vertAlign w:val="baseline"/>
                      <w:lang w:val="en-US" w:eastAsia="zh-CN"/>
                    </w:rPr>
                  </w:pPr>
                  <w:r>
                    <w:rPr>
                      <w:rFonts w:hint="eastAsia" w:ascii="Times New Roman" w:hAnsi="Times New Roman" w:cs="Times New Roman"/>
                      <w:b w:val="0"/>
                      <w:bCs w:val="0"/>
                      <w:color w:val="auto"/>
                      <w:kern w:val="0"/>
                      <w:sz w:val="21"/>
                      <w:szCs w:val="21"/>
                      <w:vertAlign w:val="baseline"/>
                      <w:lang w:val="en-US" w:eastAsia="zh-CN"/>
                    </w:rPr>
                    <w:t>BOD</w:t>
                  </w:r>
                  <w:r>
                    <w:rPr>
                      <w:rFonts w:hint="eastAsia" w:ascii="Times New Roman" w:hAnsi="Times New Roman" w:cs="Times New Roman"/>
                      <w:b w:val="0"/>
                      <w:bCs w:val="0"/>
                      <w:color w:val="auto"/>
                      <w:kern w:val="0"/>
                      <w:sz w:val="21"/>
                      <w:szCs w:val="21"/>
                      <w:vertAlign w:val="subscript"/>
                      <w:lang w:val="en-US" w:eastAsia="zh-CN"/>
                    </w:rPr>
                    <w:t>5</w:t>
                  </w:r>
                </w:p>
              </w:tc>
              <w:tc>
                <w:tcPr>
                  <w:tcW w:w="3628" w:type="dxa"/>
                  <w:vMerge w:val="continue"/>
                  <w:tcBorders>
                    <w:tl2br w:val="nil"/>
                    <w:tr2bl w:val="nil"/>
                  </w:tcBorders>
                  <w:noWrap w:val="0"/>
                  <w:vAlign w:val="center"/>
                </w:tcPr>
                <w:p w14:paraId="50A402F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b w:val="0"/>
                      <w:bCs w:val="0"/>
                      <w:color w:val="auto"/>
                      <w:kern w:val="0"/>
                      <w:sz w:val="21"/>
                      <w:szCs w:val="21"/>
                      <w:vertAlign w:val="baseline"/>
                      <w:lang w:val="en-US" w:eastAsia="zh-CN"/>
                    </w:rPr>
                  </w:pPr>
                </w:p>
              </w:tc>
              <w:tc>
                <w:tcPr>
                  <w:tcW w:w="1672" w:type="dxa"/>
                  <w:tcBorders>
                    <w:tl2br w:val="nil"/>
                    <w:tr2bl w:val="nil"/>
                  </w:tcBorders>
                  <w:noWrap w:val="0"/>
                  <w:vAlign w:val="center"/>
                </w:tcPr>
                <w:p w14:paraId="0048B32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val="0"/>
                      <w:bCs w:val="0"/>
                      <w:color w:val="auto"/>
                      <w:kern w:val="0"/>
                      <w:sz w:val="21"/>
                      <w:szCs w:val="21"/>
                      <w:vertAlign w:val="baseline"/>
                      <w:lang w:val="en-US" w:eastAsia="zh-CN"/>
                    </w:rPr>
                  </w:pPr>
                  <w:r>
                    <w:rPr>
                      <w:rFonts w:hint="eastAsia" w:ascii="Times New Roman" w:hAnsi="Times New Roman" w:cs="Times New Roman"/>
                      <w:b w:val="0"/>
                      <w:bCs w:val="0"/>
                      <w:color w:val="auto"/>
                      <w:kern w:val="0"/>
                      <w:sz w:val="21"/>
                      <w:szCs w:val="21"/>
                      <w:vertAlign w:val="baseline"/>
                      <w:lang w:val="en-US" w:eastAsia="zh-CN"/>
                    </w:rPr>
                    <w:t>300mg/L</w:t>
                  </w:r>
                </w:p>
              </w:tc>
            </w:tr>
            <w:tr w14:paraId="5FF71E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44" w:type="dxa"/>
                  <w:vMerge w:val="continue"/>
                  <w:tcBorders>
                    <w:tl2br w:val="nil"/>
                    <w:tr2bl w:val="nil"/>
                  </w:tcBorders>
                  <w:noWrap w:val="0"/>
                  <w:vAlign w:val="center"/>
                </w:tcPr>
                <w:p w14:paraId="4DC861F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b w:val="0"/>
                      <w:bCs w:val="0"/>
                      <w:color w:val="auto"/>
                      <w:kern w:val="0"/>
                      <w:sz w:val="21"/>
                      <w:szCs w:val="21"/>
                      <w:vertAlign w:val="baseline"/>
                      <w:lang w:val="en-US" w:eastAsia="zh-CN"/>
                    </w:rPr>
                  </w:pPr>
                </w:p>
              </w:tc>
              <w:tc>
                <w:tcPr>
                  <w:tcW w:w="1320" w:type="dxa"/>
                  <w:tcBorders>
                    <w:tl2br w:val="nil"/>
                    <w:tr2bl w:val="nil"/>
                  </w:tcBorders>
                  <w:noWrap w:val="0"/>
                  <w:vAlign w:val="center"/>
                </w:tcPr>
                <w:p w14:paraId="44DF3F7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val="0"/>
                      <w:bCs w:val="0"/>
                      <w:color w:val="auto"/>
                      <w:kern w:val="0"/>
                      <w:sz w:val="21"/>
                      <w:szCs w:val="21"/>
                      <w:vertAlign w:val="baseline"/>
                      <w:lang w:val="en-US" w:eastAsia="zh-CN"/>
                    </w:rPr>
                  </w:pPr>
                  <w:r>
                    <w:rPr>
                      <w:rFonts w:hint="eastAsia" w:ascii="Times New Roman" w:hAnsi="Times New Roman" w:cs="Times New Roman"/>
                      <w:b w:val="0"/>
                      <w:bCs w:val="0"/>
                      <w:color w:val="auto"/>
                      <w:kern w:val="0"/>
                      <w:sz w:val="21"/>
                      <w:szCs w:val="21"/>
                      <w:vertAlign w:val="baseline"/>
                      <w:lang w:val="en-US" w:eastAsia="zh-CN"/>
                    </w:rPr>
                    <w:t>SS</w:t>
                  </w:r>
                </w:p>
              </w:tc>
              <w:tc>
                <w:tcPr>
                  <w:tcW w:w="3628" w:type="dxa"/>
                  <w:vMerge w:val="continue"/>
                  <w:tcBorders>
                    <w:tl2br w:val="nil"/>
                    <w:tr2bl w:val="nil"/>
                  </w:tcBorders>
                  <w:noWrap w:val="0"/>
                  <w:vAlign w:val="center"/>
                </w:tcPr>
                <w:p w14:paraId="7200167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b w:val="0"/>
                      <w:bCs w:val="0"/>
                      <w:color w:val="auto"/>
                      <w:kern w:val="0"/>
                      <w:sz w:val="21"/>
                      <w:szCs w:val="21"/>
                      <w:vertAlign w:val="baseline"/>
                      <w:lang w:val="en-US" w:eastAsia="zh-CN"/>
                    </w:rPr>
                  </w:pPr>
                </w:p>
              </w:tc>
              <w:tc>
                <w:tcPr>
                  <w:tcW w:w="1672" w:type="dxa"/>
                  <w:tcBorders>
                    <w:tl2br w:val="nil"/>
                    <w:tr2bl w:val="nil"/>
                  </w:tcBorders>
                  <w:noWrap w:val="0"/>
                  <w:vAlign w:val="center"/>
                </w:tcPr>
                <w:p w14:paraId="69FF6E2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val="0"/>
                      <w:bCs w:val="0"/>
                      <w:color w:val="auto"/>
                      <w:kern w:val="0"/>
                      <w:sz w:val="21"/>
                      <w:szCs w:val="21"/>
                      <w:vertAlign w:val="baseline"/>
                      <w:lang w:val="en-US" w:eastAsia="zh-CN"/>
                    </w:rPr>
                  </w:pPr>
                  <w:r>
                    <w:rPr>
                      <w:rFonts w:hint="eastAsia" w:ascii="Times New Roman" w:hAnsi="Times New Roman" w:cs="Times New Roman"/>
                      <w:b w:val="0"/>
                      <w:bCs w:val="0"/>
                      <w:color w:val="auto"/>
                      <w:kern w:val="0"/>
                      <w:sz w:val="21"/>
                      <w:szCs w:val="21"/>
                      <w:vertAlign w:val="baseline"/>
                      <w:lang w:val="en-US" w:eastAsia="zh-CN"/>
                    </w:rPr>
                    <w:t>400mg/L</w:t>
                  </w:r>
                </w:p>
              </w:tc>
            </w:tr>
            <w:tr w14:paraId="26D71F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344" w:type="dxa"/>
                  <w:vMerge w:val="continue"/>
                  <w:tcBorders>
                    <w:tl2br w:val="nil"/>
                    <w:tr2bl w:val="nil"/>
                  </w:tcBorders>
                  <w:noWrap w:val="0"/>
                  <w:vAlign w:val="center"/>
                </w:tcPr>
                <w:p w14:paraId="4A4AE35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b w:val="0"/>
                      <w:bCs w:val="0"/>
                      <w:color w:val="auto"/>
                      <w:kern w:val="0"/>
                      <w:sz w:val="21"/>
                      <w:szCs w:val="21"/>
                      <w:vertAlign w:val="baseline"/>
                      <w:lang w:val="en-US" w:eastAsia="zh-CN"/>
                    </w:rPr>
                  </w:pPr>
                </w:p>
              </w:tc>
              <w:tc>
                <w:tcPr>
                  <w:tcW w:w="1320" w:type="dxa"/>
                  <w:tcBorders>
                    <w:tl2br w:val="nil"/>
                    <w:tr2bl w:val="nil"/>
                  </w:tcBorders>
                  <w:noWrap w:val="0"/>
                  <w:vAlign w:val="center"/>
                </w:tcPr>
                <w:p w14:paraId="6CFE3CB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val="0"/>
                      <w:bCs w:val="0"/>
                      <w:color w:val="auto"/>
                      <w:kern w:val="0"/>
                      <w:sz w:val="21"/>
                      <w:szCs w:val="21"/>
                      <w:vertAlign w:val="baseline"/>
                      <w:lang w:val="en-US" w:eastAsia="zh-CN"/>
                    </w:rPr>
                  </w:pPr>
                  <w:r>
                    <w:rPr>
                      <w:rFonts w:hint="eastAsia" w:ascii="Times New Roman" w:hAnsi="Times New Roman" w:cs="Times New Roman"/>
                      <w:b w:val="0"/>
                      <w:bCs w:val="0"/>
                      <w:color w:val="auto"/>
                      <w:kern w:val="0"/>
                      <w:sz w:val="21"/>
                      <w:szCs w:val="21"/>
                      <w:vertAlign w:val="baseline"/>
                      <w:lang w:val="en-US" w:eastAsia="zh-CN"/>
                    </w:rPr>
                    <w:t>NH</w:t>
                  </w:r>
                  <w:r>
                    <w:rPr>
                      <w:rFonts w:hint="eastAsia" w:ascii="Times New Roman" w:hAnsi="Times New Roman" w:cs="Times New Roman"/>
                      <w:b w:val="0"/>
                      <w:bCs w:val="0"/>
                      <w:color w:val="auto"/>
                      <w:kern w:val="0"/>
                      <w:sz w:val="21"/>
                      <w:szCs w:val="21"/>
                      <w:vertAlign w:val="subscript"/>
                      <w:lang w:val="en-US" w:eastAsia="zh-CN"/>
                    </w:rPr>
                    <w:t>3</w:t>
                  </w:r>
                  <w:r>
                    <w:rPr>
                      <w:rFonts w:hint="eastAsia" w:ascii="Times New Roman" w:hAnsi="Times New Roman" w:cs="Times New Roman"/>
                      <w:b w:val="0"/>
                      <w:bCs w:val="0"/>
                      <w:color w:val="auto"/>
                      <w:kern w:val="0"/>
                      <w:sz w:val="21"/>
                      <w:szCs w:val="21"/>
                      <w:vertAlign w:val="baseline"/>
                      <w:lang w:val="en-US" w:eastAsia="zh-CN"/>
                    </w:rPr>
                    <w:t>-N</w:t>
                  </w:r>
                </w:p>
              </w:tc>
              <w:tc>
                <w:tcPr>
                  <w:tcW w:w="3628" w:type="dxa"/>
                  <w:vMerge w:val="continue"/>
                  <w:tcBorders>
                    <w:tl2br w:val="nil"/>
                    <w:tr2bl w:val="nil"/>
                  </w:tcBorders>
                  <w:noWrap w:val="0"/>
                  <w:vAlign w:val="center"/>
                </w:tcPr>
                <w:p w14:paraId="4E53D78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b w:val="0"/>
                      <w:bCs w:val="0"/>
                      <w:color w:val="auto"/>
                      <w:kern w:val="0"/>
                      <w:sz w:val="21"/>
                      <w:szCs w:val="21"/>
                      <w:vertAlign w:val="baseline"/>
                      <w:lang w:val="en-US" w:eastAsia="zh-CN"/>
                    </w:rPr>
                  </w:pPr>
                </w:p>
              </w:tc>
              <w:tc>
                <w:tcPr>
                  <w:tcW w:w="1672" w:type="dxa"/>
                  <w:tcBorders>
                    <w:tl2br w:val="nil"/>
                    <w:tr2bl w:val="nil"/>
                  </w:tcBorders>
                  <w:noWrap w:val="0"/>
                  <w:vAlign w:val="center"/>
                </w:tcPr>
                <w:p w14:paraId="10AAF4F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val="0"/>
                      <w:bCs w:val="0"/>
                      <w:color w:val="auto"/>
                      <w:kern w:val="0"/>
                      <w:sz w:val="21"/>
                      <w:szCs w:val="21"/>
                      <w:vertAlign w:val="baseline"/>
                      <w:lang w:val="en-US" w:eastAsia="zh-CN"/>
                    </w:rPr>
                  </w:pPr>
                  <w:r>
                    <w:rPr>
                      <w:rFonts w:hint="eastAsia" w:cs="Times New Roman"/>
                      <w:b w:val="0"/>
                      <w:bCs w:val="0"/>
                      <w:color w:val="auto"/>
                      <w:kern w:val="0"/>
                      <w:sz w:val="21"/>
                      <w:szCs w:val="21"/>
                      <w:vertAlign w:val="baseline"/>
                      <w:lang w:val="en-US" w:eastAsia="zh-CN"/>
                    </w:rPr>
                    <w:t>45</w:t>
                  </w:r>
                  <w:r>
                    <w:rPr>
                      <w:rFonts w:hint="eastAsia" w:ascii="Times New Roman" w:hAnsi="Times New Roman" w:cs="Times New Roman"/>
                      <w:b w:val="0"/>
                      <w:bCs w:val="0"/>
                      <w:color w:val="auto"/>
                      <w:kern w:val="0"/>
                      <w:sz w:val="21"/>
                      <w:szCs w:val="21"/>
                      <w:vertAlign w:val="baseline"/>
                      <w:lang w:val="en-US" w:eastAsia="zh-CN"/>
                    </w:rPr>
                    <w:t>mg/L</w:t>
                  </w:r>
                </w:p>
              </w:tc>
            </w:tr>
          </w:tbl>
          <w:p w14:paraId="39455789">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b/>
                <w:bCs/>
                <w:color w:val="auto"/>
                <w:kern w:val="0"/>
                <w:sz w:val="24"/>
                <w:szCs w:val="24"/>
                <w:lang w:val="en-US" w:eastAsia="zh-CN"/>
              </w:rPr>
            </w:pPr>
            <w:r>
              <w:rPr>
                <w:rFonts w:hint="eastAsia" w:ascii="Times New Roman" w:hAnsi="Times New Roman" w:cs="Times New Roman"/>
                <w:b/>
                <w:bCs/>
                <w:color w:val="auto"/>
                <w:kern w:val="0"/>
                <w:sz w:val="24"/>
                <w:szCs w:val="24"/>
                <w:lang w:val="en-US" w:eastAsia="zh-CN"/>
              </w:rPr>
              <w:t>3 噪声污染物排放标准</w:t>
            </w:r>
          </w:p>
          <w:p w14:paraId="2D0D9AE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 w:val="0"/>
                <w:bCs w:val="0"/>
                <w:color w:val="auto"/>
                <w:kern w:val="0"/>
                <w:sz w:val="24"/>
                <w:szCs w:val="24"/>
                <w:lang w:val="en-US" w:eastAsia="zh-CN"/>
              </w:rPr>
            </w:pPr>
            <w:r>
              <w:rPr>
                <w:rFonts w:hint="eastAsia" w:ascii="Times New Roman" w:hAnsi="Times New Roman" w:cs="Times New Roman"/>
                <w:b w:val="0"/>
                <w:bCs w:val="0"/>
                <w:color w:val="auto"/>
                <w:kern w:val="0"/>
                <w:sz w:val="24"/>
                <w:szCs w:val="24"/>
                <w:lang w:val="en-US" w:eastAsia="zh-CN"/>
              </w:rPr>
              <w:t>本项目噪声污染物排放标准见下表。</w:t>
            </w:r>
          </w:p>
          <w:p w14:paraId="48787050">
            <w:pPr>
              <w:pStyle w:val="46"/>
              <w:keepNext w:val="0"/>
              <w:keepLines w:val="0"/>
              <w:widowControl w:val="0"/>
              <w:numPr>
                <w:ilvl w:val="0"/>
                <w:numId w:val="0"/>
              </w:numPr>
              <w:suppressLineNumbers w:val="0"/>
              <w:autoSpaceDE w:val="0"/>
              <w:autoSpaceDN w:val="0"/>
              <w:spacing w:before="0" w:beforeAutospacing="0" w:after="0" w:afterAutospacing="0"/>
              <w:ind w:right="0" w:rightChars="0"/>
              <w:jc w:val="center"/>
              <w:rPr>
                <w:rFonts w:hint="default"/>
                <w:b/>
                <w:bCs/>
                <w:color w:val="auto"/>
                <w:sz w:val="21"/>
                <w:szCs w:val="21"/>
                <w:lang w:val="en-US" w:eastAsia="zh-CN"/>
              </w:rPr>
            </w:pPr>
            <w:r>
              <w:rPr>
                <w:rFonts w:hint="eastAsia"/>
                <w:b/>
                <w:bCs/>
                <w:color w:val="auto"/>
                <w:sz w:val="21"/>
                <w:szCs w:val="21"/>
                <w:lang w:val="en-US" w:eastAsia="zh-CN"/>
              </w:rPr>
              <w:t>表</w:t>
            </w:r>
            <w:r>
              <w:rPr>
                <w:rFonts w:hint="default" w:ascii="Times New Roman" w:hAnsi="Times New Roman" w:cs="Times New Roman"/>
                <w:b/>
                <w:bCs/>
                <w:color w:val="auto"/>
                <w:sz w:val="21"/>
                <w:szCs w:val="21"/>
                <w:lang w:val="en-US" w:eastAsia="zh-CN"/>
              </w:rPr>
              <w:t>3-</w:t>
            </w:r>
            <w:r>
              <w:rPr>
                <w:rFonts w:hint="eastAsia" w:ascii="Times New Roman" w:cs="Times New Roman"/>
                <w:b/>
                <w:bCs/>
                <w:color w:val="auto"/>
                <w:sz w:val="21"/>
                <w:szCs w:val="21"/>
                <w:lang w:val="en-US" w:eastAsia="zh-CN"/>
              </w:rPr>
              <w:t>6</w:t>
            </w:r>
            <w:r>
              <w:rPr>
                <w:rFonts w:hint="eastAsia"/>
                <w:b/>
                <w:bCs/>
                <w:color w:val="auto"/>
                <w:sz w:val="21"/>
                <w:szCs w:val="21"/>
                <w:lang w:val="en-US" w:eastAsia="zh-CN"/>
              </w:rPr>
              <w:t xml:space="preserve">   噪声排放标准</w:t>
            </w:r>
          </w:p>
          <w:tbl>
            <w:tblPr>
              <w:tblStyle w:val="28"/>
              <w:tblW w:w="499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949"/>
              <w:gridCol w:w="5266"/>
              <w:gridCol w:w="1750"/>
            </w:tblGrid>
            <w:tr w14:paraId="64DF0A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7" w:hRule="atLeast"/>
              </w:trPr>
              <w:tc>
                <w:tcPr>
                  <w:tcW w:w="596" w:type="pct"/>
                  <w:tcBorders>
                    <w:top w:val="single" w:color="auto" w:sz="12" w:space="0"/>
                    <w:bottom w:val="single" w:color="auto" w:sz="12" w:space="0"/>
                    <w:right w:val="single" w:color="auto" w:sz="4" w:space="0"/>
                  </w:tcBorders>
                  <w:noWrap w:val="0"/>
                  <w:vAlign w:val="center"/>
                </w:tcPr>
                <w:p w14:paraId="1A0C363D">
                  <w:pPr>
                    <w:pStyle w:val="46"/>
                    <w:keepNext w:val="0"/>
                    <w:keepLines w:val="0"/>
                    <w:pageBreakBefore w:val="0"/>
                    <w:widowControl w:val="0"/>
                    <w:numPr>
                      <w:ilvl w:val="0"/>
                      <w:numId w:val="0"/>
                    </w:numPr>
                    <w:suppressLineNumbers w:val="0"/>
                    <w:kinsoku/>
                    <w:overflowPunct/>
                    <w:topLinePunct w:val="0"/>
                    <w:autoSpaceDE/>
                    <w:autoSpaceDN w:val="0"/>
                    <w:bidi w:val="0"/>
                    <w:adjustRightInd/>
                    <w:snapToGrid/>
                    <w:spacing w:before="0" w:beforeAutospacing="0" w:after="0" w:afterAutospacing="0"/>
                    <w:ind w:right="0" w:right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时期</w:t>
                  </w:r>
                </w:p>
              </w:tc>
              <w:tc>
                <w:tcPr>
                  <w:tcW w:w="3305" w:type="pct"/>
                  <w:tcBorders>
                    <w:top w:val="single" w:color="auto" w:sz="12" w:space="0"/>
                    <w:left w:val="single" w:color="auto" w:sz="4" w:space="0"/>
                    <w:bottom w:val="single" w:color="auto" w:sz="12" w:space="0"/>
                    <w:right w:val="single" w:color="auto" w:sz="4" w:space="0"/>
                  </w:tcBorders>
                  <w:noWrap w:val="0"/>
                  <w:vAlign w:val="center"/>
                </w:tcPr>
                <w:p w14:paraId="4C6B4B96">
                  <w:pPr>
                    <w:pStyle w:val="46"/>
                    <w:keepNext w:val="0"/>
                    <w:keepLines w:val="0"/>
                    <w:pageBreakBefore w:val="0"/>
                    <w:widowControl w:val="0"/>
                    <w:numPr>
                      <w:ilvl w:val="0"/>
                      <w:numId w:val="0"/>
                    </w:numPr>
                    <w:suppressLineNumbers w:val="0"/>
                    <w:kinsoku/>
                    <w:overflowPunct/>
                    <w:topLinePunct w:val="0"/>
                    <w:autoSpaceDE/>
                    <w:autoSpaceDN w:val="0"/>
                    <w:bidi w:val="0"/>
                    <w:adjustRightInd/>
                    <w:snapToGrid/>
                    <w:spacing w:before="0" w:beforeAutospacing="0" w:after="0" w:afterAutospacing="0"/>
                    <w:ind w:right="0" w:right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标准</w:t>
                  </w:r>
                </w:p>
              </w:tc>
              <w:tc>
                <w:tcPr>
                  <w:tcW w:w="1098" w:type="pct"/>
                  <w:tcBorders>
                    <w:top w:val="single" w:color="auto" w:sz="12" w:space="0"/>
                    <w:left w:val="single" w:color="auto" w:sz="4" w:space="0"/>
                    <w:bottom w:val="single" w:color="auto" w:sz="12" w:space="0"/>
                  </w:tcBorders>
                  <w:noWrap w:val="0"/>
                  <w:vAlign w:val="center"/>
                </w:tcPr>
                <w:p w14:paraId="165F2913">
                  <w:pPr>
                    <w:pStyle w:val="46"/>
                    <w:keepNext w:val="0"/>
                    <w:keepLines w:val="0"/>
                    <w:pageBreakBefore w:val="0"/>
                    <w:widowControl w:val="0"/>
                    <w:numPr>
                      <w:ilvl w:val="0"/>
                      <w:numId w:val="0"/>
                    </w:numPr>
                    <w:suppressLineNumbers w:val="0"/>
                    <w:kinsoku/>
                    <w:overflowPunct/>
                    <w:topLinePunct w:val="0"/>
                    <w:autoSpaceDE/>
                    <w:autoSpaceDN w:val="0"/>
                    <w:bidi w:val="0"/>
                    <w:adjustRightInd/>
                    <w:snapToGrid/>
                    <w:spacing w:before="0" w:beforeAutospacing="0" w:after="0" w:afterAutospacing="0"/>
                    <w:ind w:right="0" w:rightChars="0"/>
                    <w:jc w:val="center"/>
                    <w:textAlignment w:val="auto"/>
                    <w:rPr>
                      <w:rFonts w:hint="default" w:ascii="Times New Roman" w:hAnsi="Times New Roman" w:eastAsia="宋体" w:cs="Times New Roman"/>
                      <w:b/>
                      <w:bCs/>
                      <w:color w:val="auto"/>
                      <w:sz w:val="21"/>
                      <w:szCs w:val="21"/>
                      <w:vertAlign w:val="baseline"/>
                      <w:lang w:val="en-US" w:eastAsia="zh-CN"/>
                    </w:rPr>
                  </w:pPr>
                  <w:r>
                    <w:rPr>
                      <w:rFonts w:hint="default" w:ascii="Times New Roman" w:hAnsi="Times New Roman" w:eastAsia="宋体" w:cs="Times New Roman"/>
                      <w:b/>
                      <w:bCs/>
                      <w:color w:val="auto"/>
                      <w:sz w:val="21"/>
                      <w:szCs w:val="21"/>
                      <w:vertAlign w:val="baseline"/>
                      <w:lang w:val="en-US" w:eastAsia="zh-CN"/>
                    </w:rPr>
                    <w:t>限值</w:t>
                  </w:r>
                </w:p>
              </w:tc>
            </w:tr>
            <w:tr w14:paraId="3A3A30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96" w:type="pct"/>
                  <w:tcBorders>
                    <w:top w:val="single" w:color="auto" w:sz="12" w:space="0"/>
                    <w:bottom w:val="single" w:color="auto" w:sz="4" w:space="0"/>
                    <w:right w:val="single" w:color="auto" w:sz="4" w:space="0"/>
                  </w:tcBorders>
                  <w:noWrap w:val="0"/>
                  <w:vAlign w:val="center"/>
                </w:tcPr>
                <w:p w14:paraId="5F2E2582">
                  <w:pPr>
                    <w:pStyle w:val="46"/>
                    <w:keepNext w:val="0"/>
                    <w:keepLines w:val="0"/>
                    <w:pageBreakBefore w:val="0"/>
                    <w:widowControl w:val="0"/>
                    <w:numPr>
                      <w:ilvl w:val="0"/>
                      <w:numId w:val="0"/>
                    </w:numPr>
                    <w:suppressLineNumbers w:val="0"/>
                    <w:kinsoku/>
                    <w:overflowPunct/>
                    <w:topLinePunct w:val="0"/>
                    <w:autoSpaceDE/>
                    <w:autoSpaceDN w:val="0"/>
                    <w:bidi w:val="0"/>
                    <w:adjustRightInd/>
                    <w:snapToGrid/>
                    <w:spacing w:before="0" w:beforeAutospacing="0" w:after="0" w:afterAutospacing="0"/>
                    <w:ind w:right="0" w:rightChars="0"/>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施工期</w:t>
                  </w:r>
                </w:p>
              </w:tc>
              <w:tc>
                <w:tcPr>
                  <w:tcW w:w="3305" w:type="pct"/>
                  <w:tcBorders>
                    <w:top w:val="single" w:color="auto" w:sz="12" w:space="0"/>
                    <w:left w:val="single" w:color="auto" w:sz="4" w:space="0"/>
                    <w:bottom w:val="single" w:color="auto" w:sz="4" w:space="0"/>
                    <w:right w:val="single" w:color="auto" w:sz="4" w:space="0"/>
                  </w:tcBorders>
                  <w:noWrap w:val="0"/>
                  <w:vAlign w:val="center"/>
                </w:tcPr>
                <w:p w14:paraId="3FBCEEEE">
                  <w:pPr>
                    <w:pStyle w:val="46"/>
                    <w:keepNext w:val="0"/>
                    <w:keepLines w:val="0"/>
                    <w:pageBreakBefore w:val="0"/>
                    <w:widowControl w:val="0"/>
                    <w:numPr>
                      <w:ilvl w:val="0"/>
                      <w:numId w:val="0"/>
                    </w:numPr>
                    <w:suppressLineNumbers w:val="0"/>
                    <w:kinsoku/>
                    <w:wordWrap w:val="0"/>
                    <w:overflowPunct/>
                    <w:topLinePunct w:val="0"/>
                    <w:autoSpaceDE/>
                    <w:autoSpaceDN w:val="0"/>
                    <w:bidi w:val="0"/>
                    <w:adjustRightInd/>
                    <w:snapToGrid/>
                    <w:spacing w:before="0" w:beforeAutospacing="0" w:after="0" w:afterAutospacing="0"/>
                    <w:ind w:right="0" w:rightChars="0"/>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highlight w:val="none"/>
                    </w:rPr>
                    <w:t>《建筑施工噪声排放标准》（GB12523-20</w:t>
                  </w:r>
                  <w:r>
                    <w:rPr>
                      <w:rFonts w:hint="eastAsia" w:ascii="Times New Roman" w:hAnsi="Times New Roman" w:eastAsia="宋体" w:cs="Times New Roman"/>
                      <w:color w:val="auto"/>
                      <w:sz w:val="21"/>
                      <w:szCs w:val="21"/>
                      <w:highlight w:val="none"/>
                      <w:lang w:val="en-US" w:eastAsia="zh-CN"/>
                    </w:rPr>
                    <w:t>25</w:t>
                  </w:r>
                  <w:r>
                    <w:rPr>
                      <w:rFonts w:hint="default" w:ascii="Times New Roman" w:hAnsi="Times New Roman" w:eastAsia="宋体" w:cs="Times New Roman"/>
                      <w:color w:val="auto"/>
                      <w:sz w:val="21"/>
                      <w:szCs w:val="21"/>
                      <w:highlight w:val="none"/>
                    </w:rPr>
                    <w:t>）中排放限值标准</w:t>
                  </w:r>
                </w:p>
              </w:tc>
              <w:tc>
                <w:tcPr>
                  <w:tcW w:w="1098" w:type="pct"/>
                  <w:tcBorders>
                    <w:top w:val="single" w:color="auto" w:sz="12" w:space="0"/>
                    <w:left w:val="single" w:color="auto" w:sz="4" w:space="0"/>
                    <w:bottom w:val="single" w:color="auto" w:sz="4" w:space="0"/>
                  </w:tcBorders>
                  <w:noWrap w:val="0"/>
                  <w:vAlign w:val="center"/>
                </w:tcPr>
                <w:p w14:paraId="6EC77F2D">
                  <w:pPr>
                    <w:pStyle w:val="46"/>
                    <w:keepNext w:val="0"/>
                    <w:keepLines w:val="0"/>
                    <w:pageBreakBefore w:val="0"/>
                    <w:widowControl w:val="0"/>
                    <w:numPr>
                      <w:ilvl w:val="0"/>
                      <w:numId w:val="0"/>
                    </w:numPr>
                    <w:suppressLineNumbers w:val="0"/>
                    <w:kinsoku/>
                    <w:overflowPunct/>
                    <w:topLinePunct w:val="0"/>
                    <w:autoSpaceDE/>
                    <w:autoSpaceDN w:val="0"/>
                    <w:bidi w:val="0"/>
                    <w:adjustRightInd/>
                    <w:snapToGrid/>
                    <w:spacing w:before="0" w:beforeAutospacing="0" w:after="0" w:afterAutospacing="0"/>
                    <w:ind w:right="0" w:rightChars="0"/>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昼间70dB（A）、夜间55dB（A）</w:t>
                  </w:r>
                </w:p>
              </w:tc>
            </w:tr>
            <w:tr w14:paraId="56EE59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596" w:type="pct"/>
                  <w:tcBorders>
                    <w:top w:val="single" w:color="auto" w:sz="4" w:space="0"/>
                    <w:bottom w:val="single" w:color="auto" w:sz="12" w:space="0"/>
                    <w:right w:val="single" w:color="auto" w:sz="4" w:space="0"/>
                  </w:tcBorders>
                  <w:noWrap w:val="0"/>
                  <w:vAlign w:val="center"/>
                </w:tcPr>
                <w:p w14:paraId="2679BAB6">
                  <w:pPr>
                    <w:pStyle w:val="46"/>
                    <w:keepNext w:val="0"/>
                    <w:keepLines w:val="0"/>
                    <w:pageBreakBefore w:val="0"/>
                    <w:widowControl w:val="0"/>
                    <w:numPr>
                      <w:ilvl w:val="0"/>
                      <w:numId w:val="0"/>
                    </w:numPr>
                    <w:suppressLineNumbers w:val="0"/>
                    <w:kinsoku/>
                    <w:overflowPunct/>
                    <w:topLinePunct w:val="0"/>
                    <w:autoSpaceDE/>
                    <w:autoSpaceDN w:val="0"/>
                    <w:bidi w:val="0"/>
                    <w:adjustRightInd/>
                    <w:snapToGrid/>
                    <w:spacing w:before="0" w:beforeAutospacing="0" w:after="0" w:afterAutospacing="0"/>
                    <w:ind w:right="0" w:rightChars="0"/>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运营期</w:t>
                  </w:r>
                </w:p>
              </w:tc>
              <w:tc>
                <w:tcPr>
                  <w:tcW w:w="3305" w:type="pct"/>
                  <w:tcBorders>
                    <w:top w:val="single" w:color="auto" w:sz="4" w:space="0"/>
                    <w:left w:val="single" w:color="auto" w:sz="4" w:space="0"/>
                    <w:bottom w:val="single" w:color="auto" w:sz="12" w:space="0"/>
                    <w:right w:val="single" w:color="auto" w:sz="4" w:space="0"/>
                  </w:tcBorders>
                  <w:noWrap w:val="0"/>
                  <w:vAlign w:val="center"/>
                </w:tcPr>
                <w:p w14:paraId="5068CDD8">
                  <w:pPr>
                    <w:pStyle w:val="46"/>
                    <w:keepNext w:val="0"/>
                    <w:keepLines w:val="0"/>
                    <w:pageBreakBefore w:val="0"/>
                    <w:widowControl w:val="0"/>
                    <w:numPr>
                      <w:ilvl w:val="0"/>
                      <w:numId w:val="0"/>
                    </w:numPr>
                    <w:suppressLineNumbers w:val="0"/>
                    <w:kinsoku/>
                    <w:wordWrap w:val="0"/>
                    <w:overflowPunct/>
                    <w:topLinePunct w:val="0"/>
                    <w:autoSpaceDE/>
                    <w:autoSpaceDN w:val="0"/>
                    <w:bidi w:val="0"/>
                    <w:adjustRightInd/>
                    <w:snapToGrid/>
                    <w:spacing w:before="0" w:beforeAutospacing="0" w:after="0" w:afterAutospacing="0"/>
                    <w:ind w:right="0" w:rightChars="0"/>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kern w:val="0"/>
                      <w:sz w:val="21"/>
                      <w:szCs w:val="21"/>
                    </w:rPr>
                    <w:t>《工业企业厂界环境噪声</w:t>
                  </w:r>
                  <w:r>
                    <w:rPr>
                      <w:rFonts w:hint="default" w:ascii="Times New Roman" w:hAnsi="Times New Roman" w:eastAsia="宋体" w:cs="Times New Roman"/>
                      <w:color w:val="auto"/>
                      <w:sz w:val="21"/>
                      <w:szCs w:val="21"/>
                      <w:highlight w:val="none"/>
                    </w:rPr>
                    <w:t>排放标准》（GB12348-2008）</w:t>
                  </w:r>
                  <w:r>
                    <w:rPr>
                      <w:rFonts w:hint="default" w:ascii="Times New Roman" w:hAnsi="Times New Roman" w:eastAsia="宋体" w:cs="Times New Roman"/>
                      <w:color w:val="auto"/>
                      <w:sz w:val="21"/>
                      <w:szCs w:val="21"/>
                      <w:highlight w:val="none"/>
                      <w:lang w:val="en-US" w:eastAsia="zh-CN"/>
                    </w:rPr>
                    <w:t>中</w:t>
                  </w:r>
                  <w:r>
                    <w:rPr>
                      <w:rFonts w:hint="eastAsia" w:ascii="Times New Roman"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rPr>
                    <w:t>类标准</w:t>
                  </w:r>
                </w:p>
              </w:tc>
              <w:tc>
                <w:tcPr>
                  <w:tcW w:w="1098" w:type="pct"/>
                  <w:tcBorders>
                    <w:top w:val="single" w:color="auto" w:sz="4" w:space="0"/>
                    <w:left w:val="single" w:color="auto" w:sz="4" w:space="0"/>
                    <w:bottom w:val="single" w:color="auto" w:sz="12" w:space="0"/>
                  </w:tcBorders>
                  <w:noWrap w:val="0"/>
                  <w:vAlign w:val="center"/>
                </w:tcPr>
                <w:p w14:paraId="434114E3">
                  <w:pPr>
                    <w:pStyle w:val="46"/>
                    <w:keepNext w:val="0"/>
                    <w:keepLines w:val="0"/>
                    <w:pageBreakBefore w:val="0"/>
                    <w:widowControl w:val="0"/>
                    <w:numPr>
                      <w:ilvl w:val="0"/>
                      <w:numId w:val="0"/>
                    </w:numPr>
                    <w:suppressLineNumbers w:val="0"/>
                    <w:kinsoku/>
                    <w:overflowPunct/>
                    <w:topLinePunct w:val="0"/>
                    <w:autoSpaceDE/>
                    <w:autoSpaceDN w:val="0"/>
                    <w:bidi w:val="0"/>
                    <w:adjustRightInd/>
                    <w:snapToGrid/>
                    <w:spacing w:before="0" w:beforeAutospacing="0" w:after="0" w:afterAutospacing="0"/>
                    <w:ind w:right="0" w:rightChars="0"/>
                    <w:jc w:val="center"/>
                    <w:textAlignment w:val="auto"/>
                    <w:rPr>
                      <w:rFonts w:hint="default" w:ascii="Times New Roman" w:hAnsi="Times New Roman" w:eastAsia="宋体" w:cs="Times New Roman"/>
                      <w:color w:val="auto"/>
                      <w:sz w:val="21"/>
                      <w:szCs w:val="21"/>
                      <w:vertAlign w:val="baseline"/>
                      <w:lang w:val="en-US" w:eastAsia="zh-CN"/>
                    </w:rPr>
                  </w:pPr>
                  <w:r>
                    <w:rPr>
                      <w:rFonts w:hint="default" w:ascii="Times New Roman" w:hAnsi="Times New Roman" w:eastAsia="宋体" w:cs="Times New Roman"/>
                      <w:color w:val="auto"/>
                      <w:sz w:val="21"/>
                      <w:szCs w:val="21"/>
                      <w:vertAlign w:val="baseline"/>
                      <w:lang w:val="en-US" w:eastAsia="zh-CN"/>
                    </w:rPr>
                    <w:t>昼间</w:t>
                  </w:r>
                  <w:r>
                    <w:rPr>
                      <w:rFonts w:hint="eastAsia" w:ascii="Times New Roman" w:hAnsi="Times New Roman" w:eastAsia="宋体" w:cs="Times New Roman"/>
                      <w:color w:val="auto"/>
                      <w:sz w:val="21"/>
                      <w:szCs w:val="21"/>
                      <w:vertAlign w:val="baseline"/>
                      <w:lang w:val="en-US" w:eastAsia="zh-CN"/>
                    </w:rPr>
                    <w:t>6</w:t>
                  </w:r>
                  <w:r>
                    <w:rPr>
                      <w:rFonts w:hint="eastAsia" w:ascii="Times New Roman" w:cs="Times New Roman"/>
                      <w:color w:val="auto"/>
                      <w:sz w:val="21"/>
                      <w:szCs w:val="21"/>
                      <w:vertAlign w:val="baseline"/>
                      <w:lang w:val="en-US" w:eastAsia="zh-CN"/>
                    </w:rPr>
                    <w:t>0</w:t>
                  </w:r>
                  <w:r>
                    <w:rPr>
                      <w:rFonts w:hint="default" w:ascii="Times New Roman" w:hAnsi="Times New Roman" w:eastAsia="宋体" w:cs="Times New Roman"/>
                      <w:color w:val="auto"/>
                      <w:sz w:val="21"/>
                      <w:szCs w:val="21"/>
                      <w:vertAlign w:val="baseline"/>
                      <w:lang w:val="en-US" w:eastAsia="zh-CN"/>
                    </w:rPr>
                    <w:t>dB（A）、夜间</w:t>
                  </w:r>
                  <w:r>
                    <w:rPr>
                      <w:rFonts w:hint="eastAsia" w:ascii="Times New Roman" w:hAnsi="Times New Roman" w:eastAsia="宋体" w:cs="Times New Roman"/>
                      <w:color w:val="auto"/>
                      <w:sz w:val="21"/>
                      <w:szCs w:val="21"/>
                      <w:vertAlign w:val="baseline"/>
                      <w:lang w:val="en-US" w:eastAsia="zh-CN"/>
                    </w:rPr>
                    <w:t>5</w:t>
                  </w:r>
                  <w:r>
                    <w:rPr>
                      <w:rFonts w:hint="eastAsia" w:ascii="Times New Roman" w:cs="Times New Roman"/>
                      <w:color w:val="auto"/>
                      <w:sz w:val="21"/>
                      <w:szCs w:val="21"/>
                      <w:vertAlign w:val="baseline"/>
                      <w:lang w:val="en-US" w:eastAsia="zh-CN"/>
                    </w:rPr>
                    <w:t>0</w:t>
                  </w:r>
                  <w:r>
                    <w:rPr>
                      <w:rFonts w:hint="default" w:ascii="Times New Roman" w:hAnsi="Times New Roman" w:eastAsia="宋体" w:cs="Times New Roman"/>
                      <w:color w:val="auto"/>
                      <w:sz w:val="21"/>
                      <w:szCs w:val="21"/>
                      <w:vertAlign w:val="baseline"/>
                      <w:lang w:val="en-US" w:eastAsia="zh-CN"/>
                    </w:rPr>
                    <w:t>dB（A）</w:t>
                  </w:r>
                </w:p>
              </w:tc>
            </w:tr>
          </w:tbl>
          <w:p w14:paraId="4068BFF6">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b/>
                <w:bCs/>
                <w:color w:val="auto"/>
                <w:kern w:val="0"/>
                <w:sz w:val="24"/>
                <w:szCs w:val="24"/>
                <w:lang w:val="en-US" w:eastAsia="zh-CN"/>
              </w:rPr>
            </w:pPr>
            <w:r>
              <w:rPr>
                <w:rFonts w:hint="eastAsia" w:ascii="Times New Roman" w:hAnsi="Times New Roman" w:cs="Times New Roman"/>
                <w:b/>
                <w:bCs/>
                <w:color w:val="auto"/>
                <w:kern w:val="0"/>
                <w:sz w:val="24"/>
                <w:szCs w:val="24"/>
                <w:lang w:val="en-US" w:eastAsia="zh-CN"/>
              </w:rPr>
              <w:t>4 固体废物污染物控制标准</w:t>
            </w:r>
          </w:p>
          <w:p w14:paraId="29AF6A6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b w:val="0"/>
                <w:bCs w:val="0"/>
                <w:color w:val="auto"/>
                <w:kern w:val="0"/>
                <w:sz w:val="24"/>
                <w:szCs w:val="24"/>
                <w:lang w:val="en-US" w:eastAsia="zh-CN"/>
              </w:rPr>
            </w:pPr>
            <w:r>
              <w:rPr>
                <w:rFonts w:hint="eastAsia" w:ascii="Times New Roman" w:hAnsi="Times New Roman" w:cs="Times New Roman"/>
                <w:b w:val="0"/>
                <w:bCs w:val="0"/>
                <w:color w:val="auto"/>
                <w:kern w:val="0"/>
                <w:sz w:val="24"/>
                <w:szCs w:val="24"/>
                <w:lang w:val="en-US" w:eastAsia="zh-CN"/>
              </w:rPr>
              <w:t>固体废物执行《一般工业固体废物贮存和填埋污染控制标准》（GB18599-2020）。</w:t>
            </w:r>
          </w:p>
          <w:p w14:paraId="3CF4365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 w:val="0"/>
                <w:bCs w:val="0"/>
                <w:color w:val="auto"/>
                <w:kern w:val="0"/>
                <w:sz w:val="24"/>
                <w:szCs w:val="24"/>
                <w:lang w:val="en-US" w:eastAsia="zh-CN"/>
              </w:rPr>
            </w:pPr>
            <w:r>
              <w:rPr>
                <w:rFonts w:hint="eastAsia" w:ascii="Times New Roman" w:hAnsi="Times New Roman" w:eastAsia="宋体" w:cs="Times New Roman"/>
                <w:b w:val="0"/>
                <w:bCs w:val="0"/>
                <w:color w:val="auto"/>
                <w:kern w:val="0"/>
                <w:sz w:val="24"/>
                <w:szCs w:val="24"/>
                <w:lang w:val="en-US" w:eastAsia="zh-CN"/>
              </w:rPr>
              <w:t>危险废物执行《危险废物贮存污染控制标准》（GB18597-2023）。</w:t>
            </w:r>
          </w:p>
        </w:tc>
      </w:tr>
      <w:tr w14:paraId="6AFE53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861" w:type="dxa"/>
            <w:noWrap w:val="0"/>
            <w:vAlign w:val="center"/>
          </w:tcPr>
          <w:p w14:paraId="4C6453ED">
            <w:pPr>
              <w:adjustRightInd w:val="0"/>
              <w:snapToGrid w:val="0"/>
              <w:jc w:val="center"/>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总量</w:t>
            </w:r>
          </w:p>
          <w:p w14:paraId="6E9AFA58">
            <w:pPr>
              <w:adjustRightInd w:val="0"/>
              <w:snapToGrid w:val="0"/>
              <w:jc w:val="center"/>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控制</w:t>
            </w:r>
          </w:p>
          <w:p w14:paraId="21F9764D">
            <w:pPr>
              <w:adjustRightInd w:val="0"/>
              <w:snapToGrid w:val="0"/>
              <w:jc w:val="center"/>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指标</w:t>
            </w:r>
          </w:p>
        </w:tc>
        <w:tc>
          <w:tcPr>
            <w:tcW w:w="8183" w:type="dxa"/>
            <w:noWrap w:val="0"/>
            <w:vAlign w:val="center"/>
          </w:tcPr>
          <w:p w14:paraId="5D50BF9A">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hint="eastAsia" w:ascii="Times New Roman" w:hAnsi="Times New Roman" w:cs="Times New Roman"/>
                <w:color w:val="auto"/>
                <w:kern w:val="0"/>
                <w:sz w:val="24"/>
                <w:szCs w:val="24"/>
                <w:lang w:val="en-US" w:eastAsia="zh-CN"/>
              </w:rPr>
            </w:pPr>
            <w:r>
              <w:rPr>
                <w:rFonts w:hint="eastAsia" w:ascii="Times New Roman" w:hAnsi="Times New Roman" w:cs="Times New Roman"/>
                <w:color w:val="auto"/>
                <w:kern w:val="0"/>
                <w:sz w:val="24"/>
                <w:szCs w:val="24"/>
                <w:lang w:val="en-US" w:eastAsia="zh-CN"/>
              </w:rPr>
              <w:t>无</w:t>
            </w:r>
          </w:p>
          <w:p w14:paraId="3D478CA1">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center"/>
              <w:textAlignment w:val="auto"/>
              <w:rPr>
                <w:rFonts w:hint="eastAsia" w:ascii="Times New Roman" w:hAnsi="Times New Roman" w:cs="Times New Roman"/>
                <w:color w:val="auto"/>
                <w:kern w:val="0"/>
                <w:sz w:val="24"/>
                <w:szCs w:val="24"/>
                <w:lang w:val="en-US" w:eastAsia="zh-CN"/>
              </w:rPr>
            </w:pPr>
          </w:p>
          <w:p w14:paraId="307C58C9">
            <w:pPr>
              <w:keepNext w:val="0"/>
              <w:keepLines w:val="0"/>
              <w:pageBreakBefore w:val="0"/>
              <w:widowControl w:val="0"/>
              <w:kinsoku/>
              <w:wordWrap/>
              <w:overflowPunct/>
              <w:topLinePunct w:val="0"/>
              <w:autoSpaceDE/>
              <w:autoSpaceDN/>
              <w:bidi w:val="0"/>
              <w:adjustRightInd w:val="0"/>
              <w:snapToGrid w:val="0"/>
              <w:spacing w:line="560" w:lineRule="exact"/>
              <w:ind w:firstLine="0" w:firstLineChars="0"/>
              <w:jc w:val="both"/>
              <w:textAlignment w:val="auto"/>
              <w:rPr>
                <w:rFonts w:hint="default" w:ascii="Times New Roman" w:hAnsi="Times New Roman" w:cs="Times New Roman"/>
                <w:color w:val="auto"/>
                <w:kern w:val="0"/>
                <w:sz w:val="24"/>
                <w:szCs w:val="24"/>
                <w:lang w:val="en-US" w:eastAsia="zh-CN"/>
              </w:rPr>
            </w:pPr>
          </w:p>
        </w:tc>
      </w:tr>
    </w:tbl>
    <w:p w14:paraId="28A4BC5D">
      <w:pPr>
        <w:pStyle w:val="24"/>
        <w:jc w:val="center"/>
        <w:outlineLvl w:val="0"/>
        <w:rPr>
          <w:rFonts w:ascii="黑体" w:hAnsi="黑体" w:eastAsia="黑体"/>
          <w:snapToGrid w:val="0"/>
          <w:color w:val="auto"/>
          <w:sz w:val="30"/>
          <w:szCs w:val="30"/>
        </w:rPr>
      </w:pPr>
      <w:r>
        <w:rPr>
          <w:rFonts w:ascii="黑体" w:hAnsi="黑体" w:eastAsia="黑体"/>
          <w:snapToGrid w:val="0"/>
          <w:color w:val="auto"/>
          <w:sz w:val="36"/>
          <w:szCs w:val="36"/>
        </w:rPr>
        <w:br w:type="page"/>
      </w:r>
      <w:r>
        <w:rPr>
          <w:rFonts w:hint="eastAsia" w:ascii="黑体" w:hAnsi="黑体" w:eastAsia="黑体"/>
          <w:snapToGrid w:val="0"/>
          <w:color w:val="auto"/>
          <w:sz w:val="30"/>
          <w:szCs w:val="30"/>
        </w:rPr>
        <w:t>四、主要环境影响和保护措施</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6"/>
        <w:gridCol w:w="8162"/>
      </w:tblGrid>
      <w:tr w14:paraId="4298D7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1712" w:hRule="atLeast"/>
          <w:jc w:val="center"/>
        </w:trPr>
        <w:tc>
          <w:tcPr>
            <w:tcW w:w="746" w:type="dxa"/>
            <w:noWrap w:val="0"/>
            <w:tcMar>
              <w:left w:w="28" w:type="dxa"/>
              <w:right w:w="28" w:type="dxa"/>
            </w:tcMar>
            <w:vAlign w:val="center"/>
          </w:tcPr>
          <w:p w14:paraId="3E0889BD">
            <w:pPr>
              <w:pStyle w:val="24"/>
              <w:adjustRightInd w:val="0"/>
              <w:snapToGrid w:val="0"/>
              <w:spacing w:before="0" w:beforeAutospacing="0" w:after="0" w:afterAutospacing="0"/>
              <w:jc w:val="center"/>
              <w:rPr>
                <w:rFonts w:hint="default" w:ascii="Times New Roman" w:hAnsi="Times New Roman" w:cs="Times New Roman"/>
                <w:color w:val="auto"/>
                <w:spacing w:val="0"/>
                <w:kern w:val="2"/>
                <w:sz w:val="24"/>
                <w:szCs w:val="24"/>
              </w:rPr>
            </w:pPr>
            <w:r>
              <w:rPr>
                <w:rFonts w:hint="default" w:ascii="Times New Roman" w:hAnsi="Times New Roman" w:cs="Times New Roman"/>
                <w:color w:val="auto"/>
                <w:spacing w:val="0"/>
                <w:kern w:val="2"/>
                <w:sz w:val="24"/>
                <w:szCs w:val="24"/>
              </w:rPr>
              <w:t>施工</w:t>
            </w:r>
          </w:p>
          <w:p w14:paraId="0CC4B8B8">
            <w:pPr>
              <w:pStyle w:val="24"/>
              <w:adjustRightInd w:val="0"/>
              <w:snapToGrid w:val="0"/>
              <w:spacing w:before="0" w:beforeAutospacing="0" w:after="0" w:afterAutospacing="0"/>
              <w:jc w:val="center"/>
              <w:rPr>
                <w:rFonts w:hint="default" w:ascii="Times New Roman" w:hAnsi="Times New Roman" w:cs="Times New Roman"/>
                <w:color w:val="auto"/>
                <w:spacing w:val="0"/>
                <w:kern w:val="2"/>
                <w:sz w:val="24"/>
                <w:szCs w:val="24"/>
              </w:rPr>
            </w:pPr>
            <w:r>
              <w:rPr>
                <w:rFonts w:hint="default" w:ascii="Times New Roman" w:hAnsi="Times New Roman" w:cs="Times New Roman"/>
                <w:color w:val="auto"/>
                <w:spacing w:val="0"/>
                <w:kern w:val="2"/>
                <w:sz w:val="24"/>
                <w:szCs w:val="24"/>
              </w:rPr>
              <w:t>期环</w:t>
            </w:r>
          </w:p>
          <w:p w14:paraId="0B9C042E">
            <w:pPr>
              <w:pStyle w:val="24"/>
              <w:adjustRightInd w:val="0"/>
              <w:snapToGrid w:val="0"/>
              <w:spacing w:before="0" w:beforeAutospacing="0" w:after="0" w:afterAutospacing="0"/>
              <w:jc w:val="center"/>
              <w:rPr>
                <w:rFonts w:hint="default" w:ascii="Times New Roman" w:hAnsi="Times New Roman" w:cs="Times New Roman"/>
                <w:color w:val="auto"/>
                <w:spacing w:val="0"/>
                <w:kern w:val="2"/>
                <w:sz w:val="24"/>
                <w:szCs w:val="24"/>
              </w:rPr>
            </w:pPr>
            <w:r>
              <w:rPr>
                <w:rFonts w:hint="default" w:ascii="Times New Roman" w:hAnsi="Times New Roman" w:cs="Times New Roman"/>
                <w:color w:val="auto"/>
                <w:spacing w:val="0"/>
                <w:kern w:val="2"/>
                <w:sz w:val="24"/>
                <w:szCs w:val="24"/>
              </w:rPr>
              <w:t>境保</w:t>
            </w:r>
          </w:p>
          <w:p w14:paraId="227A2917">
            <w:pPr>
              <w:pStyle w:val="24"/>
              <w:adjustRightInd w:val="0"/>
              <w:snapToGrid w:val="0"/>
              <w:spacing w:before="0" w:beforeAutospacing="0" w:after="0" w:afterAutospacing="0"/>
              <w:jc w:val="center"/>
              <w:rPr>
                <w:rFonts w:hint="default" w:ascii="Times New Roman" w:hAnsi="Times New Roman" w:cs="Times New Roman"/>
                <w:color w:val="auto"/>
                <w:spacing w:val="0"/>
                <w:kern w:val="2"/>
                <w:sz w:val="24"/>
                <w:szCs w:val="24"/>
              </w:rPr>
            </w:pPr>
            <w:r>
              <w:rPr>
                <w:rFonts w:hint="default" w:ascii="Times New Roman" w:hAnsi="Times New Roman" w:cs="Times New Roman"/>
                <w:color w:val="auto"/>
                <w:spacing w:val="0"/>
                <w:kern w:val="2"/>
                <w:sz w:val="24"/>
                <w:szCs w:val="24"/>
              </w:rPr>
              <w:t>护措</w:t>
            </w:r>
          </w:p>
          <w:p w14:paraId="0DBB4BFE">
            <w:pPr>
              <w:pStyle w:val="24"/>
              <w:adjustRightInd w:val="0"/>
              <w:snapToGrid w:val="0"/>
              <w:spacing w:before="0" w:beforeAutospacing="0" w:after="0" w:afterAutospacing="0"/>
              <w:jc w:val="center"/>
              <w:rPr>
                <w:rFonts w:hint="default" w:ascii="Times New Roman" w:hAnsi="Times New Roman" w:cs="Times New Roman"/>
                <w:bCs/>
                <w:color w:val="auto"/>
                <w:spacing w:val="0"/>
                <w:kern w:val="2"/>
                <w:sz w:val="24"/>
                <w:szCs w:val="24"/>
              </w:rPr>
            </w:pPr>
            <w:r>
              <w:rPr>
                <w:rFonts w:hint="default" w:ascii="Times New Roman" w:hAnsi="Times New Roman" w:cs="Times New Roman"/>
                <w:color w:val="auto"/>
                <w:spacing w:val="0"/>
                <w:kern w:val="2"/>
                <w:sz w:val="24"/>
                <w:szCs w:val="24"/>
              </w:rPr>
              <w:t>施</w:t>
            </w:r>
          </w:p>
        </w:tc>
        <w:tc>
          <w:tcPr>
            <w:tcW w:w="8162" w:type="dxa"/>
            <w:noWrap w:val="0"/>
            <w:vAlign w:val="top"/>
          </w:tcPr>
          <w:p w14:paraId="3AD943F1">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bCs/>
                <w:color w:val="auto"/>
                <w:spacing w:val="0"/>
                <w:sz w:val="24"/>
                <w:szCs w:val="24"/>
                <w:lang w:val="en-US" w:eastAsia="zh-CN"/>
              </w:rPr>
            </w:pPr>
            <w:r>
              <w:rPr>
                <w:rFonts w:hint="eastAsia" w:ascii="Times New Roman" w:hAnsi="Times New Roman" w:cs="Times New Roman"/>
                <w:b/>
                <w:bCs w:val="0"/>
                <w:color w:val="auto"/>
                <w:spacing w:val="0"/>
                <w:sz w:val="24"/>
                <w:szCs w:val="24"/>
                <w:lang w:val="en-US" w:eastAsia="zh-CN"/>
              </w:rPr>
              <w:t>1 施工期大气防治措施</w:t>
            </w:r>
          </w:p>
          <w:p w14:paraId="7AA5F3D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bCs/>
                <w:color w:val="auto"/>
                <w:spacing w:val="0"/>
                <w:sz w:val="24"/>
                <w:szCs w:val="24"/>
                <w:lang w:val="en-US" w:eastAsia="zh-CN"/>
              </w:rPr>
            </w:pPr>
            <w:r>
              <w:rPr>
                <w:rFonts w:hint="eastAsia" w:ascii="Times New Roman" w:hAnsi="Times New Roman" w:cs="Times New Roman"/>
                <w:bCs/>
                <w:color w:val="auto"/>
                <w:spacing w:val="0"/>
                <w:sz w:val="24"/>
                <w:szCs w:val="24"/>
                <w:lang w:val="en-US" w:eastAsia="zh-CN"/>
              </w:rPr>
              <w:t>本项目施工期主要是地坪硬化、洗车台、沉淀池清表平整等，涉及的大气污染物为扬尘、汽车尾气及焊接热熔烟尘。因此，施工期间产生的扬尘将对附近大气环境带来不利影响，必须采取合理可行的防治措施，尽量减轻其污染程度，缩小其影响范围。其主要对策有：</w:t>
            </w:r>
          </w:p>
          <w:p w14:paraId="42FBD33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bCs/>
                <w:color w:val="auto"/>
                <w:spacing w:val="0"/>
                <w:sz w:val="24"/>
                <w:szCs w:val="24"/>
                <w:lang w:val="en-US" w:eastAsia="zh-CN"/>
              </w:rPr>
            </w:pPr>
            <w:r>
              <w:rPr>
                <w:rFonts w:hint="eastAsia" w:ascii="Times New Roman" w:hAnsi="Times New Roman" w:cs="Times New Roman"/>
                <w:bCs/>
                <w:color w:val="auto"/>
                <w:spacing w:val="0"/>
                <w:sz w:val="24"/>
                <w:szCs w:val="24"/>
                <w:lang w:val="en-US" w:eastAsia="zh-CN"/>
              </w:rPr>
              <w:t>（1）应重视施工工地道路的维护和管理，制定洒水抑尘制度，做到每天定期洒水，防止浮尘产生。在干燥和大风气象条件下，应增加洒水次数及洒水量。</w:t>
            </w:r>
          </w:p>
          <w:p w14:paraId="38479B5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bCs/>
                <w:color w:val="auto"/>
                <w:spacing w:val="0"/>
                <w:sz w:val="24"/>
                <w:szCs w:val="24"/>
                <w:lang w:val="en-US" w:eastAsia="zh-CN"/>
              </w:rPr>
            </w:pPr>
            <w:r>
              <w:rPr>
                <w:rFonts w:hint="eastAsia" w:ascii="Times New Roman" w:hAnsi="Times New Roman" w:cs="Times New Roman"/>
                <w:bCs/>
                <w:color w:val="auto"/>
                <w:spacing w:val="0"/>
                <w:sz w:val="24"/>
                <w:szCs w:val="24"/>
                <w:lang w:val="en-US" w:eastAsia="zh-CN"/>
              </w:rPr>
              <w:t>（2）施工期间运输车进出的主干道应定期洒水清扫，保持车辆出入口路面清洁、湿润，以减少汽车轮胎与路面接触而引起的地面扬尘污染，并尽量减缓车速。不得使用空气压缩机来清理车辆、设备和物料的尘埃；施工工地各出入口应设置除车轮泥土设施，以保障车辆不带泥土驶出工地。</w:t>
            </w:r>
          </w:p>
          <w:p w14:paraId="26444FF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bCs/>
                <w:color w:val="auto"/>
                <w:spacing w:val="0"/>
                <w:sz w:val="24"/>
                <w:szCs w:val="24"/>
                <w:lang w:val="en-US" w:eastAsia="zh-CN"/>
              </w:rPr>
            </w:pPr>
            <w:r>
              <w:rPr>
                <w:rFonts w:hint="eastAsia" w:ascii="Times New Roman" w:hAnsi="Times New Roman" w:cs="Times New Roman"/>
                <w:bCs/>
                <w:color w:val="auto"/>
                <w:spacing w:val="0"/>
                <w:sz w:val="24"/>
                <w:szCs w:val="24"/>
                <w:lang w:val="en-US" w:eastAsia="zh-CN"/>
              </w:rPr>
              <w:t>（4）加强运输管理，施工现场采用商品混凝土，不得采用散装水泥；工作车辆及运输车辆在离开施工区时冲洗轮胎，检查装车质量。</w:t>
            </w:r>
          </w:p>
          <w:p w14:paraId="50DBCDC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bCs/>
                <w:color w:val="auto"/>
                <w:spacing w:val="0"/>
                <w:sz w:val="24"/>
                <w:szCs w:val="24"/>
                <w:lang w:val="en-US" w:eastAsia="zh-CN"/>
              </w:rPr>
            </w:pPr>
            <w:r>
              <w:rPr>
                <w:rFonts w:hint="eastAsia" w:ascii="Times New Roman" w:hAnsi="Times New Roman" w:cs="Times New Roman"/>
                <w:bCs/>
                <w:color w:val="auto"/>
                <w:spacing w:val="0"/>
                <w:sz w:val="24"/>
                <w:szCs w:val="24"/>
                <w:lang w:val="en-US" w:eastAsia="zh-CN"/>
              </w:rPr>
              <w:t>（5）运输建筑材料的车辆应在交通部门指定的线路上通行。</w:t>
            </w:r>
          </w:p>
          <w:p w14:paraId="320E6AC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bCs/>
                <w:color w:val="auto"/>
                <w:spacing w:val="0"/>
                <w:sz w:val="24"/>
                <w:szCs w:val="24"/>
                <w:lang w:val="en-US" w:eastAsia="zh-CN"/>
              </w:rPr>
            </w:pPr>
            <w:r>
              <w:rPr>
                <w:rFonts w:hint="eastAsia" w:ascii="Times New Roman" w:hAnsi="Times New Roman" w:cs="Times New Roman"/>
                <w:bCs/>
                <w:color w:val="auto"/>
                <w:spacing w:val="0"/>
                <w:sz w:val="24"/>
                <w:szCs w:val="24"/>
                <w:lang w:val="en-US" w:eastAsia="zh-CN"/>
              </w:rPr>
              <w:t>（6）加强对各种机械设备、车辆的维修保养，禁止以柴油为燃料的施工机械超负荷工作，减少烟气和颗粒物排放。</w:t>
            </w:r>
          </w:p>
          <w:p w14:paraId="7029F0F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bCs/>
                <w:color w:val="auto"/>
                <w:spacing w:val="0"/>
                <w:sz w:val="24"/>
                <w:szCs w:val="24"/>
                <w:lang w:val="en-US" w:eastAsia="zh-CN"/>
              </w:rPr>
            </w:pPr>
            <w:r>
              <w:rPr>
                <w:rFonts w:hint="eastAsia" w:ascii="Times New Roman" w:hAnsi="Times New Roman" w:cs="Times New Roman"/>
                <w:bCs/>
                <w:color w:val="auto"/>
                <w:spacing w:val="0"/>
                <w:sz w:val="24"/>
                <w:szCs w:val="24"/>
                <w:lang w:val="en-US" w:eastAsia="zh-CN"/>
              </w:rPr>
              <w:t>（7）加强对施工人员的环保教育，增强全体施工人员的环保意识，坚持文明施工、科学施工，尽量减少施工期的大气环境影响。</w:t>
            </w:r>
          </w:p>
          <w:p w14:paraId="424D2F3A">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bCs/>
                <w:color w:val="auto"/>
                <w:spacing w:val="0"/>
                <w:sz w:val="24"/>
                <w:szCs w:val="24"/>
                <w:lang w:val="en-US" w:eastAsia="zh-CN"/>
              </w:rPr>
            </w:pPr>
            <w:r>
              <w:rPr>
                <w:rFonts w:hint="eastAsia" w:ascii="Times New Roman" w:hAnsi="Times New Roman" w:cs="Times New Roman"/>
                <w:b/>
                <w:bCs w:val="0"/>
                <w:color w:val="auto"/>
                <w:spacing w:val="0"/>
                <w:sz w:val="24"/>
                <w:szCs w:val="24"/>
                <w:lang w:val="en-US" w:eastAsia="zh-CN"/>
              </w:rPr>
              <w:t>2 施工期废水污染防治措施</w:t>
            </w:r>
          </w:p>
          <w:p w14:paraId="4AADF21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pacing w:val="0"/>
                <w:sz w:val="24"/>
                <w:szCs w:val="24"/>
                <w:lang w:val="en-US" w:eastAsia="zh-CN"/>
              </w:rPr>
            </w:pPr>
            <w:r>
              <w:rPr>
                <w:rFonts w:hint="eastAsia" w:ascii="Times New Roman" w:hAnsi="Times New Roman" w:eastAsia="宋体" w:cs="Times New Roman"/>
                <w:bCs/>
                <w:color w:val="auto"/>
                <w:spacing w:val="0"/>
                <w:sz w:val="24"/>
                <w:szCs w:val="24"/>
                <w:lang w:val="en-US" w:eastAsia="zh-CN"/>
              </w:rPr>
              <w:t>施工废水主要是施工人员的生活污水和施工废水，生活污水污染物主要为</w:t>
            </w:r>
            <w:r>
              <w:rPr>
                <w:rFonts w:hint="default" w:ascii="Times New Roman" w:hAnsi="Times New Roman" w:eastAsia="宋体" w:cs="Times New Roman"/>
                <w:bCs/>
                <w:color w:val="auto"/>
                <w:spacing w:val="0"/>
                <w:sz w:val="24"/>
                <w:szCs w:val="24"/>
                <w:lang w:val="en-US" w:eastAsia="zh-CN"/>
              </w:rPr>
              <w:t xml:space="preserve"> COD</w:t>
            </w:r>
            <w:r>
              <w:rPr>
                <w:rFonts w:hint="eastAsia" w:ascii="Times New Roman" w:hAnsi="Times New Roman" w:eastAsia="宋体" w:cs="Times New Roman"/>
                <w:bCs/>
                <w:color w:val="auto"/>
                <w:spacing w:val="0"/>
                <w:sz w:val="24"/>
                <w:szCs w:val="24"/>
                <w:lang w:val="en-US" w:eastAsia="zh-CN"/>
              </w:rPr>
              <w:t>、氨氮、</w:t>
            </w:r>
            <w:r>
              <w:rPr>
                <w:rFonts w:hint="default" w:ascii="Times New Roman" w:hAnsi="Times New Roman" w:eastAsia="宋体" w:cs="Times New Roman"/>
                <w:bCs/>
                <w:color w:val="auto"/>
                <w:spacing w:val="0"/>
                <w:sz w:val="24"/>
                <w:szCs w:val="24"/>
                <w:lang w:val="en-US" w:eastAsia="zh-CN"/>
              </w:rPr>
              <w:t>SS</w:t>
            </w:r>
            <w:r>
              <w:rPr>
                <w:rFonts w:hint="eastAsia" w:ascii="Times New Roman" w:hAnsi="Times New Roman" w:eastAsia="宋体" w:cs="Times New Roman"/>
                <w:bCs/>
                <w:color w:val="auto"/>
                <w:spacing w:val="0"/>
                <w:sz w:val="24"/>
                <w:szCs w:val="24"/>
                <w:lang w:val="en-US" w:eastAsia="zh-CN"/>
              </w:rPr>
              <w:t>等；施工废水主要污染物为泥沙、悬浮物等。项目施工期生活污水排入管网，由城北污水处理厂处理；本项目采用商品混凝土，施工用水环节主要为混凝土地坪的养护，水分均蒸发损耗，对环境影响较小。</w:t>
            </w:r>
          </w:p>
          <w:p w14:paraId="349C2A60">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bCs/>
                <w:color w:val="auto"/>
                <w:spacing w:val="0"/>
                <w:sz w:val="24"/>
                <w:szCs w:val="24"/>
                <w:lang w:val="en-US" w:eastAsia="zh-CN"/>
              </w:rPr>
            </w:pPr>
            <w:r>
              <w:rPr>
                <w:rFonts w:hint="eastAsia" w:ascii="Times New Roman" w:hAnsi="Times New Roman" w:cs="Times New Roman"/>
                <w:b/>
                <w:bCs w:val="0"/>
                <w:color w:val="auto"/>
                <w:spacing w:val="0"/>
                <w:sz w:val="24"/>
                <w:szCs w:val="24"/>
                <w:lang w:val="en-US" w:eastAsia="zh-CN"/>
              </w:rPr>
              <w:t>3 施工期噪声污染防治措施</w:t>
            </w:r>
          </w:p>
          <w:p w14:paraId="4ADD7AC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bCs/>
                <w:color w:val="auto"/>
                <w:spacing w:val="0"/>
                <w:sz w:val="24"/>
                <w:szCs w:val="24"/>
                <w:lang w:val="en-US" w:eastAsia="zh-CN"/>
              </w:rPr>
            </w:pPr>
            <w:r>
              <w:rPr>
                <w:rFonts w:hint="eastAsia" w:ascii="Times New Roman" w:hAnsi="Times New Roman" w:cs="Times New Roman"/>
                <w:bCs/>
                <w:color w:val="auto"/>
                <w:spacing w:val="0"/>
                <w:sz w:val="24"/>
                <w:szCs w:val="24"/>
                <w:lang w:val="en-US" w:eastAsia="zh-CN"/>
              </w:rPr>
              <w:t>（1）加强施工管理，合理安排施工作业时间，严格按照施工噪声管理的有关规定执行，严禁夜间进行高噪声施工作业。</w:t>
            </w:r>
          </w:p>
          <w:p w14:paraId="306E7F9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bCs/>
                <w:color w:val="auto"/>
                <w:spacing w:val="0"/>
                <w:sz w:val="24"/>
                <w:szCs w:val="24"/>
                <w:lang w:val="en-US" w:eastAsia="zh-CN"/>
              </w:rPr>
            </w:pPr>
            <w:r>
              <w:rPr>
                <w:rFonts w:hint="eastAsia" w:ascii="Times New Roman" w:hAnsi="Times New Roman" w:cs="Times New Roman"/>
                <w:bCs/>
                <w:color w:val="auto"/>
                <w:spacing w:val="0"/>
                <w:sz w:val="24"/>
                <w:szCs w:val="24"/>
                <w:lang w:val="en-US" w:eastAsia="zh-CN"/>
              </w:rPr>
              <w:t>（2）尽量采用低噪声的施工工具，如以液压工具代替气压工具，同时尽可能采用施工噪声低的施工方法。</w:t>
            </w:r>
          </w:p>
          <w:p w14:paraId="1E4AC90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bCs/>
                <w:color w:val="auto"/>
                <w:spacing w:val="0"/>
                <w:sz w:val="24"/>
                <w:szCs w:val="24"/>
                <w:lang w:val="en-US" w:eastAsia="zh-CN"/>
              </w:rPr>
            </w:pPr>
            <w:r>
              <w:rPr>
                <w:rFonts w:hint="eastAsia" w:ascii="Times New Roman" w:hAnsi="Times New Roman" w:cs="Times New Roman"/>
                <w:bCs/>
                <w:color w:val="auto"/>
                <w:spacing w:val="0"/>
                <w:sz w:val="24"/>
                <w:szCs w:val="24"/>
                <w:lang w:val="en-US" w:eastAsia="zh-CN"/>
              </w:rPr>
              <w:t>（3）在高噪声设备周围设置掩蔽物。</w:t>
            </w:r>
          </w:p>
          <w:p w14:paraId="52DDFD8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bCs/>
                <w:color w:val="auto"/>
                <w:spacing w:val="0"/>
                <w:sz w:val="24"/>
                <w:szCs w:val="24"/>
                <w:lang w:val="en-US" w:eastAsia="zh-CN"/>
              </w:rPr>
            </w:pPr>
            <w:r>
              <w:rPr>
                <w:rFonts w:hint="eastAsia" w:ascii="Times New Roman" w:hAnsi="Times New Roman" w:cs="Times New Roman"/>
                <w:bCs/>
                <w:color w:val="auto"/>
                <w:spacing w:val="0"/>
                <w:sz w:val="24"/>
                <w:szCs w:val="24"/>
                <w:lang w:val="en-US" w:eastAsia="zh-CN"/>
              </w:rPr>
              <w:t>（4）混凝土需要连续浇灌作业前，应做好各项准备工作，将搅拌机运行时间压到最低限度。</w:t>
            </w:r>
          </w:p>
          <w:p w14:paraId="6652DCF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bCs/>
                <w:color w:val="auto"/>
                <w:spacing w:val="0"/>
                <w:sz w:val="24"/>
                <w:szCs w:val="24"/>
                <w:lang w:val="en-US" w:eastAsia="zh-CN"/>
              </w:rPr>
            </w:pPr>
            <w:r>
              <w:rPr>
                <w:rFonts w:hint="eastAsia" w:ascii="Times New Roman" w:hAnsi="Times New Roman" w:cs="Times New Roman"/>
                <w:bCs/>
                <w:color w:val="auto"/>
                <w:spacing w:val="0"/>
                <w:sz w:val="24"/>
                <w:szCs w:val="24"/>
                <w:lang w:val="en-US" w:eastAsia="zh-CN"/>
              </w:rPr>
              <w:t>施工期噪声影响为短期影响，施工结束后即可消除。但考虑施工期对周围环境的影响，要求建设单位在建设过程中必须认真遵守各项管理制度，落实本报告提出的防治措施及建议，做到文明施工、严格管理、缩短工期，力争将项目建设过程中对周围环境产生的影响降到最低限度。同时，项目外环境周边无居民区、居民点、学校、医院等环境敏感保护目标，项目施工期噪声经采取以上措施后达标排放，对环境影响较小。</w:t>
            </w:r>
          </w:p>
          <w:p w14:paraId="78CEC2A8">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bCs/>
                <w:color w:val="auto"/>
                <w:spacing w:val="0"/>
                <w:sz w:val="24"/>
                <w:szCs w:val="24"/>
                <w:lang w:val="en-US" w:eastAsia="zh-CN"/>
              </w:rPr>
            </w:pPr>
            <w:r>
              <w:rPr>
                <w:rFonts w:hint="eastAsia" w:ascii="Times New Roman" w:hAnsi="Times New Roman" w:cs="Times New Roman"/>
                <w:b/>
                <w:bCs w:val="0"/>
                <w:color w:val="auto"/>
                <w:spacing w:val="0"/>
                <w:sz w:val="24"/>
                <w:szCs w:val="24"/>
                <w:lang w:val="en-US" w:eastAsia="zh-CN"/>
              </w:rPr>
              <w:t>4 施工期固废污染防治措施</w:t>
            </w:r>
          </w:p>
          <w:p w14:paraId="23C0185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bCs/>
                <w:color w:val="auto"/>
                <w:spacing w:val="0"/>
                <w:sz w:val="24"/>
                <w:szCs w:val="24"/>
                <w:lang w:val="en-US" w:eastAsia="zh-CN"/>
              </w:rPr>
            </w:pPr>
            <w:r>
              <w:rPr>
                <w:rFonts w:hint="eastAsia" w:ascii="Times New Roman" w:hAnsi="Times New Roman" w:cs="Times New Roman"/>
                <w:bCs/>
                <w:color w:val="auto"/>
                <w:spacing w:val="0"/>
                <w:sz w:val="24"/>
                <w:szCs w:val="24"/>
                <w:lang w:val="en-US" w:eastAsia="zh-CN"/>
              </w:rPr>
              <w:t>施工过程中产生的建筑垃圾，主要包括砂石、石块、碎砖瓦、废木料、废金属、废钢筋等杂物，散落的砂浆和混凝土、碎砖和碎混凝土块。产生的建筑垃圾在施工场地指定地点储存，并采取洒水、设置围挡等保护措施，待项目运行后进行处置。</w:t>
            </w:r>
          </w:p>
          <w:p w14:paraId="53FBA8B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ascii="Times New Roman" w:hAnsi="Times New Roman" w:cs="Times New Roman"/>
                <w:color w:val="auto"/>
                <w:sz w:val="24"/>
                <w:szCs w:val="24"/>
              </w:rPr>
            </w:pPr>
            <w:r>
              <w:rPr>
                <w:rFonts w:hint="eastAsia" w:ascii="Times New Roman" w:hAnsi="Times New Roman" w:cs="Times New Roman"/>
                <w:bCs/>
                <w:color w:val="auto"/>
                <w:spacing w:val="0"/>
                <w:sz w:val="24"/>
                <w:szCs w:val="24"/>
                <w:lang w:val="en-US" w:eastAsia="zh-CN"/>
              </w:rPr>
              <w:t>施工期施工人员会产生一定量的生活垃圾，统一收集后由环卫部门统一清运。</w:t>
            </w:r>
            <w:r>
              <w:rPr>
                <w:rFonts w:ascii="Times New Roman" w:hAnsi="Times New Roman" w:cs="Times New Roman"/>
                <w:color w:val="auto"/>
                <w:sz w:val="24"/>
                <w:szCs w:val="24"/>
              </w:rPr>
              <w:t>加强环境管理，施工过程中产生的建筑垃圾和生活垃圾可以得到有效处理和处置，对周边环境影响较小。</w:t>
            </w:r>
          </w:p>
          <w:p w14:paraId="57D06BDE">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ascii="Times New Roman" w:hAnsi="Times New Roman" w:cs="Times New Roman"/>
                <w:color w:val="auto"/>
                <w:sz w:val="24"/>
                <w:szCs w:val="24"/>
              </w:rPr>
            </w:pPr>
            <w:r>
              <w:rPr>
                <w:rFonts w:hint="eastAsia" w:ascii="Times New Roman" w:hAnsi="Times New Roman" w:cs="Times New Roman"/>
                <w:b/>
                <w:bCs w:val="0"/>
                <w:color w:val="auto"/>
                <w:spacing w:val="0"/>
                <w:sz w:val="24"/>
                <w:szCs w:val="24"/>
                <w:lang w:val="en-US" w:eastAsia="zh-CN"/>
              </w:rPr>
              <w:t>5 施工期生态影响减缓措施</w:t>
            </w:r>
          </w:p>
          <w:p w14:paraId="7C2C184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ascii="宋体" w:hAnsi="宋体" w:eastAsia="宋体" w:cs="宋体"/>
                <w:color w:val="auto"/>
                <w:sz w:val="24"/>
                <w:szCs w:val="24"/>
              </w:rPr>
              <w:t>施工场地开挖、土方转运产生扬尘，颗粒物随气流沉降至南侧耕地农作物叶面，覆盖植株表面，在干燥大风时段可能轻微影响作物光合与呼吸作用；施工活动严格控制作业边界，严禁施工机械、物料越界碾压、占用南侧耕地。施工结束后，对施工便道、临时堆料区等临时扰动区域进行土地平整、覆土，采取植被恢复措施，降低施工扰动带来的生态破坏。</w:t>
            </w:r>
          </w:p>
        </w:tc>
      </w:tr>
      <w:tr w14:paraId="5B1E2C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 w:hRule="atLeast"/>
          <w:jc w:val="center"/>
        </w:trPr>
        <w:tc>
          <w:tcPr>
            <w:tcW w:w="746" w:type="dxa"/>
            <w:noWrap w:val="0"/>
            <w:tcMar>
              <w:left w:w="28" w:type="dxa"/>
              <w:right w:w="28" w:type="dxa"/>
            </w:tcMar>
            <w:vAlign w:val="center"/>
          </w:tcPr>
          <w:p w14:paraId="7F11C5C4">
            <w:pPr>
              <w:adjustRightInd w:val="0"/>
              <w:snapToGrid w:val="0"/>
              <w:jc w:val="center"/>
              <w:rPr>
                <w:rFonts w:hint="default" w:ascii="Times New Roman" w:hAnsi="Times New Roman" w:cs="Times New Roman"/>
                <w:bCs/>
                <w:color w:val="auto"/>
                <w:spacing w:val="0"/>
                <w:sz w:val="24"/>
                <w:szCs w:val="24"/>
              </w:rPr>
            </w:pPr>
            <w:r>
              <w:rPr>
                <w:rFonts w:hint="default" w:ascii="Times New Roman" w:hAnsi="Times New Roman" w:cs="Times New Roman"/>
                <w:bCs/>
                <w:color w:val="auto"/>
                <w:spacing w:val="0"/>
                <w:sz w:val="24"/>
                <w:szCs w:val="24"/>
              </w:rPr>
              <w:t>运营</w:t>
            </w:r>
          </w:p>
          <w:p w14:paraId="4671820C">
            <w:pPr>
              <w:adjustRightInd w:val="0"/>
              <w:snapToGrid w:val="0"/>
              <w:jc w:val="center"/>
              <w:rPr>
                <w:rFonts w:hint="default" w:ascii="Times New Roman" w:hAnsi="Times New Roman" w:cs="Times New Roman"/>
                <w:bCs/>
                <w:color w:val="auto"/>
                <w:spacing w:val="0"/>
                <w:sz w:val="24"/>
                <w:szCs w:val="24"/>
              </w:rPr>
            </w:pPr>
            <w:r>
              <w:rPr>
                <w:rFonts w:hint="default" w:ascii="Times New Roman" w:hAnsi="Times New Roman" w:cs="Times New Roman"/>
                <w:bCs/>
                <w:color w:val="auto"/>
                <w:spacing w:val="0"/>
                <w:sz w:val="24"/>
                <w:szCs w:val="24"/>
              </w:rPr>
              <w:t>期环</w:t>
            </w:r>
          </w:p>
          <w:p w14:paraId="25CFB3DE">
            <w:pPr>
              <w:adjustRightInd w:val="0"/>
              <w:snapToGrid w:val="0"/>
              <w:jc w:val="center"/>
              <w:rPr>
                <w:rFonts w:hint="default" w:ascii="Times New Roman" w:hAnsi="Times New Roman" w:cs="Times New Roman"/>
                <w:bCs/>
                <w:color w:val="auto"/>
                <w:spacing w:val="0"/>
                <w:sz w:val="24"/>
                <w:szCs w:val="24"/>
              </w:rPr>
            </w:pPr>
            <w:r>
              <w:rPr>
                <w:rFonts w:hint="default" w:ascii="Times New Roman" w:hAnsi="Times New Roman" w:cs="Times New Roman"/>
                <w:bCs/>
                <w:color w:val="auto"/>
                <w:spacing w:val="0"/>
                <w:sz w:val="24"/>
                <w:szCs w:val="24"/>
              </w:rPr>
              <w:t>境影</w:t>
            </w:r>
          </w:p>
          <w:p w14:paraId="39CC0554">
            <w:pPr>
              <w:adjustRightInd w:val="0"/>
              <w:snapToGrid w:val="0"/>
              <w:jc w:val="center"/>
              <w:rPr>
                <w:rFonts w:hint="default" w:ascii="Times New Roman" w:hAnsi="Times New Roman" w:cs="Times New Roman"/>
                <w:bCs/>
                <w:color w:val="auto"/>
                <w:spacing w:val="0"/>
                <w:sz w:val="24"/>
                <w:szCs w:val="24"/>
              </w:rPr>
            </w:pPr>
            <w:r>
              <w:rPr>
                <w:rFonts w:hint="default" w:ascii="Times New Roman" w:hAnsi="Times New Roman" w:cs="Times New Roman"/>
                <w:bCs/>
                <w:color w:val="auto"/>
                <w:spacing w:val="0"/>
                <w:sz w:val="24"/>
                <w:szCs w:val="24"/>
              </w:rPr>
              <w:t>响和</w:t>
            </w:r>
          </w:p>
          <w:p w14:paraId="140D9512">
            <w:pPr>
              <w:adjustRightInd w:val="0"/>
              <w:snapToGrid w:val="0"/>
              <w:jc w:val="center"/>
              <w:rPr>
                <w:rFonts w:hint="default" w:ascii="Times New Roman" w:hAnsi="Times New Roman" w:cs="Times New Roman"/>
                <w:bCs/>
                <w:color w:val="auto"/>
                <w:spacing w:val="0"/>
                <w:sz w:val="24"/>
                <w:szCs w:val="24"/>
              </w:rPr>
            </w:pPr>
            <w:r>
              <w:rPr>
                <w:rFonts w:hint="default" w:ascii="Times New Roman" w:hAnsi="Times New Roman" w:cs="Times New Roman"/>
                <w:bCs/>
                <w:color w:val="auto"/>
                <w:spacing w:val="0"/>
                <w:sz w:val="24"/>
                <w:szCs w:val="24"/>
              </w:rPr>
              <w:t>保护</w:t>
            </w:r>
          </w:p>
          <w:p w14:paraId="1BB5DA7E">
            <w:pPr>
              <w:adjustRightInd w:val="0"/>
              <w:snapToGrid w:val="0"/>
              <w:jc w:val="center"/>
              <w:rPr>
                <w:rFonts w:hint="default" w:ascii="Times New Roman" w:hAnsi="Times New Roman" w:cs="Times New Roman"/>
                <w:bCs/>
                <w:color w:val="auto"/>
                <w:spacing w:val="0"/>
                <w:sz w:val="24"/>
                <w:szCs w:val="24"/>
              </w:rPr>
            </w:pPr>
            <w:r>
              <w:rPr>
                <w:rFonts w:hint="default" w:ascii="Times New Roman" w:hAnsi="Times New Roman" w:cs="Times New Roman"/>
                <w:bCs/>
                <w:color w:val="auto"/>
                <w:spacing w:val="0"/>
                <w:sz w:val="24"/>
                <w:szCs w:val="24"/>
              </w:rPr>
              <w:t>措施</w:t>
            </w:r>
          </w:p>
        </w:tc>
        <w:tc>
          <w:tcPr>
            <w:tcW w:w="8162" w:type="dxa"/>
            <w:noWrap w:val="0"/>
            <w:vAlign w:val="top"/>
          </w:tcPr>
          <w:p w14:paraId="1662833A">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bCs/>
                <w:color w:val="auto"/>
                <w:spacing w:val="0"/>
                <w:sz w:val="24"/>
                <w:szCs w:val="24"/>
                <w:lang w:val="en-US" w:eastAsia="zh-CN"/>
              </w:rPr>
            </w:pPr>
            <w:r>
              <w:rPr>
                <w:rFonts w:hint="eastAsia" w:ascii="Times New Roman" w:hAnsi="Times New Roman" w:cs="Times New Roman"/>
                <w:b/>
                <w:bCs w:val="0"/>
                <w:color w:val="auto"/>
                <w:spacing w:val="0"/>
                <w:sz w:val="24"/>
                <w:szCs w:val="24"/>
                <w:lang w:val="en-US" w:eastAsia="zh-CN"/>
              </w:rPr>
              <w:t>1 废气环境影响及保护措施</w:t>
            </w:r>
          </w:p>
          <w:p w14:paraId="276C686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pacing w:val="0"/>
                <w:sz w:val="24"/>
                <w:szCs w:val="24"/>
                <w:lang w:val="en-US" w:eastAsia="zh-CN"/>
              </w:rPr>
            </w:pPr>
            <w:r>
              <w:rPr>
                <w:rFonts w:hint="eastAsia" w:ascii="Times New Roman" w:hAnsi="Times New Roman" w:cs="Times New Roman"/>
                <w:bCs/>
                <w:color w:val="auto"/>
                <w:spacing w:val="0"/>
                <w:sz w:val="24"/>
                <w:szCs w:val="24"/>
                <w:lang w:val="en-US" w:eastAsia="zh-CN"/>
              </w:rPr>
              <w:t>本项目运营期产生的废气主要为运输车辆道路扬尘、运输车辆装卸粉尘、调配场堆存粉尘。</w:t>
            </w:r>
          </w:p>
          <w:p w14:paraId="0170F755">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bCs/>
                <w:color w:val="auto"/>
                <w:spacing w:val="0"/>
                <w:sz w:val="24"/>
                <w:szCs w:val="24"/>
                <w:lang w:val="en-US" w:eastAsia="zh-CN"/>
              </w:rPr>
            </w:pPr>
            <w:r>
              <w:rPr>
                <w:rFonts w:hint="eastAsia" w:ascii="Times New Roman" w:hAnsi="Times New Roman" w:cs="Times New Roman"/>
                <w:b/>
                <w:bCs w:val="0"/>
                <w:color w:val="auto"/>
                <w:spacing w:val="0"/>
                <w:sz w:val="24"/>
                <w:szCs w:val="24"/>
                <w:lang w:val="en-US" w:eastAsia="zh-CN"/>
              </w:rPr>
              <w:t>1.1 废气污染源核算</w:t>
            </w:r>
          </w:p>
          <w:p w14:paraId="4B21B8A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eastAsia="宋体"/>
                <w:color w:val="auto"/>
                <w:sz w:val="24"/>
                <w:szCs w:val="32"/>
                <w:lang w:val="en-US" w:eastAsia="zh-CN"/>
              </w:rPr>
            </w:pPr>
            <w:r>
              <w:rPr>
                <w:rFonts w:hint="eastAsia" w:ascii="Calibri" w:hAnsi="Calibri" w:cs="Calibri"/>
                <w:color w:val="auto"/>
                <w:sz w:val="24"/>
                <w:szCs w:val="32"/>
                <w:lang w:eastAsia="zh-CN"/>
              </w:rPr>
              <w:t>（</w:t>
            </w:r>
            <w:r>
              <w:rPr>
                <w:rFonts w:hint="eastAsia" w:ascii="Calibri" w:hAnsi="Calibri" w:cs="Calibri"/>
                <w:color w:val="auto"/>
                <w:sz w:val="24"/>
                <w:szCs w:val="32"/>
                <w:lang w:val="en-US" w:eastAsia="zh-CN"/>
              </w:rPr>
              <w:t>1</w:t>
            </w:r>
            <w:r>
              <w:rPr>
                <w:rFonts w:hint="eastAsia" w:ascii="Calibri" w:hAnsi="Calibri" w:cs="Calibri"/>
                <w:color w:val="auto"/>
                <w:sz w:val="24"/>
                <w:szCs w:val="32"/>
                <w:lang w:eastAsia="zh-CN"/>
              </w:rPr>
              <w:t>）</w:t>
            </w:r>
            <w:r>
              <w:rPr>
                <w:color w:val="auto"/>
                <w:sz w:val="24"/>
                <w:szCs w:val="32"/>
              </w:rPr>
              <w:t>运输车辆</w:t>
            </w:r>
            <w:r>
              <w:rPr>
                <w:rFonts w:hint="eastAsia"/>
                <w:color w:val="auto"/>
                <w:sz w:val="24"/>
                <w:szCs w:val="32"/>
              </w:rPr>
              <w:t>道路</w:t>
            </w:r>
            <w:r>
              <w:rPr>
                <w:rFonts w:hint="eastAsia"/>
                <w:color w:val="auto"/>
                <w:sz w:val="24"/>
                <w:szCs w:val="32"/>
                <w:lang w:val="en-US" w:eastAsia="zh-CN"/>
              </w:rPr>
              <w:t>扬尘</w:t>
            </w:r>
          </w:p>
          <w:p w14:paraId="2E6F2B2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color w:val="auto"/>
                <w:sz w:val="22"/>
                <w:szCs w:val="22"/>
              </w:rPr>
            </w:pPr>
            <w:r>
              <w:rPr>
                <w:rFonts w:hint="eastAsia"/>
                <w:color w:val="auto"/>
                <w:sz w:val="24"/>
                <w:szCs w:val="32"/>
              </w:rPr>
              <w:t>项目运输主要是通过公路运输，其运输过程中的道路</w:t>
            </w:r>
            <w:r>
              <w:rPr>
                <w:rFonts w:hint="eastAsia"/>
                <w:color w:val="auto"/>
                <w:sz w:val="24"/>
                <w:szCs w:val="32"/>
                <w:lang w:val="en-US" w:eastAsia="zh-CN"/>
              </w:rPr>
              <w:t>粉尘</w:t>
            </w:r>
            <w:r>
              <w:rPr>
                <w:rFonts w:hint="eastAsia"/>
                <w:color w:val="auto"/>
                <w:sz w:val="24"/>
                <w:szCs w:val="32"/>
              </w:rPr>
              <w:t>量与运输车辆的载重量、轮胎与路面的接触面积及路面含尘量、空气湿度有关，特别是在干旱少雨的季节，道路扬</w:t>
            </w:r>
            <w:r>
              <w:rPr>
                <w:rFonts w:hint="eastAsia"/>
                <w:color w:val="auto"/>
                <w:sz w:val="24"/>
                <w:szCs w:val="24"/>
              </w:rPr>
              <w:t>尘严重。车辆行驶产生的粉尘，在完全干燥情况下，可按下列经验公式计算：</w:t>
            </w:r>
          </w:p>
          <w:p w14:paraId="11EA545C">
            <w:pPr>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color w:val="auto"/>
                <w:sz w:val="24"/>
                <w:szCs w:val="32"/>
              </w:rPr>
            </w:pPr>
            <w:r>
              <w:rPr>
                <w:color w:val="auto"/>
                <w:sz w:val="24"/>
                <w:szCs w:val="32"/>
              </w:rPr>
              <w:object>
                <v:shape id="_x0000_i1025" o:spt="75" type="#_x0000_t75" style="height:37pt;width:172pt;" o:ole="t" filled="f" o:preferrelative="t" stroked="f" coordsize="21600,21600">
                  <v:path/>
                  <v:fill on="f" focussize="0,0"/>
                  <v:stroke on="f"/>
                  <v:imagedata r:id="rId21" o:title=""/>
                  <o:lock v:ext="edit" aspectratio="t"/>
                  <w10:wrap type="none"/>
                  <w10:anchorlock/>
                </v:shape>
                <o:OLEObject Type="Embed" ProgID="Equation.KSEE3" ShapeID="_x0000_i1025" DrawAspect="Content" ObjectID="_1468075725" r:id="rId20">
                  <o:LockedField>false</o:LockedField>
                </o:OLEObject>
              </w:object>
            </w:r>
          </w:p>
          <w:p w14:paraId="1AF5E7C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color w:val="auto"/>
                <w:sz w:val="24"/>
                <w:szCs w:val="32"/>
              </w:rPr>
            </w:pPr>
            <w:r>
              <w:rPr>
                <w:rFonts w:hint="eastAsia"/>
                <w:color w:val="auto"/>
                <w:sz w:val="24"/>
                <w:szCs w:val="32"/>
              </w:rPr>
              <w:t>式中：Q</w:t>
            </w:r>
            <w:r>
              <w:rPr>
                <w:rFonts w:hint="eastAsia"/>
                <w:color w:val="auto"/>
                <w:sz w:val="24"/>
                <w:szCs w:val="32"/>
                <w:lang w:eastAsia="zh-CN"/>
              </w:rPr>
              <w:t>——</w:t>
            </w:r>
            <w:r>
              <w:rPr>
                <w:rFonts w:hint="eastAsia"/>
                <w:color w:val="auto"/>
                <w:sz w:val="24"/>
                <w:szCs w:val="32"/>
              </w:rPr>
              <w:t>汽车行驶时的扬尘，kg/km.辆；</w:t>
            </w:r>
          </w:p>
          <w:p w14:paraId="5413B4CC">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textAlignment w:val="auto"/>
              <w:rPr>
                <w:rFonts w:hint="eastAsia"/>
                <w:color w:val="auto"/>
                <w:sz w:val="24"/>
                <w:szCs w:val="32"/>
              </w:rPr>
            </w:pPr>
            <w:r>
              <w:rPr>
                <w:rFonts w:hint="eastAsia"/>
                <w:color w:val="auto"/>
                <w:sz w:val="24"/>
                <w:szCs w:val="32"/>
              </w:rPr>
              <w:t>V</w:t>
            </w:r>
            <w:r>
              <w:rPr>
                <w:rFonts w:hint="eastAsia"/>
                <w:color w:val="auto"/>
                <w:sz w:val="24"/>
                <w:szCs w:val="32"/>
                <w:lang w:eastAsia="zh-CN"/>
              </w:rPr>
              <w:t>——</w:t>
            </w:r>
            <w:r>
              <w:rPr>
                <w:rFonts w:hint="eastAsia"/>
                <w:color w:val="auto"/>
                <w:sz w:val="24"/>
                <w:szCs w:val="32"/>
              </w:rPr>
              <w:t>汽车速度，km/h；</w:t>
            </w:r>
          </w:p>
          <w:p w14:paraId="027C854A">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textAlignment w:val="auto"/>
              <w:rPr>
                <w:rFonts w:hint="default" w:eastAsia="宋体"/>
                <w:color w:val="auto"/>
                <w:sz w:val="24"/>
                <w:szCs w:val="32"/>
                <w:lang w:val="en-US" w:eastAsia="zh-CN"/>
              </w:rPr>
            </w:pPr>
            <w:r>
              <w:rPr>
                <w:rFonts w:hint="eastAsia"/>
                <w:color w:val="auto"/>
                <w:sz w:val="24"/>
                <w:szCs w:val="32"/>
              </w:rPr>
              <w:t>W</w:t>
            </w:r>
            <w:r>
              <w:rPr>
                <w:rFonts w:hint="eastAsia"/>
                <w:color w:val="auto"/>
                <w:sz w:val="24"/>
                <w:szCs w:val="32"/>
                <w:lang w:eastAsia="zh-CN"/>
              </w:rPr>
              <w:t>——</w:t>
            </w:r>
            <w:r>
              <w:rPr>
                <w:rFonts w:hint="eastAsia"/>
                <w:color w:val="auto"/>
                <w:sz w:val="24"/>
                <w:szCs w:val="32"/>
              </w:rPr>
              <w:t>汽车载重量，</w:t>
            </w:r>
            <w:r>
              <w:rPr>
                <w:rFonts w:hint="eastAsia"/>
                <w:color w:val="auto"/>
                <w:sz w:val="24"/>
                <w:szCs w:val="32"/>
                <w:lang w:val="en-US" w:eastAsia="zh-CN"/>
              </w:rPr>
              <w:t>取40吨</w:t>
            </w:r>
          </w:p>
          <w:p w14:paraId="49E70DE9">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textAlignment w:val="auto"/>
              <w:rPr>
                <w:color w:val="auto"/>
                <w:sz w:val="24"/>
                <w:szCs w:val="32"/>
              </w:rPr>
            </w:pPr>
            <w:r>
              <w:rPr>
                <w:rFonts w:hint="eastAsia"/>
                <w:color w:val="auto"/>
                <w:sz w:val="24"/>
                <w:szCs w:val="32"/>
              </w:rPr>
              <w:t>P</w:t>
            </w:r>
            <w:r>
              <w:rPr>
                <w:rFonts w:hint="eastAsia"/>
                <w:color w:val="auto"/>
                <w:sz w:val="24"/>
                <w:szCs w:val="32"/>
                <w:lang w:eastAsia="zh-CN"/>
              </w:rPr>
              <w:t>——</w:t>
            </w:r>
            <w:r>
              <w:rPr>
                <w:rFonts w:hint="eastAsia"/>
                <w:color w:val="auto"/>
                <w:sz w:val="24"/>
                <w:szCs w:val="32"/>
              </w:rPr>
              <w:t>道路表面粉尘量，</w:t>
            </w:r>
            <w:r>
              <w:rPr>
                <w:rFonts w:hint="eastAsia"/>
                <w:color w:val="auto"/>
                <w:sz w:val="24"/>
                <w:szCs w:val="32"/>
                <w:lang w:val="en-US" w:eastAsia="zh-CN"/>
              </w:rPr>
              <w:t>取0.2</w:t>
            </w:r>
            <w:r>
              <w:rPr>
                <w:rFonts w:hint="eastAsia"/>
                <w:color w:val="auto"/>
                <w:sz w:val="24"/>
                <w:szCs w:val="32"/>
              </w:rPr>
              <w:t>kg/m</w:t>
            </w:r>
            <w:r>
              <w:rPr>
                <w:rFonts w:hint="eastAsia"/>
                <w:color w:val="auto"/>
                <w:sz w:val="24"/>
                <w:szCs w:val="32"/>
                <w:vertAlign w:val="superscript"/>
              </w:rPr>
              <w:t>2</w:t>
            </w:r>
            <w:r>
              <w:rPr>
                <w:rFonts w:hint="eastAsia"/>
                <w:color w:val="auto"/>
                <w:sz w:val="24"/>
                <w:szCs w:val="32"/>
                <w:vertAlign w:val="superscript"/>
                <w:lang w:eastAsia="zh-CN"/>
              </w:rPr>
              <w:t>，</w:t>
            </w:r>
            <w:r>
              <w:rPr>
                <w:rFonts w:hint="eastAsia"/>
                <w:color w:val="auto"/>
                <w:sz w:val="24"/>
                <w:szCs w:val="32"/>
              </w:rPr>
              <w:t>。</w:t>
            </w:r>
          </w:p>
          <w:p w14:paraId="75C0C45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color w:val="auto"/>
              </w:rPr>
            </w:pPr>
            <w:r>
              <w:rPr>
                <w:rFonts w:hint="eastAsia"/>
                <w:color w:val="auto"/>
                <w:sz w:val="24"/>
                <w:szCs w:val="32"/>
              </w:rPr>
              <w:t>项目场区内车辆限速20km/h，取最大起尘量</w:t>
            </w:r>
            <w:r>
              <w:rPr>
                <w:rFonts w:hint="eastAsia"/>
                <w:color w:val="auto"/>
                <w:sz w:val="24"/>
                <w:szCs w:val="32"/>
                <w:lang w:val="en-US" w:eastAsia="zh-CN"/>
              </w:rPr>
              <w:t>1.12</w:t>
            </w:r>
            <w:r>
              <w:rPr>
                <w:rFonts w:hint="eastAsia"/>
                <w:color w:val="auto"/>
                <w:sz w:val="24"/>
                <w:szCs w:val="32"/>
              </w:rPr>
              <w:t>kg/km.辆，场区</w:t>
            </w:r>
            <w:r>
              <w:rPr>
                <w:rFonts w:hint="eastAsia"/>
                <w:color w:val="auto"/>
                <w:sz w:val="24"/>
                <w:szCs w:val="32"/>
                <w:lang w:val="en-US" w:eastAsia="zh-CN"/>
              </w:rPr>
              <w:t>垃圾专用进场</w:t>
            </w:r>
            <w:r>
              <w:rPr>
                <w:rFonts w:hint="eastAsia"/>
                <w:color w:val="auto"/>
                <w:sz w:val="24"/>
                <w:szCs w:val="32"/>
              </w:rPr>
              <w:t>路约</w:t>
            </w:r>
            <w:r>
              <w:rPr>
                <w:rFonts w:hint="eastAsia"/>
                <w:color w:val="auto"/>
                <w:sz w:val="24"/>
                <w:szCs w:val="32"/>
                <w:lang w:val="en-US" w:eastAsia="zh-CN"/>
              </w:rPr>
              <w:t>0.309</w:t>
            </w:r>
            <w:r>
              <w:rPr>
                <w:rFonts w:hint="eastAsia"/>
                <w:color w:val="auto"/>
                <w:sz w:val="24"/>
                <w:szCs w:val="32"/>
              </w:rPr>
              <w:t>km，每天约倒运垃圾</w:t>
            </w:r>
            <w:r>
              <w:rPr>
                <w:rFonts w:hint="eastAsia"/>
                <w:color w:val="auto"/>
                <w:sz w:val="24"/>
                <w:szCs w:val="32"/>
                <w:lang w:val="en-US" w:eastAsia="zh-CN"/>
              </w:rPr>
              <w:t>30</w:t>
            </w:r>
            <w:r>
              <w:rPr>
                <w:rFonts w:hint="eastAsia"/>
                <w:color w:val="auto"/>
                <w:sz w:val="24"/>
                <w:szCs w:val="32"/>
              </w:rPr>
              <w:t>次，因此</w:t>
            </w:r>
            <w:r>
              <w:rPr>
                <w:rFonts w:hint="eastAsia"/>
                <w:color w:val="auto"/>
                <w:sz w:val="24"/>
                <w:szCs w:val="32"/>
                <w:lang w:val="en-US" w:eastAsia="zh-CN"/>
              </w:rPr>
              <w:t>运输</w:t>
            </w:r>
            <w:r>
              <w:rPr>
                <w:rFonts w:hint="eastAsia"/>
                <w:color w:val="auto"/>
                <w:sz w:val="24"/>
                <w:szCs w:val="32"/>
              </w:rPr>
              <w:t>车辆道路</w:t>
            </w:r>
            <w:r>
              <w:rPr>
                <w:rFonts w:hint="eastAsia"/>
                <w:color w:val="auto"/>
                <w:sz w:val="24"/>
                <w:szCs w:val="32"/>
                <w:lang w:val="en-US" w:eastAsia="zh-CN"/>
              </w:rPr>
              <w:t>粉尘</w:t>
            </w:r>
            <w:r>
              <w:rPr>
                <w:rFonts w:hint="eastAsia"/>
                <w:color w:val="auto"/>
                <w:sz w:val="24"/>
                <w:szCs w:val="32"/>
              </w:rPr>
              <w:t>产生量约</w:t>
            </w:r>
            <w:r>
              <w:rPr>
                <w:rFonts w:hint="eastAsia"/>
                <w:color w:val="auto"/>
                <w:sz w:val="24"/>
                <w:szCs w:val="32"/>
                <w:lang w:val="en-US" w:eastAsia="zh-CN"/>
              </w:rPr>
              <w:t>10.34</w:t>
            </w:r>
            <w:r>
              <w:rPr>
                <w:rFonts w:hint="eastAsia"/>
                <w:color w:val="auto"/>
                <w:sz w:val="24"/>
                <w:szCs w:val="32"/>
              </w:rPr>
              <w:t>kg/d（</w:t>
            </w:r>
            <w:r>
              <w:rPr>
                <w:rFonts w:hint="eastAsia"/>
                <w:color w:val="auto"/>
                <w:sz w:val="24"/>
                <w:szCs w:val="32"/>
                <w:lang w:val="en-US" w:eastAsia="zh-CN"/>
              </w:rPr>
              <w:t>3.10</w:t>
            </w:r>
            <w:r>
              <w:rPr>
                <w:rFonts w:hint="eastAsia" w:ascii="Times New Roman" w:eastAsia="宋体"/>
                <w:color w:val="auto"/>
                <w:sz w:val="24"/>
                <w:szCs w:val="32"/>
                <w:lang w:val="en-US" w:eastAsia="zh-CN"/>
              </w:rPr>
              <w:t>t</w:t>
            </w:r>
            <w:r>
              <w:rPr>
                <w:rFonts w:hint="eastAsia"/>
                <w:color w:val="auto"/>
                <w:sz w:val="24"/>
                <w:szCs w:val="32"/>
              </w:rPr>
              <w:t>/a）。通过对道路洒水降尘，</w:t>
            </w:r>
            <w:r>
              <w:rPr>
                <w:rFonts w:hint="eastAsia"/>
                <w:color w:val="auto"/>
                <w:sz w:val="24"/>
                <w:szCs w:val="32"/>
                <w:lang w:val="en-US" w:eastAsia="zh-CN"/>
              </w:rPr>
              <w:t>车辆冲洗、车辆遮盖等措施</w:t>
            </w:r>
            <w:r>
              <w:rPr>
                <w:rFonts w:hint="eastAsia"/>
                <w:color w:val="auto"/>
                <w:sz w:val="24"/>
                <w:szCs w:val="32"/>
              </w:rPr>
              <w:t>可使</w:t>
            </w:r>
            <w:r>
              <w:rPr>
                <w:rFonts w:hint="eastAsia"/>
                <w:color w:val="auto"/>
                <w:sz w:val="24"/>
                <w:szCs w:val="32"/>
                <w:lang w:val="en-US" w:eastAsia="zh-CN"/>
              </w:rPr>
              <w:t>粉尘</w:t>
            </w:r>
            <w:r>
              <w:rPr>
                <w:rFonts w:hint="eastAsia"/>
                <w:color w:val="auto"/>
                <w:sz w:val="24"/>
                <w:szCs w:val="32"/>
              </w:rPr>
              <w:t>量减少</w:t>
            </w:r>
            <w:r>
              <w:rPr>
                <w:rFonts w:hint="eastAsia"/>
                <w:color w:val="auto"/>
                <w:sz w:val="24"/>
                <w:szCs w:val="32"/>
                <w:lang w:val="en-US" w:eastAsia="zh-CN"/>
              </w:rPr>
              <w:t>75</w:t>
            </w:r>
            <w:r>
              <w:rPr>
                <w:rFonts w:hint="eastAsia"/>
                <w:color w:val="auto"/>
                <w:sz w:val="24"/>
                <w:szCs w:val="32"/>
              </w:rPr>
              <w:t>%，因此</w:t>
            </w:r>
            <w:r>
              <w:rPr>
                <w:rFonts w:hint="eastAsia"/>
                <w:color w:val="auto"/>
                <w:sz w:val="24"/>
                <w:szCs w:val="32"/>
                <w:lang w:val="en-US" w:eastAsia="zh-CN"/>
              </w:rPr>
              <w:t>运输</w:t>
            </w:r>
            <w:r>
              <w:rPr>
                <w:rFonts w:hint="eastAsia"/>
                <w:color w:val="auto"/>
                <w:sz w:val="24"/>
                <w:szCs w:val="32"/>
              </w:rPr>
              <w:t>车辆道路</w:t>
            </w:r>
            <w:r>
              <w:rPr>
                <w:rFonts w:hint="eastAsia"/>
                <w:color w:val="auto"/>
                <w:sz w:val="24"/>
                <w:szCs w:val="32"/>
                <w:lang w:val="en-US" w:eastAsia="zh-CN"/>
              </w:rPr>
              <w:t>粉尘</w:t>
            </w:r>
            <w:r>
              <w:rPr>
                <w:rFonts w:hint="eastAsia"/>
                <w:color w:val="auto"/>
                <w:sz w:val="24"/>
                <w:szCs w:val="32"/>
              </w:rPr>
              <w:t>排放量为</w:t>
            </w:r>
            <w:r>
              <w:rPr>
                <w:rFonts w:hint="eastAsia"/>
                <w:color w:val="auto"/>
                <w:sz w:val="24"/>
                <w:szCs w:val="32"/>
                <w:lang w:val="en-US" w:eastAsia="zh-CN"/>
              </w:rPr>
              <w:t>2.59</w:t>
            </w:r>
            <w:r>
              <w:rPr>
                <w:rFonts w:hint="eastAsia"/>
                <w:color w:val="auto"/>
                <w:sz w:val="24"/>
                <w:szCs w:val="32"/>
              </w:rPr>
              <w:t>kg/d（</w:t>
            </w:r>
            <w:r>
              <w:rPr>
                <w:rFonts w:hint="eastAsia"/>
                <w:color w:val="auto"/>
                <w:sz w:val="24"/>
                <w:szCs w:val="32"/>
                <w:lang w:val="en-US" w:eastAsia="zh-CN"/>
              </w:rPr>
              <w:t>0.78t</w:t>
            </w:r>
            <w:r>
              <w:rPr>
                <w:rFonts w:hint="eastAsia"/>
                <w:color w:val="auto"/>
                <w:sz w:val="24"/>
                <w:szCs w:val="32"/>
              </w:rPr>
              <w:t>/a）。</w:t>
            </w:r>
          </w:p>
          <w:p w14:paraId="0099FAD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Calibri" w:hAnsi="Calibri" w:cs="Calibri"/>
                <w:color w:val="auto"/>
                <w:sz w:val="24"/>
                <w:szCs w:val="24"/>
                <w:lang w:val="en-US" w:eastAsia="zh-CN"/>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lang w:eastAsia="zh-CN"/>
              </w:rPr>
              <w:t>）</w:t>
            </w:r>
            <w:r>
              <w:rPr>
                <w:rFonts w:hint="eastAsia" w:ascii="Times New Roman" w:hAnsi="Times New Roman" w:eastAsia="宋体" w:cs="Times New Roman"/>
                <w:color w:val="auto"/>
                <w:sz w:val="24"/>
                <w:szCs w:val="24"/>
                <w:lang w:val="en-US" w:eastAsia="zh-CN"/>
              </w:rPr>
              <w:t>装卸粉尘</w:t>
            </w:r>
          </w:p>
          <w:p w14:paraId="3458157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Calibri" w:hAnsi="Calibri" w:cs="Calibri"/>
                <w:color w:val="auto"/>
                <w:sz w:val="24"/>
                <w:szCs w:val="24"/>
                <w:lang w:eastAsia="zh-CN"/>
              </w:rPr>
            </w:pPr>
            <w:r>
              <w:rPr>
                <w:rFonts w:hint="eastAsia" w:ascii="Calibri" w:hAnsi="Calibri" w:cs="Calibri"/>
                <w:color w:val="auto"/>
                <w:sz w:val="24"/>
                <w:szCs w:val="24"/>
                <w:lang w:val="en-US" w:eastAsia="zh-CN"/>
              </w:rPr>
              <w:t>装卸</w:t>
            </w:r>
            <w:r>
              <w:rPr>
                <w:rFonts w:hint="eastAsia" w:ascii="Calibri" w:hAnsi="Calibri" w:cs="Calibri"/>
                <w:color w:val="auto"/>
                <w:sz w:val="24"/>
                <w:szCs w:val="24"/>
                <w:lang w:eastAsia="zh-CN"/>
              </w:rPr>
              <w:t>过程产生的粉尘采用经验公式进行估算：</w:t>
            </w:r>
          </w:p>
          <w:p w14:paraId="018D4F3D">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eastAsia" w:ascii="Calibri" w:hAnsi="Calibri" w:cs="Calibri"/>
                <w:color w:val="auto"/>
                <w:sz w:val="24"/>
                <w:szCs w:val="24"/>
                <w:lang w:val="en-US" w:eastAsia="zh-CN"/>
              </w:rPr>
            </w:pPr>
            <w:r>
              <w:rPr>
                <w:color w:val="auto"/>
              </w:rPr>
              <w:drawing>
                <wp:inline distT="0" distB="0" distL="114300" distR="114300">
                  <wp:extent cx="2628900" cy="464820"/>
                  <wp:effectExtent l="0" t="0" r="0" b="1905"/>
                  <wp:docPr id="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0"/>
                          <pic:cNvPicPr>
                            <a:picLocks noChangeAspect="1"/>
                          </pic:cNvPicPr>
                        </pic:nvPicPr>
                        <pic:blipFill>
                          <a:blip r:embed="rId22"/>
                          <a:stretch>
                            <a:fillRect/>
                          </a:stretch>
                        </pic:blipFill>
                        <pic:spPr>
                          <a:xfrm>
                            <a:off x="0" y="0"/>
                            <a:ext cx="2628900" cy="464820"/>
                          </a:xfrm>
                          <a:prstGeom prst="rect">
                            <a:avLst/>
                          </a:prstGeom>
                          <a:noFill/>
                          <a:ln>
                            <a:noFill/>
                          </a:ln>
                        </pic:spPr>
                      </pic:pic>
                    </a:graphicData>
                  </a:graphic>
                </wp:inline>
              </w:drawing>
            </w:r>
          </w:p>
          <w:p w14:paraId="0B143CA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式中：Q——物料起尘量，kg/t；</w:t>
            </w:r>
          </w:p>
          <w:p w14:paraId="7B4FF8D5">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u——平均风速，m/s，取</w:t>
            </w:r>
            <w:r>
              <w:rPr>
                <w:rFonts w:hint="eastAsia" w:ascii="Times New Roman" w:hAnsi="Times New Roman" w:eastAsia="宋体" w:cs="Times New Roman"/>
                <w:color w:val="auto"/>
                <w:sz w:val="24"/>
                <w:szCs w:val="24"/>
                <w:lang w:val="en-US" w:eastAsia="zh-CN"/>
              </w:rPr>
              <w:t>1.2</w:t>
            </w:r>
            <w:r>
              <w:rPr>
                <w:rFonts w:hint="default" w:ascii="Times New Roman" w:hAnsi="Times New Roman" w:eastAsia="宋体" w:cs="Times New Roman"/>
                <w:color w:val="auto"/>
                <w:sz w:val="24"/>
                <w:szCs w:val="24"/>
                <w:lang w:val="en-US" w:eastAsia="zh-CN"/>
              </w:rPr>
              <w:t>m/s；</w:t>
            </w:r>
          </w:p>
          <w:p w14:paraId="462187F8">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H——物料落差，m，取1.0m；</w:t>
            </w:r>
          </w:p>
          <w:p w14:paraId="0EDC457A">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w——物料含水率，%，未采取洒水措施物料含水量按</w:t>
            </w:r>
            <w:r>
              <w:rPr>
                <w:rFonts w:hint="eastAsia" w:ascii="Times New Roman" w:hAnsi="Times New Roman" w:eastAsia="宋体" w:cs="Times New Roman"/>
                <w:color w:val="auto"/>
                <w:sz w:val="24"/>
                <w:szCs w:val="24"/>
                <w:lang w:val="en-US" w:eastAsia="zh-CN"/>
              </w:rPr>
              <w:t>5</w:t>
            </w:r>
            <w:r>
              <w:rPr>
                <w:rFonts w:hint="default" w:ascii="Times New Roman" w:hAnsi="Times New Roman" w:eastAsia="宋体" w:cs="Times New Roman"/>
                <w:color w:val="auto"/>
                <w:sz w:val="24"/>
                <w:szCs w:val="24"/>
                <w:lang w:val="en-US" w:eastAsia="zh-CN"/>
              </w:rPr>
              <w:t>%计；</w:t>
            </w:r>
          </w:p>
          <w:p w14:paraId="040974FA">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textAlignment w:val="auto"/>
              <w:rPr>
                <w:rFonts w:hint="eastAsia" w:ascii="Calibri" w:hAnsi="Calibri" w:cs="Calibri"/>
                <w:color w:val="auto"/>
                <w:sz w:val="24"/>
                <w:szCs w:val="24"/>
                <w:lang w:val="en-US" w:eastAsia="zh-CN"/>
              </w:rPr>
            </w:pPr>
            <w:r>
              <w:rPr>
                <w:rFonts w:hint="default" w:ascii="Times New Roman" w:hAnsi="Times New Roman" w:eastAsia="宋体" w:cs="Times New Roman"/>
                <w:color w:val="auto"/>
                <w:sz w:val="24"/>
                <w:szCs w:val="24"/>
                <w:lang w:val="en-US" w:eastAsia="zh-CN"/>
              </w:rPr>
              <w:t>t——物料卸车所用时间，s/t</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取1.0。</w:t>
            </w:r>
          </w:p>
          <w:p w14:paraId="0E93DBA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Calibri" w:hAnsi="Calibri" w:cs="Calibri"/>
                <w:color w:val="auto"/>
                <w:sz w:val="24"/>
                <w:szCs w:val="24"/>
                <w:lang w:val="en-US" w:eastAsia="zh-CN"/>
              </w:rPr>
            </w:pPr>
            <w:r>
              <w:rPr>
                <w:rFonts w:hint="default" w:ascii="Times New Roman" w:hAnsi="Times New Roman" w:eastAsia="宋体" w:cs="Times New Roman"/>
                <w:color w:val="auto"/>
                <w:sz w:val="24"/>
                <w:szCs w:val="24"/>
                <w:lang w:val="en-US" w:eastAsia="zh-CN"/>
              </w:rPr>
              <w:t>根据计算，本项目物料起尘系数为0.04kg/t。</w:t>
            </w:r>
          </w:p>
          <w:p w14:paraId="6D12B9F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Calibri" w:hAnsi="Calibri" w:cs="Calibri"/>
                <w:color w:val="auto"/>
                <w:sz w:val="24"/>
                <w:szCs w:val="24"/>
                <w:lang w:val="en-US" w:eastAsia="zh-CN"/>
              </w:rPr>
            </w:pPr>
            <w:r>
              <w:rPr>
                <w:rFonts w:hint="eastAsia" w:ascii="Times New Roman" w:hAnsi="Times New Roman" w:eastAsia="宋体" w:cs="Times New Roman"/>
                <w:color w:val="auto"/>
                <w:sz w:val="24"/>
                <w:szCs w:val="24"/>
                <w:lang w:val="en-US" w:eastAsia="zh-CN"/>
              </w:rPr>
              <w:t>本项目年</w:t>
            </w:r>
            <w:r>
              <w:rPr>
                <w:rFonts w:hint="eastAsia" w:ascii="Times New Roman" w:hAnsi="Times New Roman" w:eastAsia="宋体" w:cs="Times New Roman"/>
                <w:color w:val="auto"/>
                <w:kern w:val="0"/>
                <w:sz w:val="24"/>
                <w:szCs w:val="22"/>
                <w:highlight w:val="none"/>
                <w:lang w:val="en-US" w:eastAsia="zh-CN"/>
              </w:rPr>
              <w:t>中转建筑垃圾量为35.57万吨</w:t>
            </w:r>
            <w:r>
              <w:rPr>
                <w:rFonts w:hint="default" w:ascii="Times New Roman" w:hAnsi="Times New Roman" w:eastAsia="宋体" w:cs="Times New Roman"/>
                <w:color w:val="auto"/>
                <w:sz w:val="24"/>
                <w:szCs w:val="24"/>
                <w:lang w:val="en-US" w:eastAsia="zh-CN"/>
              </w:rPr>
              <w:t>，</w:t>
            </w:r>
            <w:r>
              <w:rPr>
                <w:rFonts w:hint="eastAsia" w:ascii="Times New Roman" w:hAnsi="Times New Roman" w:eastAsia="宋体" w:cs="Times New Roman"/>
                <w:color w:val="auto"/>
                <w:sz w:val="24"/>
                <w:szCs w:val="24"/>
                <w:lang w:val="en-US" w:eastAsia="zh-CN"/>
              </w:rPr>
              <w:t>年运营300天，则</w:t>
            </w:r>
            <w:r>
              <w:rPr>
                <w:rFonts w:hint="default" w:ascii="Times New Roman" w:hAnsi="Times New Roman" w:eastAsia="宋体" w:cs="Times New Roman"/>
                <w:color w:val="auto"/>
                <w:sz w:val="24"/>
                <w:szCs w:val="24"/>
                <w:lang w:val="en-US" w:eastAsia="zh-CN"/>
              </w:rPr>
              <w:t>日</w:t>
            </w:r>
            <w:r>
              <w:rPr>
                <w:rFonts w:hint="eastAsia" w:ascii="Times New Roman" w:hAnsi="Times New Roman" w:eastAsia="宋体" w:cs="Times New Roman"/>
                <w:color w:val="auto"/>
                <w:sz w:val="24"/>
                <w:szCs w:val="24"/>
                <w:lang w:val="en-US" w:eastAsia="zh-CN"/>
              </w:rPr>
              <w:t>转运</w:t>
            </w:r>
            <w:r>
              <w:rPr>
                <w:rFonts w:hint="default" w:ascii="Times New Roman" w:hAnsi="Times New Roman" w:eastAsia="宋体" w:cs="Times New Roman"/>
                <w:color w:val="auto"/>
                <w:sz w:val="24"/>
                <w:szCs w:val="24"/>
                <w:lang w:val="en-US" w:eastAsia="zh-CN"/>
              </w:rPr>
              <w:t>垃圾量为</w:t>
            </w:r>
            <w:r>
              <w:rPr>
                <w:rFonts w:hint="eastAsia" w:cs="Times New Roman"/>
                <w:color w:val="auto"/>
                <w:sz w:val="24"/>
                <w:szCs w:val="24"/>
                <w:lang w:val="en-US" w:eastAsia="zh-CN"/>
              </w:rPr>
              <w:t>1185.6</w:t>
            </w:r>
            <w:r>
              <w:rPr>
                <w:rFonts w:hint="default" w:ascii="Times New Roman" w:hAnsi="Times New Roman" w:eastAsia="宋体" w:cs="Times New Roman"/>
                <w:color w:val="auto"/>
                <w:sz w:val="24"/>
                <w:szCs w:val="24"/>
                <w:lang w:val="en-US" w:eastAsia="zh-CN"/>
              </w:rPr>
              <w:t>t。经上述公式计算可得，未采取环保措施前</w:t>
            </w:r>
            <w:r>
              <w:rPr>
                <w:rFonts w:hint="eastAsia" w:ascii="Times New Roman" w:hAnsi="Times New Roman" w:eastAsia="宋体" w:cs="Times New Roman"/>
                <w:color w:val="auto"/>
                <w:sz w:val="24"/>
                <w:szCs w:val="24"/>
                <w:lang w:val="en-US" w:eastAsia="zh-CN"/>
              </w:rPr>
              <w:t>装</w:t>
            </w:r>
            <w:r>
              <w:rPr>
                <w:rFonts w:hint="default" w:ascii="Times New Roman" w:hAnsi="Times New Roman" w:eastAsia="宋体" w:cs="Times New Roman"/>
                <w:color w:val="auto"/>
                <w:sz w:val="24"/>
                <w:szCs w:val="24"/>
                <w:lang w:val="en-US" w:eastAsia="zh-CN"/>
              </w:rPr>
              <w:t>卸车过程每天产生的粉尘量为</w:t>
            </w:r>
            <w:r>
              <w:rPr>
                <w:rFonts w:hint="eastAsia" w:cs="Times New Roman"/>
                <w:color w:val="auto"/>
                <w:sz w:val="24"/>
                <w:szCs w:val="24"/>
                <w:lang w:val="en-US" w:eastAsia="zh-CN"/>
              </w:rPr>
              <w:t>47.43</w:t>
            </w:r>
            <w:r>
              <w:rPr>
                <w:rFonts w:hint="default" w:ascii="Times New Roman" w:hAnsi="Times New Roman" w:eastAsia="宋体" w:cs="Times New Roman"/>
                <w:color w:val="auto"/>
                <w:sz w:val="24"/>
                <w:szCs w:val="24"/>
                <w:lang w:val="en-US" w:eastAsia="zh-CN"/>
              </w:rPr>
              <w:t>kg/d</w:t>
            </w:r>
            <w:r>
              <w:rPr>
                <w:rFonts w:hint="eastAsia" w:ascii="Times New Roman" w:hAnsi="Times New Roman" w:eastAsia="宋体" w:cs="Times New Roman"/>
                <w:color w:val="auto"/>
                <w:sz w:val="24"/>
                <w:szCs w:val="24"/>
                <w:lang w:val="en-US" w:eastAsia="zh-CN"/>
              </w:rPr>
              <w:t>（</w:t>
            </w:r>
            <w:r>
              <w:rPr>
                <w:rFonts w:hint="eastAsia" w:cs="Times New Roman"/>
                <w:color w:val="auto"/>
                <w:sz w:val="24"/>
                <w:szCs w:val="24"/>
                <w:lang w:val="en-US" w:eastAsia="zh-CN"/>
              </w:rPr>
              <w:t>14.23</w:t>
            </w:r>
            <w:r>
              <w:rPr>
                <w:rFonts w:hint="default" w:ascii="Times New Roman" w:hAnsi="Times New Roman" w:eastAsia="宋体" w:cs="Times New Roman"/>
                <w:color w:val="auto"/>
                <w:sz w:val="24"/>
                <w:szCs w:val="24"/>
                <w:lang w:val="en-US" w:eastAsia="zh-CN"/>
              </w:rPr>
              <w:t>t</w:t>
            </w:r>
            <w:r>
              <w:rPr>
                <w:rFonts w:hint="eastAsia" w:ascii="Times New Roman" w:hAnsi="Times New Roman" w:eastAsia="宋体" w:cs="Times New Roman"/>
                <w:color w:val="auto"/>
                <w:sz w:val="24"/>
                <w:szCs w:val="24"/>
                <w:lang w:val="en-US" w:eastAsia="zh-CN"/>
              </w:rPr>
              <w:t>/a）</w:t>
            </w:r>
            <w:r>
              <w:rPr>
                <w:rFonts w:hint="default" w:ascii="Times New Roman" w:hAnsi="Times New Roman" w:eastAsia="宋体" w:cs="Times New Roman"/>
                <w:color w:val="auto"/>
                <w:sz w:val="24"/>
                <w:szCs w:val="24"/>
                <w:lang w:val="en-US" w:eastAsia="zh-CN"/>
              </w:rPr>
              <w:t>；物料装卸</w:t>
            </w:r>
            <w:r>
              <w:rPr>
                <w:rFonts w:hint="eastAsia" w:ascii="Times New Roman" w:hAnsi="Times New Roman" w:eastAsia="宋体" w:cs="Times New Roman"/>
                <w:color w:val="auto"/>
                <w:sz w:val="24"/>
                <w:szCs w:val="24"/>
                <w:lang w:val="en-US" w:eastAsia="zh-CN"/>
              </w:rPr>
              <w:t>粉尘</w:t>
            </w:r>
            <w:r>
              <w:rPr>
                <w:rFonts w:hint="default" w:ascii="Times New Roman" w:hAnsi="Times New Roman" w:eastAsia="宋体" w:cs="Times New Roman"/>
                <w:color w:val="auto"/>
                <w:sz w:val="24"/>
                <w:szCs w:val="24"/>
                <w:lang w:val="en-US" w:eastAsia="zh-CN"/>
              </w:rPr>
              <w:t>与物料湿度、粒度有关，环评要求在卸车过程降低倾倒高度，</w:t>
            </w:r>
            <w:r>
              <w:rPr>
                <w:rFonts w:hint="eastAsia" w:ascii="Times New Roman" w:hAnsi="Times New Roman" w:eastAsia="宋体" w:cs="Times New Roman"/>
                <w:color w:val="auto"/>
                <w:sz w:val="24"/>
                <w:szCs w:val="24"/>
                <w:lang w:val="en-US" w:eastAsia="zh-CN"/>
              </w:rPr>
              <w:t>装</w:t>
            </w:r>
            <w:r>
              <w:rPr>
                <w:rFonts w:hint="default" w:ascii="Times New Roman" w:hAnsi="Times New Roman" w:eastAsia="宋体" w:cs="Times New Roman"/>
                <w:color w:val="auto"/>
                <w:sz w:val="24"/>
                <w:szCs w:val="24"/>
                <w:lang w:val="en-US" w:eastAsia="zh-CN"/>
              </w:rPr>
              <w:t>卸车时及时洒水，抑尘效率为75%，采取措施后粉尘排放量为</w:t>
            </w:r>
            <w:r>
              <w:rPr>
                <w:rFonts w:hint="eastAsia" w:cs="Times New Roman"/>
                <w:color w:val="auto"/>
                <w:sz w:val="24"/>
                <w:szCs w:val="24"/>
                <w:lang w:val="en-US" w:eastAsia="zh-CN"/>
              </w:rPr>
              <w:t>11.86</w:t>
            </w:r>
            <w:r>
              <w:rPr>
                <w:rFonts w:hint="default" w:ascii="Times New Roman" w:hAnsi="Times New Roman" w:eastAsia="宋体" w:cs="Times New Roman"/>
                <w:color w:val="auto"/>
                <w:sz w:val="24"/>
                <w:szCs w:val="24"/>
                <w:lang w:val="en-US" w:eastAsia="zh-CN"/>
              </w:rPr>
              <w:t>kg/d，年工作</w:t>
            </w:r>
            <w:r>
              <w:rPr>
                <w:rFonts w:hint="eastAsia" w:ascii="Times New Roman" w:hAnsi="Times New Roman" w:eastAsia="宋体" w:cs="Times New Roman"/>
                <w:color w:val="auto"/>
                <w:sz w:val="24"/>
                <w:szCs w:val="24"/>
                <w:lang w:val="en-US" w:eastAsia="zh-CN"/>
              </w:rPr>
              <w:t>300</w:t>
            </w:r>
            <w:r>
              <w:rPr>
                <w:rFonts w:hint="default" w:ascii="Times New Roman" w:hAnsi="Times New Roman" w:eastAsia="宋体" w:cs="Times New Roman"/>
                <w:color w:val="auto"/>
                <w:sz w:val="24"/>
                <w:szCs w:val="24"/>
                <w:lang w:val="en-US" w:eastAsia="zh-CN"/>
              </w:rPr>
              <w:t>天，粉尘排放量为</w:t>
            </w:r>
            <w:r>
              <w:rPr>
                <w:rFonts w:hint="eastAsia" w:cs="Times New Roman"/>
                <w:color w:val="auto"/>
                <w:sz w:val="24"/>
                <w:szCs w:val="24"/>
                <w:lang w:val="en-US" w:eastAsia="zh-CN"/>
              </w:rPr>
              <w:t>3.56</w:t>
            </w:r>
            <w:r>
              <w:rPr>
                <w:rFonts w:hint="default" w:ascii="Times New Roman" w:hAnsi="Times New Roman" w:eastAsia="宋体" w:cs="Times New Roman"/>
                <w:color w:val="auto"/>
                <w:sz w:val="24"/>
                <w:szCs w:val="24"/>
                <w:lang w:val="en-US" w:eastAsia="zh-CN"/>
              </w:rPr>
              <w:t>t/a</w:t>
            </w:r>
            <w:r>
              <w:rPr>
                <w:rFonts w:hint="eastAsia" w:ascii="Calibri" w:hAnsi="Calibri" w:cs="Calibri"/>
                <w:color w:val="auto"/>
                <w:sz w:val="24"/>
                <w:szCs w:val="24"/>
                <w:lang w:val="en-US" w:eastAsia="zh-CN"/>
              </w:rPr>
              <w:t>。</w:t>
            </w:r>
          </w:p>
          <w:p w14:paraId="1E8C8D8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3</w:t>
            </w:r>
            <w:r>
              <w:rPr>
                <w:rFonts w:hint="default" w:ascii="Times New Roman" w:hAnsi="Times New Roman" w:eastAsia="宋体" w:cs="Times New Roman"/>
                <w:color w:val="auto"/>
                <w:sz w:val="24"/>
                <w:szCs w:val="24"/>
                <w:lang w:eastAsia="zh-CN"/>
              </w:rPr>
              <w:t>）</w:t>
            </w:r>
            <w:r>
              <w:rPr>
                <w:rFonts w:hint="eastAsia" w:ascii="Times New Roman" w:hAnsi="Times New Roman" w:cs="Times New Roman"/>
                <w:bCs/>
                <w:color w:val="auto"/>
                <w:spacing w:val="0"/>
                <w:sz w:val="24"/>
                <w:szCs w:val="24"/>
                <w:lang w:val="en-US" w:eastAsia="zh-CN"/>
              </w:rPr>
              <w:t>调配场堆存粉尘</w:t>
            </w:r>
          </w:p>
          <w:p w14:paraId="0A7D8E3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本次建</w:t>
            </w:r>
            <w:r>
              <w:rPr>
                <w:rFonts w:hint="eastAsia" w:ascii="Times New Roman" w:hAnsi="Times New Roman" w:eastAsia="宋体" w:cs="Times New Roman"/>
                <w:color w:val="auto"/>
                <w:sz w:val="24"/>
                <w:szCs w:val="24"/>
                <w:lang w:val="en-US" w:eastAsia="zh-CN"/>
              </w:rPr>
              <w:t>调配场</w:t>
            </w:r>
            <w:r>
              <w:rPr>
                <w:rFonts w:hint="default" w:ascii="Times New Roman" w:hAnsi="Times New Roman" w:eastAsia="宋体" w:cs="Times New Roman"/>
                <w:color w:val="auto"/>
                <w:sz w:val="24"/>
                <w:szCs w:val="24"/>
              </w:rPr>
              <w:t>堆场起尘量</w:t>
            </w:r>
            <w:r>
              <w:rPr>
                <w:rFonts w:hint="default" w:ascii="Times New Roman" w:hAnsi="Times New Roman" w:cs="Times New Roman"/>
                <w:color w:val="auto"/>
                <w:sz w:val="24"/>
                <w:szCs w:val="24"/>
                <w:lang w:eastAsia="zh-CN"/>
              </w:rPr>
              <w:t>按照西安</w:t>
            </w:r>
            <w:r>
              <w:rPr>
                <w:rFonts w:hint="eastAsia" w:ascii="Times New Roman" w:hAnsi="Times New Roman" w:cs="Times New Roman"/>
                <w:color w:val="auto"/>
                <w:sz w:val="24"/>
                <w:szCs w:val="24"/>
                <w:lang w:eastAsia="zh-CN"/>
              </w:rPr>
              <w:t>冶金</w:t>
            </w:r>
            <w:r>
              <w:rPr>
                <w:rFonts w:hint="default" w:ascii="Times New Roman" w:hAnsi="Times New Roman" w:cs="Times New Roman"/>
                <w:color w:val="auto"/>
                <w:sz w:val="24"/>
                <w:szCs w:val="24"/>
                <w:lang w:eastAsia="zh-CN"/>
              </w:rPr>
              <w:t>建筑学院提出的经验公式进行估算，如下所示</w:t>
            </w:r>
            <w:r>
              <w:rPr>
                <w:rFonts w:hint="default" w:ascii="Times New Roman" w:hAnsi="Times New Roman" w:eastAsia="宋体" w:cs="Times New Roman"/>
                <w:color w:val="auto"/>
                <w:sz w:val="24"/>
                <w:szCs w:val="24"/>
              </w:rPr>
              <w:t>：</w:t>
            </w:r>
          </w:p>
          <w:p w14:paraId="3052A977">
            <w:pPr>
              <w:keepNext w:val="0"/>
              <w:keepLines w:val="0"/>
              <w:pageBreakBefore w:val="0"/>
              <w:widowControl w:val="0"/>
              <w:kinsoku/>
              <w:wordWrap/>
              <w:overflowPunct/>
              <w:topLinePunct w:val="0"/>
              <w:autoSpaceDE/>
              <w:autoSpaceDN/>
              <w:bidi w:val="0"/>
              <w:adjustRightInd w:val="0"/>
              <w:snapToGrid w:val="0"/>
              <w:spacing w:line="360" w:lineRule="auto"/>
              <w:ind w:firstLine="0" w:firstLineChars="0"/>
              <w:jc w:val="center"/>
              <w:textAlignment w:val="auto"/>
              <w:rPr>
                <w:rFonts w:hint="default" w:ascii="Times New Roman" w:hAnsi="Times New Roman" w:eastAsia="宋体" w:cs="Times New Roman"/>
                <w:color w:val="auto"/>
                <w:sz w:val="24"/>
                <w:szCs w:val="24"/>
              </w:rPr>
            </w:pPr>
            <w:r>
              <w:rPr>
                <w:color w:val="auto"/>
                <w:sz w:val="24"/>
                <w:szCs w:val="24"/>
              </w:rPr>
              <w:drawing>
                <wp:inline distT="0" distB="0" distL="114300" distR="114300">
                  <wp:extent cx="2171700" cy="472440"/>
                  <wp:effectExtent l="0" t="0" r="0" b="3810"/>
                  <wp:docPr id="1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1"/>
                          <pic:cNvPicPr>
                            <a:picLocks noChangeAspect="1"/>
                          </pic:cNvPicPr>
                        </pic:nvPicPr>
                        <pic:blipFill>
                          <a:blip r:embed="rId23"/>
                          <a:stretch>
                            <a:fillRect/>
                          </a:stretch>
                        </pic:blipFill>
                        <pic:spPr>
                          <a:xfrm>
                            <a:off x="0" y="0"/>
                            <a:ext cx="2171700" cy="472440"/>
                          </a:xfrm>
                          <a:prstGeom prst="rect">
                            <a:avLst/>
                          </a:prstGeom>
                          <a:noFill/>
                          <a:ln>
                            <a:noFill/>
                          </a:ln>
                        </pic:spPr>
                      </pic:pic>
                    </a:graphicData>
                  </a:graphic>
                </wp:inline>
              </w:drawing>
            </w:r>
          </w:p>
          <w:p w14:paraId="053611B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式中：Q</w:t>
            </w:r>
            <w:r>
              <w:rPr>
                <w:rFonts w:hint="default" w:ascii="Times New Roman" w:hAnsi="Times New Roman" w:eastAsia="宋体" w:cs="Times New Roman"/>
                <w:color w:val="auto"/>
                <w:sz w:val="24"/>
                <w:szCs w:val="24"/>
                <w:vertAlign w:val="subscript"/>
              </w:rPr>
              <w:t>p</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起尘量mg/s；</w:t>
            </w:r>
          </w:p>
          <w:p w14:paraId="3673BA28">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A</w:t>
            </w:r>
            <w:r>
              <w:rPr>
                <w:rFonts w:hint="default" w:ascii="Times New Roman" w:hAnsi="Times New Roman" w:eastAsia="宋体" w:cs="Times New Roman"/>
                <w:color w:val="auto"/>
                <w:sz w:val="24"/>
                <w:szCs w:val="24"/>
                <w:vertAlign w:val="subscript"/>
              </w:rPr>
              <w:t>p</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起尘面积，取</w:t>
            </w:r>
            <w:r>
              <w:rPr>
                <w:rFonts w:hint="eastAsia" w:ascii="Times New Roman" w:hAnsi="Times New Roman" w:eastAsia="宋体" w:cs="Times New Roman"/>
                <w:color w:val="auto"/>
                <w:sz w:val="24"/>
                <w:szCs w:val="24"/>
                <w:lang w:val="en-US" w:eastAsia="zh-CN"/>
              </w:rPr>
              <w:t>调配场面积</w:t>
            </w:r>
            <w:r>
              <w:rPr>
                <w:rFonts w:hint="default" w:ascii="Times New Roman" w:hAnsi="Times New Roman" w:eastAsia="宋体" w:cs="Times New Roman"/>
                <w:color w:val="auto"/>
                <w:sz w:val="24"/>
                <w:szCs w:val="24"/>
                <w:lang w:val="en-US" w:eastAsia="zh-CN"/>
              </w:rPr>
              <w:t>共16230</w:t>
            </w:r>
            <w:r>
              <w:rPr>
                <w:rFonts w:hint="default" w:ascii="Times New Roman" w:hAnsi="Times New Roman" w:eastAsia="宋体" w:cs="Times New Roman"/>
                <w:color w:val="auto"/>
                <w:sz w:val="24"/>
                <w:szCs w:val="24"/>
              </w:rPr>
              <w:t>m</w:t>
            </w:r>
            <w:r>
              <w:rPr>
                <w:rFonts w:hint="default" w:ascii="Times New Roman" w:hAnsi="Times New Roman" w:eastAsia="宋体" w:cs="Times New Roman"/>
                <w:color w:val="auto"/>
                <w:sz w:val="24"/>
                <w:szCs w:val="24"/>
                <w:vertAlign w:val="superscript"/>
              </w:rPr>
              <w:t>2</w:t>
            </w:r>
            <w:r>
              <w:rPr>
                <w:rFonts w:hint="default" w:ascii="Times New Roman" w:hAnsi="Times New Roman" w:eastAsia="宋体" w:cs="Times New Roman"/>
                <w:color w:val="auto"/>
                <w:sz w:val="24"/>
                <w:szCs w:val="24"/>
              </w:rPr>
              <w:t>；</w:t>
            </w:r>
          </w:p>
          <w:p w14:paraId="33B24631">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U</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平均风速，取</w:t>
            </w:r>
            <w:r>
              <w:rPr>
                <w:rFonts w:hint="eastAsia" w:ascii="Times New Roman" w:hAnsi="Times New Roman" w:eastAsia="宋体" w:cs="Times New Roman"/>
                <w:color w:val="auto"/>
                <w:sz w:val="24"/>
                <w:szCs w:val="24"/>
                <w:lang w:val="en-US" w:eastAsia="zh-CN"/>
              </w:rPr>
              <w:t>1.2</w:t>
            </w:r>
            <w:r>
              <w:rPr>
                <w:rFonts w:hint="default" w:ascii="Times New Roman" w:hAnsi="Times New Roman" w:eastAsia="宋体" w:cs="Times New Roman"/>
                <w:color w:val="auto"/>
                <w:sz w:val="24"/>
                <w:szCs w:val="24"/>
              </w:rPr>
              <w:t>m/s；</w:t>
            </w:r>
          </w:p>
          <w:p w14:paraId="37008AC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经计算，本项目</w:t>
            </w:r>
            <w:r>
              <w:rPr>
                <w:rFonts w:hint="eastAsia" w:ascii="Times New Roman" w:hAnsi="Times New Roman" w:eastAsia="宋体" w:cs="Times New Roman"/>
                <w:color w:val="auto"/>
                <w:sz w:val="24"/>
                <w:szCs w:val="24"/>
                <w:highlight w:val="none"/>
                <w:lang w:val="en-US" w:eastAsia="zh-CN"/>
              </w:rPr>
              <w:t>调配场颗粒物</w:t>
            </w:r>
            <w:r>
              <w:rPr>
                <w:rFonts w:hint="default" w:ascii="Times New Roman" w:hAnsi="Times New Roman" w:eastAsia="宋体" w:cs="Times New Roman"/>
                <w:color w:val="auto"/>
                <w:sz w:val="24"/>
                <w:szCs w:val="24"/>
                <w:highlight w:val="none"/>
              </w:rPr>
              <w:t>产生量为</w:t>
            </w:r>
            <w:r>
              <w:rPr>
                <w:rFonts w:hint="eastAsia" w:ascii="Times New Roman" w:hAnsi="Times New Roman" w:eastAsia="宋体" w:cs="Times New Roman"/>
                <w:color w:val="auto"/>
                <w:sz w:val="24"/>
                <w:szCs w:val="24"/>
                <w:highlight w:val="none"/>
                <w:lang w:val="en-US" w:eastAsia="zh-CN"/>
              </w:rPr>
              <w:t>16.77</w:t>
            </w:r>
            <w:r>
              <w:rPr>
                <w:rFonts w:hint="default" w:ascii="Times New Roman" w:hAnsi="Times New Roman" w:eastAsia="宋体" w:cs="Times New Roman"/>
                <w:color w:val="auto"/>
                <w:sz w:val="24"/>
                <w:szCs w:val="24"/>
                <w:highlight w:val="none"/>
              </w:rPr>
              <w:t>mg/s（</w:t>
            </w:r>
            <w:r>
              <w:rPr>
                <w:rFonts w:hint="eastAsia" w:ascii="Times New Roman" w:hAnsi="Times New Roman" w:eastAsia="宋体" w:cs="Times New Roman"/>
                <w:color w:val="auto"/>
                <w:sz w:val="24"/>
                <w:szCs w:val="24"/>
                <w:highlight w:val="none"/>
                <w:lang w:val="en-US" w:eastAsia="zh-CN"/>
              </w:rPr>
              <w:t>1.449</w:t>
            </w:r>
            <w:r>
              <w:rPr>
                <w:rFonts w:hint="default" w:ascii="Times New Roman" w:hAnsi="Times New Roman" w:eastAsia="宋体" w:cs="Times New Roman"/>
                <w:color w:val="auto"/>
                <w:sz w:val="24"/>
                <w:szCs w:val="24"/>
                <w:highlight w:val="none"/>
              </w:rPr>
              <w:t>kg/d</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0.435t/a</w:t>
            </w:r>
            <w:r>
              <w:rPr>
                <w:rFonts w:hint="default" w:ascii="Times New Roman" w:hAnsi="Times New Roman" w:eastAsia="宋体" w:cs="Times New Roman"/>
                <w:color w:val="auto"/>
                <w:sz w:val="24"/>
                <w:szCs w:val="24"/>
                <w:highlight w:val="none"/>
              </w:rPr>
              <w:t>），松散物料扬尘量与物料的含水量、粒度情况等因素有关，一般采取洒水抑尘，可降低75%，扬尘排放量为</w:t>
            </w:r>
            <w:r>
              <w:rPr>
                <w:rFonts w:hint="eastAsia" w:ascii="Times New Roman" w:hAnsi="Times New Roman" w:eastAsia="宋体" w:cs="Times New Roman"/>
                <w:color w:val="auto"/>
                <w:sz w:val="24"/>
                <w:szCs w:val="24"/>
                <w:highlight w:val="none"/>
                <w:lang w:val="en-US" w:eastAsia="zh-CN"/>
              </w:rPr>
              <w:t>4.19</w:t>
            </w:r>
            <w:r>
              <w:rPr>
                <w:rFonts w:hint="default" w:ascii="Times New Roman" w:hAnsi="Times New Roman" w:eastAsia="宋体" w:cs="Times New Roman"/>
                <w:color w:val="auto"/>
                <w:sz w:val="24"/>
                <w:szCs w:val="24"/>
                <w:highlight w:val="none"/>
              </w:rPr>
              <w:t>mg/s（</w:t>
            </w:r>
            <w:r>
              <w:rPr>
                <w:rFonts w:hint="eastAsia" w:ascii="Times New Roman" w:hAnsi="Times New Roman" w:eastAsia="宋体" w:cs="Times New Roman"/>
                <w:color w:val="auto"/>
                <w:sz w:val="24"/>
                <w:szCs w:val="24"/>
                <w:highlight w:val="none"/>
                <w:lang w:val="en-US" w:eastAsia="zh-CN"/>
              </w:rPr>
              <w:t>0.362</w:t>
            </w:r>
            <w:r>
              <w:rPr>
                <w:rFonts w:hint="default" w:ascii="Times New Roman" w:hAnsi="Times New Roman" w:eastAsia="宋体" w:cs="Times New Roman"/>
                <w:color w:val="auto"/>
                <w:sz w:val="24"/>
                <w:szCs w:val="24"/>
                <w:highlight w:val="none"/>
              </w:rPr>
              <w:t>kg/d</w:t>
            </w:r>
            <w:r>
              <w:rPr>
                <w:rFonts w:hint="eastAsia" w:ascii="Times New Roman" w:hAnsi="Times New Roman" w:eastAsia="宋体" w:cs="Times New Roman"/>
                <w:color w:val="auto"/>
                <w:sz w:val="24"/>
                <w:szCs w:val="24"/>
                <w:highlight w:val="none"/>
                <w:lang w:eastAsia="zh-CN"/>
              </w:rPr>
              <w:t>，</w:t>
            </w:r>
            <w:r>
              <w:rPr>
                <w:rFonts w:hint="eastAsia" w:ascii="Times New Roman" w:hAnsi="Times New Roman" w:eastAsia="宋体" w:cs="Times New Roman"/>
                <w:color w:val="auto"/>
                <w:sz w:val="24"/>
                <w:szCs w:val="24"/>
                <w:highlight w:val="none"/>
                <w:lang w:val="en-US" w:eastAsia="zh-CN"/>
              </w:rPr>
              <w:t>0.109t/a</w:t>
            </w:r>
            <w:r>
              <w:rPr>
                <w:rFonts w:hint="default" w:ascii="Times New Roman" w:hAnsi="Times New Roman" w:eastAsia="宋体" w:cs="Times New Roman"/>
                <w:color w:val="auto"/>
                <w:sz w:val="24"/>
                <w:szCs w:val="24"/>
                <w:highlight w:val="none"/>
              </w:rPr>
              <w:t>），为无组织面源排放。</w:t>
            </w:r>
          </w:p>
          <w:p w14:paraId="5F238E2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spacing w:val="0"/>
                <w:sz w:val="24"/>
                <w:szCs w:val="24"/>
                <w:lang w:val="en-US" w:eastAsia="zh-CN"/>
              </w:rPr>
            </w:pPr>
            <w:r>
              <w:rPr>
                <w:rFonts w:hint="eastAsia" w:ascii="Times New Roman" w:hAnsi="Times New Roman" w:eastAsia="宋体" w:cs="Times New Roman"/>
                <w:bCs/>
                <w:color w:val="auto"/>
                <w:spacing w:val="0"/>
                <w:sz w:val="24"/>
                <w:szCs w:val="24"/>
                <w:lang w:val="en-US" w:eastAsia="zh-CN"/>
              </w:rPr>
              <w:t>综上，本项目废气产生及排放情况详见下表。</w:t>
            </w:r>
          </w:p>
          <w:p w14:paraId="66C6C20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val="0"/>
                <w:color w:val="auto"/>
                <w:spacing w:val="0"/>
                <w:sz w:val="21"/>
                <w:szCs w:val="21"/>
                <w:lang w:val="en-US" w:eastAsia="zh-CN"/>
              </w:rPr>
            </w:pPr>
            <w:r>
              <w:rPr>
                <w:rFonts w:hint="eastAsia" w:ascii="Times New Roman" w:hAnsi="Times New Roman" w:cs="Times New Roman"/>
                <w:b/>
                <w:bCs w:val="0"/>
                <w:color w:val="auto"/>
                <w:spacing w:val="0"/>
                <w:sz w:val="21"/>
                <w:szCs w:val="21"/>
                <w:lang w:val="en-US" w:eastAsia="zh-CN"/>
              </w:rPr>
              <w:t>表4-</w:t>
            </w:r>
            <w:r>
              <w:rPr>
                <w:rFonts w:hint="eastAsia" w:cs="Times New Roman"/>
                <w:b/>
                <w:bCs w:val="0"/>
                <w:color w:val="auto"/>
                <w:spacing w:val="0"/>
                <w:sz w:val="21"/>
                <w:szCs w:val="21"/>
                <w:lang w:val="en-US" w:eastAsia="zh-CN"/>
              </w:rPr>
              <w:t>1</w:t>
            </w:r>
            <w:r>
              <w:rPr>
                <w:rFonts w:hint="eastAsia" w:ascii="Times New Roman" w:hAnsi="Times New Roman" w:cs="Times New Roman"/>
                <w:b/>
                <w:bCs w:val="0"/>
                <w:color w:val="auto"/>
                <w:spacing w:val="0"/>
                <w:sz w:val="21"/>
                <w:szCs w:val="21"/>
                <w:lang w:val="en-US" w:eastAsia="zh-CN"/>
              </w:rPr>
              <w:t xml:space="preserve">   </w:t>
            </w:r>
            <w:r>
              <w:rPr>
                <w:rFonts w:hint="eastAsia" w:ascii="Times New Roman" w:hAnsi="Times New Roman" w:eastAsia="宋体" w:cs="Times New Roman"/>
                <w:b/>
                <w:bCs w:val="0"/>
                <w:color w:val="auto"/>
                <w:spacing w:val="0"/>
                <w:sz w:val="21"/>
                <w:szCs w:val="21"/>
                <w:lang w:val="en-US" w:eastAsia="zh-CN"/>
              </w:rPr>
              <w:t>本项目废气产生及排放情况一览表</w:t>
            </w:r>
          </w:p>
          <w:tbl>
            <w:tblPr>
              <w:tblStyle w:val="28"/>
              <w:tblW w:w="8025" w:type="dxa"/>
              <w:tblInd w:w="0" w:type="dxa"/>
              <w:tblBorders>
                <w:top w:val="single" w:color="auto" w:sz="12" w:space="0"/>
                <w:left w:val="none" w:color="auto" w:sz="0" w:space="0"/>
                <w:bottom w:val="single" w:color="auto" w:sz="12" w:space="0"/>
                <w:right w:val="none" w:color="auto" w:sz="0" w:space="0"/>
                <w:insideH w:val="none" w:color="auto" w:sz="0" w:space="0"/>
                <w:insideV w:val="single" w:color="auto" w:sz="4" w:space="0"/>
              </w:tblBorders>
              <w:tblLayout w:type="fixed"/>
              <w:tblCellMar>
                <w:top w:w="0" w:type="dxa"/>
                <w:left w:w="108" w:type="dxa"/>
                <w:bottom w:w="0" w:type="dxa"/>
                <w:right w:w="108" w:type="dxa"/>
              </w:tblCellMar>
            </w:tblPr>
            <w:tblGrid>
              <w:gridCol w:w="424"/>
              <w:gridCol w:w="542"/>
              <w:gridCol w:w="424"/>
              <w:gridCol w:w="664"/>
              <w:gridCol w:w="742"/>
              <w:gridCol w:w="974"/>
              <w:gridCol w:w="1212"/>
              <w:gridCol w:w="735"/>
              <w:gridCol w:w="743"/>
              <w:gridCol w:w="758"/>
              <w:gridCol w:w="807"/>
            </w:tblGrid>
            <w:tr w14:paraId="624C5E32">
              <w:tblPrEx>
                <w:tblBorders>
                  <w:top w:val="single" w:color="auto" w:sz="12" w:space="0"/>
                  <w:left w:val="none" w:color="auto" w:sz="0" w:space="0"/>
                  <w:bottom w:val="single" w:color="auto" w:sz="12" w:space="0"/>
                  <w:right w:val="none" w:color="auto" w:sz="0" w:space="0"/>
                  <w:insideH w:val="none" w:color="auto" w:sz="0" w:space="0"/>
                  <w:insideV w:val="single" w:color="auto" w:sz="4" w:space="0"/>
                </w:tblBorders>
                <w:tblCellMar>
                  <w:top w:w="0" w:type="dxa"/>
                  <w:left w:w="108" w:type="dxa"/>
                  <w:bottom w:w="0" w:type="dxa"/>
                  <w:right w:w="108" w:type="dxa"/>
                </w:tblCellMar>
              </w:tblPrEx>
              <w:tc>
                <w:tcPr>
                  <w:tcW w:w="264" w:type="pct"/>
                  <w:vMerge w:val="restart"/>
                  <w:tcBorders>
                    <w:bottom w:val="single" w:color="auto" w:sz="4" w:space="0"/>
                  </w:tcBorders>
                  <w:noWrap w:val="0"/>
                  <w:vAlign w:val="center"/>
                </w:tcPr>
                <w:p w14:paraId="28FAB37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auto"/>
                      <w:spacing w:val="0"/>
                      <w:sz w:val="21"/>
                      <w:szCs w:val="21"/>
                      <w:vertAlign w:val="baseline"/>
                      <w:lang w:val="en-US" w:eastAsia="zh-CN"/>
                    </w:rPr>
                  </w:pPr>
                  <w:r>
                    <w:rPr>
                      <w:rFonts w:hint="eastAsia" w:ascii="Times New Roman" w:hAnsi="Times New Roman" w:eastAsia="宋体" w:cs="Times New Roman"/>
                      <w:b/>
                      <w:bCs w:val="0"/>
                      <w:color w:val="auto"/>
                      <w:spacing w:val="0"/>
                      <w:sz w:val="21"/>
                      <w:szCs w:val="21"/>
                      <w:vertAlign w:val="baseline"/>
                      <w:lang w:val="en-US" w:eastAsia="zh-CN"/>
                    </w:rPr>
                    <w:t>污染源</w:t>
                  </w:r>
                </w:p>
              </w:tc>
              <w:tc>
                <w:tcPr>
                  <w:tcW w:w="338" w:type="pct"/>
                  <w:vMerge w:val="restart"/>
                  <w:tcBorders>
                    <w:bottom w:val="single" w:color="auto" w:sz="4" w:space="0"/>
                  </w:tcBorders>
                  <w:noWrap w:val="0"/>
                  <w:vAlign w:val="center"/>
                </w:tcPr>
                <w:p w14:paraId="37C1E3A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auto"/>
                      <w:spacing w:val="0"/>
                      <w:sz w:val="21"/>
                      <w:szCs w:val="21"/>
                      <w:vertAlign w:val="baseline"/>
                      <w:lang w:val="en-US" w:eastAsia="zh-CN"/>
                    </w:rPr>
                  </w:pPr>
                  <w:r>
                    <w:rPr>
                      <w:rFonts w:hint="eastAsia" w:ascii="Times New Roman" w:hAnsi="Times New Roman" w:eastAsia="宋体" w:cs="Times New Roman"/>
                      <w:b/>
                      <w:bCs w:val="0"/>
                      <w:color w:val="auto"/>
                      <w:spacing w:val="0"/>
                      <w:sz w:val="21"/>
                      <w:szCs w:val="21"/>
                      <w:vertAlign w:val="baseline"/>
                      <w:lang w:val="en-US" w:eastAsia="zh-CN"/>
                    </w:rPr>
                    <w:t>产排污环节</w:t>
                  </w:r>
                </w:p>
              </w:tc>
              <w:tc>
                <w:tcPr>
                  <w:tcW w:w="264" w:type="pct"/>
                  <w:vMerge w:val="restart"/>
                  <w:tcBorders>
                    <w:bottom w:val="single" w:color="auto" w:sz="4" w:space="0"/>
                  </w:tcBorders>
                  <w:noWrap w:val="0"/>
                  <w:vAlign w:val="center"/>
                </w:tcPr>
                <w:p w14:paraId="5220B67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auto"/>
                      <w:spacing w:val="0"/>
                      <w:sz w:val="21"/>
                      <w:szCs w:val="21"/>
                      <w:vertAlign w:val="baseline"/>
                      <w:lang w:val="en-US" w:eastAsia="zh-CN"/>
                    </w:rPr>
                  </w:pPr>
                  <w:r>
                    <w:rPr>
                      <w:rFonts w:hint="eastAsia" w:ascii="Times New Roman" w:hAnsi="Times New Roman" w:eastAsia="宋体" w:cs="Times New Roman"/>
                      <w:b/>
                      <w:bCs w:val="0"/>
                      <w:color w:val="auto"/>
                      <w:spacing w:val="0"/>
                      <w:sz w:val="21"/>
                      <w:szCs w:val="21"/>
                      <w:vertAlign w:val="baseline"/>
                      <w:lang w:val="en-US" w:eastAsia="zh-CN"/>
                    </w:rPr>
                    <w:t>污染物</w:t>
                  </w:r>
                </w:p>
              </w:tc>
              <w:tc>
                <w:tcPr>
                  <w:tcW w:w="414" w:type="pct"/>
                  <w:vMerge w:val="restart"/>
                  <w:tcBorders>
                    <w:bottom w:val="single" w:color="auto" w:sz="4" w:space="0"/>
                  </w:tcBorders>
                  <w:noWrap w:val="0"/>
                  <w:vAlign w:val="center"/>
                </w:tcPr>
                <w:p w14:paraId="3C9CF44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auto"/>
                      <w:spacing w:val="0"/>
                      <w:sz w:val="21"/>
                      <w:szCs w:val="21"/>
                      <w:vertAlign w:val="baseline"/>
                      <w:lang w:val="en-US" w:eastAsia="zh-CN"/>
                    </w:rPr>
                  </w:pPr>
                  <w:r>
                    <w:rPr>
                      <w:rFonts w:hint="eastAsia" w:ascii="Times New Roman" w:hAnsi="Times New Roman" w:eastAsia="宋体" w:cs="Times New Roman"/>
                      <w:b/>
                      <w:bCs w:val="0"/>
                      <w:color w:val="auto"/>
                      <w:spacing w:val="0"/>
                      <w:sz w:val="21"/>
                      <w:szCs w:val="21"/>
                      <w:vertAlign w:val="baseline"/>
                      <w:lang w:val="en-US" w:eastAsia="zh-CN"/>
                    </w:rPr>
                    <w:t>排放形式</w:t>
                  </w:r>
                </w:p>
              </w:tc>
              <w:tc>
                <w:tcPr>
                  <w:tcW w:w="1069" w:type="pct"/>
                  <w:gridSpan w:val="2"/>
                  <w:tcBorders>
                    <w:bottom w:val="single" w:color="auto" w:sz="4" w:space="0"/>
                  </w:tcBorders>
                  <w:noWrap w:val="0"/>
                  <w:vAlign w:val="center"/>
                </w:tcPr>
                <w:p w14:paraId="626C470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auto"/>
                      <w:spacing w:val="0"/>
                      <w:kern w:val="2"/>
                      <w:sz w:val="21"/>
                      <w:szCs w:val="21"/>
                      <w:vertAlign w:val="baseline"/>
                      <w:lang w:val="en-US" w:eastAsia="zh-CN" w:bidi="ar-SA"/>
                    </w:rPr>
                  </w:pPr>
                  <w:r>
                    <w:rPr>
                      <w:rFonts w:hint="eastAsia" w:ascii="Times New Roman" w:hAnsi="Times New Roman" w:eastAsia="宋体" w:cs="Times New Roman"/>
                      <w:b/>
                      <w:bCs w:val="0"/>
                      <w:color w:val="auto"/>
                      <w:spacing w:val="0"/>
                      <w:sz w:val="21"/>
                      <w:szCs w:val="21"/>
                      <w:vertAlign w:val="baseline"/>
                      <w:lang w:val="en-US" w:eastAsia="zh-CN"/>
                    </w:rPr>
                    <w:t>污染物产生</w:t>
                  </w:r>
                </w:p>
              </w:tc>
              <w:tc>
                <w:tcPr>
                  <w:tcW w:w="1676" w:type="pct"/>
                  <w:gridSpan w:val="3"/>
                  <w:tcBorders>
                    <w:bottom w:val="single" w:color="auto" w:sz="4" w:space="0"/>
                  </w:tcBorders>
                  <w:noWrap w:val="0"/>
                  <w:vAlign w:val="center"/>
                </w:tcPr>
                <w:p w14:paraId="1ABD113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val="0"/>
                      <w:color w:val="auto"/>
                      <w:spacing w:val="0"/>
                      <w:sz w:val="21"/>
                      <w:szCs w:val="21"/>
                      <w:vertAlign w:val="baseline"/>
                      <w:lang w:val="en-US" w:eastAsia="zh-CN"/>
                    </w:rPr>
                  </w:pPr>
                  <w:r>
                    <w:rPr>
                      <w:rFonts w:hint="eastAsia" w:ascii="Times New Roman" w:hAnsi="Times New Roman" w:eastAsia="宋体" w:cs="Times New Roman"/>
                      <w:b/>
                      <w:bCs w:val="0"/>
                      <w:color w:val="auto"/>
                      <w:spacing w:val="0"/>
                      <w:sz w:val="21"/>
                      <w:szCs w:val="21"/>
                      <w:vertAlign w:val="baseline"/>
                      <w:lang w:val="en-US" w:eastAsia="zh-CN"/>
                    </w:rPr>
                    <w:t>治理措施</w:t>
                  </w:r>
                </w:p>
              </w:tc>
              <w:tc>
                <w:tcPr>
                  <w:tcW w:w="970" w:type="pct"/>
                  <w:gridSpan w:val="2"/>
                  <w:tcBorders>
                    <w:bottom w:val="single" w:color="auto" w:sz="4" w:space="0"/>
                  </w:tcBorders>
                  <w:noWrap w:val="0"/>
                  <w:vAlign w:val="center"/>
                </w:tcPr>
                <w:p w14:paraId="4489BF7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val="0"/>
                      <w:color w:val="auto"/>
                      <w:spacing w:val="0"/>
                      <w:sz w:val="21"/>
                      <w:szCs w:val="21"/>
                      <w:vertAlign w:val="baseline"/>
                      <w:lang w:val="en-US" w:eastAsia="zh-CN"/>
                    </w:rPr>
                  </w:pPr>
                  <w:r>
                    <w:rPr>
                      <w:rFonts w:hint="eastAsia" w:ascii="Times New Roman" w:hAnsi="Times New Roman" w:eastAsia="宋体" w:cs="Times New Roman"/>
                      <w:b/>
                      <w:bCs w:val="0"/>
                      <w:color w:val="auto"/>
                      <w:spacing w:val="0"/>
                      <w:sz w:val="21"/>
                      <w:szCs w:val="21"/>
                      <w:vertAlign w:val="baseline"/>
                      <w:lang w:val="en-US" w:eastAsia="zh-CN"/>
                    </w:rPr>
                    <w:t>污染物排放</w:t>
                  </w:r>
                </w:p>
              </w:tc>
            </w:tr>
            <w:tr w14:paraId="4C0922A0">
              <w:tblPrEx>
                <w:tblBorders>
                  <w:top w:val="single" w:color="auto" w:sz="12" w:space="0"/>
                  <w:left w:val="none" w:color="auto" w:sz="0" w:space="0"/>
                  <w:bottom w:val="single" w:color="auto" w:sz="12" w:space="0"/>
                  <w:right w:val="none" w:color="auto" w:sz="0" w:space="0"/>
                  <w:insideH w:val="none" w:color="auto" w:sz="0" w:space="0"/>
                  <w:insideV w:val="single" w:color="auto" w:sz="4" w:space="0"/>
                </w:tblBorders>
                <w:tblCellMar>
                  <w:top w:w="0" w:type="dxa"/>
                  <w:left w:w="108" w:type="dxa"/>
                  <w:bottom w:w="0" w:type="dxa"/>
                  <w:right w:w="108" w:type="dxa"/>
                </w:tblCellMar>
              </w:tblPrEx>
              <w:tc>
                <w:tcPr>
                  <w:tcW w:w="264" w:type="pct"/>
                  <w:vMerge w:val="continue"/>
                  <w:tcBorders>
                    <w:top w:val="single" w:color="auto" w:sz="4" w:space="0"/>
                    <w:bottom w:val="single" w:color="auto" w:sz="12" w:space="0"/>
                  </w:tcBorders>
                  <w:noWrap w:val="0"/>
                  <w:vAlign w:val="center"/>
                </w:tcPr>
                <w:p w14:paraId="018C5D7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val="0"/>
                      <w:color w:val="auto"/>
                      <w:spacing w:val="0"/>
                      <w:sz w:val="21"/>
                      <w:szCs w:val="21"/>
                      <w:vertAlign w:val="baseline"/>
                      <w:lang w:val="en-US" w:eastAsia="zh-CN"/>
                    </w:rPr>
                  </w:pPr>
                </w:p>
              </w:tc>
              <w:tc>
                <w:tcPr>
                  <w:tcW w:w="338" w:type="pct"/>
                  <w:vMerge w:val="continue"/>
                  <w:tcBorders>
                    <w:top w:val="single" w:color="auto" w:sz="4" w:space="0"/>
                    <w:bottom w:val="single" w:color="auto" w:sz="12" w:space="0"/>
                  </w:tcBorders>
                  <w:noWrap w:val="0"/>
                  <w:vAlign w:val="center"/>
                </w:tcPr>
                <w:p w14:paraId="587F101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val="0"/>
                      <w:color w:val="auto"/>
                      <w:spacing w:val="0"/>
                      <w:sz w:val="21"/>
                      <w:szCs w:val="21"/>
                      <w:vertAlign w:val="baseline"/>
                      <w:lang w:val="en-US" w:eastAsia="zh-CN"/>
                    </w:rPr>
                  </w:pPr>
                </w:p>
              </w:tc>
              <w:tc>
                <w:tcPr>
                  <w:tcW w:w="264" w:type="pct"/>
                  <w:vMerge w:val="continue"/>
                  <w:tcBorders>
                    <w:top w:val="single" w:color="auto" w:sz="4" w:space="0"/>
                    <w:bottom w:val="single" w:color="auto" w:sz="12" w:space="0"/>
                  </w:tcBorders>
                  <w:noWrap w:val="0"/>
                  <w:vAlign w:val="center"/>
                </w:tcPr>
                <w:p w14:paraId="13C758B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bCs w:val="0"/>
                      <w:color w:val="auto"/>
                      <w:spacing w:val="0"/>
                      <w:sz w:val="21"/>
                      <w:szCs w:val="21"/>
                      <w:vertAlign w:val="baseline"/>
                      <w:lang w:val="en-US" w:eastAsia="zh-CN"/>
                    </w:rPr>
                  </w:pPr>
                </w:p>
              </w:tc>
              <w:tc>
                <w:tcPr>
                  <w:tcW w:w="414" w:type="pct"/>
                  <w:vMerge w:val="continue"/>
                  <w:tcBorders>
                    <w:top w:val="single" w:color="auto" w:sz="4" w:space="0"/>
                    <w:bottom w:val="single" w:color="auto" w:sz="12" w:space="0"/>
                  </w:tcBorders>
                  <w:noWrap w:val="0"/>
                  <w:vAlign w:val="center"/>
                </w:tcPr>
                <w:p w14:paraId="0EE5F70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auto"/>
                      <w:spacing w:val="0"/>
                      <w:sz w:val="21"/>
                      <w:szCs w:val="21"/>
                      <w:vertAlign w:val="baseline"/>
                      <w:lang w:val="en-US" w:eastAsia="zh-CN"/>
                    </w:rPr>
                  </w:pPr>
                </w:p>
              </w:tc>
              <w:tc>
                <w:tcPr>
                  <w:tcW w:w="462" w:type="pct"/>
                  <w:tcBorders>
                    <w:top w:val="single" w:color="auto" w:sz="4" w:space="0"/>
                    <w:bottom w:val="single" w:color="auto" w:sz="12" w:space="0"/>
                  </w:tcBorders>
                  <w:noWrap w:val="0"/>
                  <w:vAlign w:val="center"/>
                </w:tcPr>
                <w:p w14:paraId="246F43F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auto"/>
                      <w:spacing w:val="0"/>
                      <w:kern w:val="2"/>
                      <w:sz w:val="21"/>
                      <w:szCs w:val="21"/>
                      <w:vertAlign w:val="baseline"/>
                      <w:lang w:val="en-US" w:eastAsia="zh-CN" w:bidi="ar-SA"/>
                    </w:rPr>
                  </w:pPr>
                  <w:r>
                    <w:rPr>
                      <w:rFonts w:hint="eastAsia" w:ascii="Times New Roman" w:hAnsi="Times New Roman" w:eastAsia="宋体" w:cs="Times New Roman"/>
                      <w:b/>
                      <w:bCs w:val="0"/>
                      <w:color w:val="auto"/>
                      <w:spacing w:val="0"/>
                      <w:sz w:val="21"/>
                      <w:szCs w:val="21"/>
                      <w:vertAlign w:val="baseline"/>
                      <w:lang w:val="en-US" w:eastAsia="zh-CN"/>
                    </w:rPr>
                    <w:t>产生浓度(mg/m</w:t>
                  </w:r>
                  <w:r>
                    <w:rPr>
                      <w:rFonts w:hint="eastAsia" w:ascii="Times New Roman" w:hAnsi="Times New Roman" w:eastAsia="宋体" w:cs="Times New Roman"/>
                      <w:b/>
                      <w:bCs w:val="0"/>
                      <w:color w:val="auto"/>
                      <w:spacing w:val="0"/>
                      <w:sz w:val="21"/>
                      <w:szCs w:val="21"/>
                      <w:vertAlign w:val="superscript"/>
                      <w:lang w:val="en-US" w:eastAsia="zh-CN"/>
                    </w:rPr>
                    <w:t>3</w:t>
                  </w:r>
                  <w:r>
                    <w:rPr>
                      <w:rFonts w:hint="eastAsia" w:ascii="Times New Roman" w:hAnsi="Times New Roman" w:eastAsia="宋体" w:cs="Times New Roman"/>
                      <w:b/>
                      <w:bCs w:val="0"/>
                      <w:color w:val="auto"/>
                      <w:spacing w:val="0"/>
                      <w:sz w:val="21"/>
                      <w:szCs w:val="21"/>
                      <w:vertAlign w:val="baseline"/>
                      <w:lang w:val="en-US" w:eastAsia="zh-CN"/>
                    </w:rPr>
                    <w:t>）</w:t>
                  </w:r>
                </w:p>
              </w:tc>
              <w:tc>
                <w:tcPr>
                  <w:tcW w:w="606" w:type="pct"/>
                  <w:tcBorders>
                    <w:top w:val="single" w:color="auto" w:sz="4" w:space="0"/>
                    <w:bottom w:val="single" w:color="auto" w:sz="12" w:space="0"/>
                  </w:tcBorders>
                  <w:noWrap w:val="0"/>
                  <w:vAlign w:val="center"/>
                </w:tcPr>
                <w:p w14:paraId="6EB39DB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auto"/>
                      <w:spacing w:val="0"/>
                      <w:kern w:val="2"/>
                      <w:sz w:val="21"/>
                      <w:szCs w:val="21"/>
                      <w:vertAlign w:val="baseline"/>
                      <w:lang w:val="en-US" w:eastAsia="zh-CN" w:bidi="ar-SA"/>
                    </w:rPr>
                  </w:pPr>
                  <w:r>
                    <w:rPr>
                      <w:rFonts w:hint="eastAsia" w:ascii="Times New Roman" w:hAnsi="Times New Roman" w:eastAsia="宋体" w:cs="Times New Roman"/>
                      <w:b/>
                      <w:bCs w:val="0"/>
                      <w:color w:val="auto"/>
                      <w:spacing w:val="0"/>
                      <w:sz w:val="21"/>
                      <w:szCs w:val="21"/>
                      <w:vertAlign w:val="baseline"/>
                      <w:lang w:val="en-US" w:eastAsia="zh-CN"/>
                    </w:rPr>
                    <w:t>产生量(t/a）</w:t>
                  </w:r>
                </w:p>
              </w:tc>
              <w:tc>
                <w:tcPr>
                  <w:tcW w:w="755" w:type="pct"/>
                  <w:tcBorders>
                    <w:top w:val="single" w:color="auto" w:sz="4" w:space="0"/>
                    <w:bottom w:val="single" w:color="auto" w:sz="12" w:space="0"/>
                  </w:tcBorders>
                  <w:noWrap w:val="0"/>
                  <w:vAlign w:val="center"/>
                </w:tcPr>
                <w:p w14:paraId="39FE886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auto"/>
                      <w:spacing w:val="0"/>
                      <w:kern w:val="2"/>
                      <w:sz w:val="21"/>
                      <w:szCs w:val="21"/>
                      <w:vertAlign w:val="baseline"/>
                      <w:lang w:val="en-US" w:eastAsia="zh-CN" w:bidi="ar-SA"/>
                    </w:rPr>
                  </w:pPr>
                  <w:r>
                    <w:rPr>
                      <w:rFonts w:hint="eastAsia" w:ascii="Times New Roman" w:hAnsi="Times New Roman" w:eastAsia="宋体" w:cs="Times New Roman"/>
                      <w:b/>
                      <w:bCs w:val="0"/>
                      <w:color w:val="auto"/>
                      <w:spacing w:val="0"/>
                      <w:sz w:val="21"/>
                      <w:szCs w:val="21"/>
                      <w:vertAlign w:val="baseline"/>
                      <w:lang w:val="en-US" w:eastAsia="zh-CN"/>
                    </w:rPr>
                    <w:t>工艺</w:t>
                  </w:r>
                </w:p>
              </w:tc>
              <w:tc>
                <w:tcPr>
                  <w:tcW w:w="458" w:type="pct"/>
                  <w:tcBorders>
                    <w:top w:val="single" w:color="auto" w:sz="4" w:space="0"/>
                    <w:bottom w:val="single" w:color="auto" w:sz="12" w:space="0"/>
                  </w:tcBorders>
                  <w:noWrap w:val="0"/>
                  <w:vAlign w:val="center"/>
                </w:tcPr>
                <w:p w14:paraId="75F81FD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auto"/>
                      <w:spacing w:val="0"/>
                      <w:kern w:val="2"/>
                      <w:sz w:val="21"/>
                      <w:szCs w:val="21"/>
                      <w:vertAlign w:val="baseline"/>
                      <w:lang w:val="en-US" w:eastAsia="zh-CN" w:bidi="ar-SA"/>
                    </w:rPr>
                  </w:pPr>
                  <w:r>
                    <w:rPr>
                      <w:rFonts w:hint="eastAsia" w:ascii="Times New Roman" w:hAnsi="Times New Roman" w:eastAsia="宋体" w:cs="Times New Roman"/>
                      <w:b/>
                      <w:bCs w:val="0"/>
                      <w:color w:val="auto"/>
                      <w:spacing w:val="0"/>
                      <w:sz w:val="21"/>
                      <w:szCs w:val="21"/>
                      <w:vertAlign w:val="baseline"/>
                      <w:lang w:val="en-US" w:eastAsia="zh-CN"/>
                    </w:rPr>
                    <w:t>治理效率/%</w:t>
                  </w:r>
                </w:p>
              </w:tc>
              <w:tc>
                <w:tcPr>
                  <w:tcW w:w="462" w:type="pct"/>
                  <w:tcBorders>
                    <w:top w:val="single" w:color="auto" w:sz="4" w:space="0"/>
                    <w:bottom w:val="single" w:color="auto" w:sz="12" w:space="0"/>
                  </w:tcBorders>
                  <w:noWrap w:val="0"/>
                  <w:vAlign w:val="center"/>
                </w:tcPr>
                <w:p w14:paraId="0B4725F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auto"/>
                      <w:spacing w:val="0"/>
                      <w:sz w:val="21"/>
                      <w:szCs w:val="21"/>
                      <w:vertAlign w:val="baseline"/>
                      <w:lang w:val="en-US" w:eastAsia="zh-CN"/>
                    </w:rPr>
                  </w:pPr>
                  <w:r>
                    <w:rPr>
                      <w:rFonts w:hint="eastAsia" w:ascii="Times New Roman" w:hAnsi="Times New Roman" w:eastAsia="宋体" w:cs="Times New Roman"/>
                      <w:b/>
                      <w:bCs w:val="0"/>
                      <w:color w:val="auto"/>
                      <w:spacing w:val="0"/>
                      <w:sz w:val="21"/>
                      <w:szCs w:val="21"/>
                      <w:vertAlign w:val="baseline"/>
                      <w:lang w:val="en-US" w:eastAsia="zh-CN"/>
                    </w:rPr>
                    <w:t>是否为可行技术</w:t>
                  </w:r>
                </w:p>
              </w:tc>
              <w:tc>
                <w:tcPr>
                  <w:tcW w:w="465" w:type="pct"/>
                  <w:tcBorders>
                    <w:top w:val="single" w:color="auto" w:sz="4" w:space="0"/>
                    <w:bottom w:val="single" w:color="auto" w:sz="12" w:space="0"/>
                  </w:tcBorders>
                  <w:noWrap w:val="0"/>
                  <w:vAlign w:val="center"/>
                </w:tcPr>
                <w:p w14:paraId="038BB84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auto"/>
                      <w:spacing w:val="0"/>
                      <w:kern w:val="2"/>
                      <w:sz w:val="21"/>
                      <w:szCs w:val="21"/>
                      <w:vertAlign w:val="baseline"/>
                      <w:lang w:val="en-US" w:eastAsia="zh-CN" w:bidi="ar-SA"/>
                    </w:rPr>
                  </w:pPr>
                  <w:r>
                    <w:rPr>
                      <w:rFonts w:hint="eastAsia" w:ascii="Times New Roman" w:hAnsi="Times New Roman" w:eastAsia="宋体" w:cs="Times New Roman"/>
                      <w:b/>
                      <w:bCs w:val="0"/>
                      <w:color w:val="auto"/>
                      <w:spacing w:val="0"/>
                      <w:sz w:val="21"/>
                      <w:szCs w:val="21"/>
                      <w:vertAlign w:val="baseline"/>
                      <w:lang w:val="en-US" w:eastAsia="zh-CN"/>
                    </w:rPr>
                    <w:t>排放浓度(mg/m</w:t>
                  </w:r>
                  <w:r>
                    <w:rPr>
                      <w:rFonts w:hint="eastAsia" w:ascii="Times New Roman" w:hAnsi="Times New Roman" w:eastAsia="宋体" w:cs="Times New Roman"/>
                      <w:b/>
                      <w:bCs w:val="0"/>
                      <w:color w:val="auto"/>
                      <w:spacing w:val="0"/>
                      <w:sz w:val="21"/>
                      <w:szCs w:val="21"/>
                      <w:vertAlign w:val="superscript"/>
                      <w:lang w:val="en-US" w:eastAsia="zh-CN"/>
                    </w:rPr>
                    <w:t>3）</w:t>
                  </w:r>
                </w:p>
              </w:tc>
              <w:tc>
                <w:tcPr>
                  <w:tcW w:w="504" w:type="pct"/>
                  <w:tcBorders>
                    <w:top w:val="single" w:color="auto" w:sz="4" w:space="0"/>
                    <w:bottom w:val="single" w:color="auto" w:sz="12" w:space="0"/>
                  </w:tcBorders>
                  <w:noWrap w:val="0"/>
                  <w:vAlign w:val="center"/>
                </w:tcPr>
                <w:p w14:paraId="0CB1187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bCs w:val="0"/>
                      <w:color w:val="auto"/>
                      <w:spacing w:val="0"/>
                      <w:kern w:val="2"/>
                      <w:sz w:val="21"/>
                      <w:szCs w:val="21"/>
                      <w:vertAlign w:val="baseline"/>
                      <w:lang w:val="en-US" w:eastAsia="zh-CN" w:bidi="ar-SA"/>
                    </w:rPr>
                  </w:pPr>
                  <w:r>
                    <w:rPr>
                      <w:rFonts w:hint="eastAsia" w:ascii="Times New Roman" w:hAnsi="Times New Roman" w:eastAsia="宋体" w:cs="Times New Roman"/>
                      <w:b/>
                      <w:bCs w:val="0"/>
                      <w:color w:val="auto"/>
                      <w:spacing w:val="0"/>
                      <w:sz w:val="21"/>
                      <w:szCs w:val="21"/>
                      <w:vertAlign w:val="baseline"/>
                      <w:lang w:val="en-US" w:eastAsia="zh-CN"/>
                    </w:rPr>
                    <w:t>排放量(t/a）</w:t>
                  </w:r>
                </w:p>
              </w:tc>
            </w:tr>
            <w:tr w14:paraId="2C95EB45">
              <w:tblPrEx>
                <w:tblBorders>
                  <w:top w:val="single" w:color="auto" w:sz="12" w:space="0"/>
                  <w:left w:val="none" w:color="auto" w:sz="0" w:space="0"/>
                  <w:bottom w:val="single" w:color="auto" w:sz="12" w:space="0"/>
                  <w:right w:val="none" w:color="auto" w:sz="0" w:space="0"/>
                  <w:insideH w:val="none" w:color="auto" w:sz="0" w:space="0"/>
                  <w:insideV w:val="single" w:color="auto" w:sz="4" w:space="0"/>
                </w:tblBorders>
                <w:tblCellMar>
                  <w:top w:w="0" w:type="dxa"/>
                  <w:left w:w="108" w:type="dxa"/>
                  <w:bottom w:w="0" w:type="dxa"/>
                  <w:right w:w="108" w:type="dxa"/>
                </w:tblCellMar>
              </w:tblPrEx>
              <w:tc>
                <w:tcPr>
                  <w:tcW w:w="264" w:type="pct"/>
                  <w:tcBorders>
                    <w:top w:val="single" w:color="auto" w:sz="12" w:space="0"/>
                    <w:bottom w:val="single" w:color="auto" w:sz="4" w:space="0"/>
                  </w:tcBorders>
                  <w:noWrap w:val="0"/>
                  <w:vAlign w:val="center"/>
                </w:tcPr>
                <w:p w14:paraId="1B85DFA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0"/>
                      <w:sz w:val="21"/>
                      <w:szCs w:val="21"/>
                      <w:vertAlign w:val="baseline"/>
                      <w:lang w:val="en-US" w:eastAsia="zh-CN"/>
                    </w:rPr>
                  </w:pPr>
                  <w:r>
                    <w:rPr>
                      <w:rFonts w:hint="eastAsia" w:ascii="Times New Roman" w:hAnsi="Times New Roman" w:eastAsia="宋体" w:cs="Times New Roman"/>
                      <w:b w:val="0"/>
                      <w:bCs/>
                      <w:color w:val="auto"/>
                      <w:spacing w:val="0"/>
                      <w:sz w:val="21"/>
                      <w:szCs w:val="21"/>
                      <w:vertAlign w:val="baseline"/>
                      <w:lang w:val="en-US" w:eastAsia="zh-CN"/>
                    </w:rPr>
                    <w:t>运输道路</w:t>
                  </w:r>
                </w:p>
              </w:tc>
              <w:tc>
                <w:tcPr>
                  <w:tcW w:w="338" w:type="pct"/>
                  <w:tcBorders>
                    <w:top w:val="single" w:color="auto" w:sz="12" w:space="0"/>
                    <w:bottom w:val="single" w:color="auto" w:sz="4" w:space="0"/>
                  </w:tcBorders>
                  <w:noWrap w:val="0"/>
                  <w:vAlign w:val="center"/>
                </w:tcPr>
                <w:p w14:paraId="1F98488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0"/>
                      <w:sz w:val="21"/>
                      <w:szCs w:val="21"/>
                      <w:vertAlign w:val="baseline"/>
                      <w:lang w:val="en-US" w:eastAsia="zh-CN"/>
                    </w:rPr>
                  </w:pPr>
                  <w:r>
                    <w:rPr>
                      <w:rFonts w:hint="eastAsia" w:ascii="Times New Roman" w:hAnsi="Times New Roman" w:eastAsia="宋体" w:cs="Times New Roman"/>
                      <w:b w:val="0"/>
                      <w:bCs/>
                      <w:color w:val="auto"/>
                      <w:spacing w:val="0"/>
                      <w:sz w:val="21"/>
                      <w:szCs w:val="21"/>
                      <w:vertAlign w:val="baseline"/>
                      <w:lang w:val="en-US" w:eastAsia="zh-CN"/>
                    </w:rPr>
                    <w:t>运输</w:t>
                  </w:r>
                </w:p>
              </w:tc>
              <w:tc>
                <w:tcPr>
                  <w:tcW w:w="264" w:type="pct"/>
                  <w:tcBorders>
                    <w:top w:val="single" w:color="auto" w:sz="12" w:space="0"/>
                    <w:bottom w:val="single" w:color="auto" w:sz="4" w:space="0"/>
                  </w:tcBorders>
                  <w:noWrap w:val="0"/>
                  <w:vAlign w:val="center"/>
                </w:tcPr>
                <w:p w14:paraId="4877083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0"/>
                      <w:sz w:val="21"/>
                      <w:szCs w:val="21"/>
                      <w:vertAlign w:val="baseline"/>
                      <w:lang w:val="en-US" w:eastAsia="zh-CN"/>
                    </w:rPr>
                  </w:pPr>
                  <w:r>
                    <w:rPr>
                      <w:rFonts w:hint="eastAsia" w:ascii="Times New Roman" w:hAnsi="Times New Roman" w:eastAsia="宋体" w:cs="Times New Roman"/>
                      <w:b w:val="0"/>
                      <w:bCs/>
                      <w:color w:val="auto"/>
                      <w:spacing w:val="0"/>
                      <w:sz w:val="21"/>
                      <w:szCs w:val="21"/>
                      <w:vertAlign w:val="baseline"/>
                      <w:lang w:val="en-US" w:eastAsia="zh-CN"/>
                    </w:rPr>
                    <w:t>颗粒物</w:t>
                  </w:r>
                </w:p>
              </w:tc>
              <w:tc>
                <w:tcPr>
                  <w:tcW w:w="414" w:type="pct"/>
                  <w:vMerge w:val="restart"/>
                  <w:tcBorders>
                    <w:top w:val="single" w:color="auto" w:sz="12" w:space="0"/>
                    <w:bottom w:val="single" w:color="auto" w:sz="4" w:space="0"/>
                  </w:tcBorders>
                  <w:noWrap w:val="0"/>
                  <w:vAlign w:val="center"/>
                </w:tcPr>
                <w:p w14:paraId="36995A0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0"/>
                      <w:sz w:val="21"/>
                      <w:szCs w:val="21"/>
                      <w:vertAlign w:val="baseline"/>
                      <w:lang w:val="en-US" w:eastAsia="zh-CN"/>
                    </w:rPr>
                  </w:pPr>
                  <w:r>
                    <w:rPr>
                      <w:rFonts w:hint="eastAsia" w:ascii="Times New Roman" w:hAnsi="Times New Roman" w:eastAsia="宋体" w:cs="Times New Roman"/>
                      <w:b w:val="0"/>
                      <w:bCs/>
                      <w:color w:val="auto"/>
                      <w:spacing w:val="0"/>
                      <w:sz w:val="21"/>
                      <w:szCs w:val="21"/>
                      <w:vertAlign w:val="baseline"/>
                      <w:lang w:val="en-US" w:eastAsia="zh-CN"/>
                    </w:rPr>
                    <w:t>无组织</w:t>
                  </w:r>
                </w:p>
              </w:tc>
              <w:tc>
                <w:tcPr>
                  <w:tcW w:w="462" w:type="pct"/>
                  <w:tcBorders>
                    <w:top w:val="single" w:color="auto" w:sz="12" w:space="0"/>
                    <w:bottom w:val="single" w:color="auto" w:sz="4" w:space="0"/>
                  </w:tcBorders>
                  <w:noWrap w:val="0"/>
                  <w:vAlign w:val="center"/>
                </w:tcPr>
                <w:p w14:paraId="4E8D328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0"/>
                      <w:sz w:val="21"/>
                      <w:szCs w:val="21"/>
                      <w:vertAlign w:val="baseline"/>
                      <w:lang w:val="en-US" w:eastAsia="zh-CN"/>
                    </w:rPr>
                  </w:pPr>
                  <w:r>
                    <w:rPr>
                      <w:rFonts w:hint="eastAsia" w:ascii="Times New Roman" w:hAnsi="Times New Roman" w:eastAsia="宋体" w:cs="Times New Roman"/>
                      <w:b w:val="0"/>
                      <w:bCs/>
                      <w:color w:val="auto"/>
                      <w:spacing w:val="0"/>
                      <w:sz w:val="21"/>
                      <w:szCs w:val="21"/>
                      <w:vertAlign w:val="baseline"/>
                      <w:lang w:val="en-US" w:eastAsia="zh-CN"/>
                    </w:rPr>
                    <w:t>/</w:t>
                  </w:r>
                </w:p>
              </w:tc>
              <w:tc>
                <w:tcPr>
                  <w:tcW w:w="606" w:type="pct"/>
                  <w:tcBorders>
                    <w:top w:val="single" w:color="auto" w:sz="12" w:space="0"/>
                    <w:bottom w:val="single" w:color="auto" w:sz="4" w:space="0"/>
                  </w:tcBorders>
                  <w:noWrap w:val="0"/>
                  <w:vAlign w:val="center"/>
                </w:tcPr>
                <w:p w14:paraId="6B72010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0"/>
                      <w:sz w:val="21"/>
                      <w:szCs w:val="21"/>
                      <w:vertAlign w:val="baseline"/>
                      <w:lang w:val="en-US" w:eastAsia="zh-CN"/>
                    </w:rPr>
                  </w:pPr>
                  <w:r>
                    <w:rPr>
                      <w:rFonts w:hint="eastAsia" w:cs="Times New Roman"/>
                      <w:b w:val="0"/>
                      <w:bCs/>
                      <w:color w:val="auto"/>
                      <w:spacing w:val="0"/>
                      <w:sz w:val="21"/>
                      <w:szCs w:val="21"/>
                      <w:vertAlign w:val="baseline"/>
                      <w:lang w:val="en-US" w:eastAsia="zh-CN"/>
                    </w:rPr>
                    <w:t>3.10</w:t>
                  </w:r>
                </w:p>
              </w:tc>
              <w:tc>
                <w:tcPr>
                  <w:tcW w:w="755" w:type="pct"/>
                  <w:tcBorders>
                    <w:top w:val="single" w:color="auto" w:sz="12" w:space="0"/>
                    <w:bottom w:val="single" w:color="auto" w:sz="4" w:space="0"/>
                  </w:tcBorders>
                  <w:noWrap w:val="0"/>
                  <w:vAlign w:val="center"/>
                </w:tcPr>
                <w:p w14:paraId="2E42537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0"/>
                      <w:sz w:val="21"/>
                      <w:szCs w:val="21"/>
                      <w:vertAlign w:val="baseline"/>
                      <w:lang w:val="en-US" w:eastAsia="zh-CN"/>
                    </w:rPr>
                  </w:pPr>
                  <w:r>
                    <w:rPr>
                      <w:rFonts w:hint="eastAsia" w:ascii="Times New Roman" w:hAnsi="Times New Roman" w:cs="Times New Roman"/>
                      <w:bCs/>
                      <w:color w:val="auto"/>
                      <w:spacing w:val="0"/>
                      <w:sz w:val="21"/>
                      <w:szCs w:val="21"/>
                      <w:lang w:val="en-US" w:eastAsia="zh-CN"/>
                    </w:rPr>
                    <w:t>篷布苫盖、洒水降尘、车辆冲洗</w:t>
                  </w:r>
                </w:p>
              </w:tc>
              <w:tc>
                <w:tcPr>
                  <w:tcW w:w="458" w:type="pct"/>
                  <w:vMerge w:val="restart"/>
                  <w:tcBorders>
                    <w:top w:val="single" w:color="auto" w:sz="12" w:space="0"/>
                    <w:bottom w:val="single" w:color="auto" w:sz="4" w:space="0"/>
                  </w:tcBorders>
                  <w:noWrap w:val="0"/>
                  <w:vAlign w:val="center"/>
                </w:tcPr>
                <w:p w14:paraId="172F05C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0"/>
                      <w:sz w:val="21"/>
                      <w:szCs w:val="21"/>
                      <w:vertAlign w:val="baseline"/>
                      <w:lang w:val="en-US" w:eastAsia="zh-CN"/>
                    </w:rPr>
                  </w:pPr>
                  <w:r>
                    <w:rPr>
                      <w:rFonts w:hint="eastAsia" w:ascii="Times New Roman" w:hAnsi="Times New Roman" w:eastAsia="宋体" w:cs="Times New Roman"/>
                      <w:b w:val="0"/>
                      <w:bCs/>
                      <w:color w:val="auto"/>
                      <w:spacing w:val="0"/>
                      <w:sz w:val="21"/>
                      <w:szCs w:val="21"/>
                      <w:vertAlign w:val="baseline"/>
                      <w:lang w:val="en-US" w:eastAsia="zh-CN"/>
                    </w:rPr>
                    <w:t>75</w:t>
                  </w:r>
                </w:p>
              </w:tc>
              <w:tc>
                <w:tcPr>
                  <w:tcW w:w="462" w:type="pct"/>
                  <w:vMerge w:val="restart"/>
                  <w:tcBorders>
                    <w:top w:val="single" w:color="auto" w:sz="12" w:space="0"/>
                    <w:bottom w:val="single" w:color="auto" w:sz="4" w:space="0"/>
                  </w:tcBorders>
                  <w:noWrap w:val="0"/>
                  <w:vAlign w:val="center"/>
                </w:tcPr>
                <w:p w14:paraId="1FF68E6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0"/>
                      <w:sz w:val="21"/>
                      <w:szCs w:val="21"/>
                      <w:vertAlign w:val="baseline"/>
                      <w:lang w:val="en-US" w:eastAsia="zh-CN"/>
                    </w:rPr>
                  </w:pPr>
                  <w:r>
                    <w:rPr>
                      <w:rFonts w:hint="eastAsia" w:ascii="Times New Roman" w:hAnsi="Times New Roman" w:eastAsia="宋体" w:cs="Times New Roman"/>
                      <w:b w:val="0"/>
                      <w:bCs/>
                      <w:color w:val="auto"/>
                      <w:spacing w:val="0"/>
                      <w:sz w:val="21"/>
                      <w:szCs w:val="21"/>
                      <w:vertAlign w:val="baseline"/>
                      <w:lang w:val="en-US" w:eastAsia="zh-CN"/>
                    </w:rPr>
                    <w:t>是</w:t>
                  </w:r>
                </w:p>
              </w:tc>
              <w:tc>
                <w:tcPr>
                  <w:tcW w:w="465" w:type="pct"/>
                  <w:tcBorders>
                    <w:top w:val="single" w:color="auto" w:sz="12" w:space="0"/>
                    <w:bottom w:val="single" w:color="auto" w:sz="4" w:space="0"/>
                  </w:tcBorders>
                  <w:noWrap w:val="0"/>
                  <w:vAlign w:val="center"/>
                </w:tcPr>
                <w:p w14:paraId="4064B57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0"/>
                      <w:sz w:val="21"/>
                      <w:szCs w:val="21"/>
                      <w:vertAlign w:val="baseline"/>
                      <w:lang w:val="en-US" w:eastAsia="zh-CN"/>
                    </w:rPr>
                  </w:pPr>
                  <w:r>
                    <w:rPr>
                      <w:rFonts w:hint="eastAsia" w:ascii="Times New Roman" w:hAnsi="Times New Roman" w:eastAsia="宋体" w:cs="Times New Roman"/>
                      <w:b w:val="0"/>
                      <w:bCs/>
                      <w:color w:val="auto"/>
                      <w:spacing w:val="0"/>
                      <w:sz w:val="21"/>
                      <w:szCs w:val="21"/>
                      <w:vertAlign w:val="baseline"/>
                      <w:lang w:val="en-US" w:eastAsia="zh-CN"/>
                    </w:rPr>
                    <w:t>/</w:t>
                  </w:r>
                </w:p>
              </w:tc>
              <w:tc>
                <w:tcPr>
                  <w:tcW w:w="504" w:type="pct"/>
                  <w:tcBorders>
                    <w:top w:val="single" w:color="auto" w:sz="12" w:space="0"/>
                    <w:bottom w:val="single" w:color="auto" w:sz="4" w:space="0"/>
                  </w:tcBorders>
                  <w:noWrap w:val="0"/>
                  <w:vAlign w:val="center"/>
                </w:tcPr>
                <w:p w14:paraId="6051BB9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0"/>
                      <w:sz w:val="21"/>
                      <w:szCs w:val="21"/>
                      <w:vertAlign w:val="baseline"/>
                      <w:lang w:val="en-US" w:eastAsia="zh-CN"/>
                    </w:rPr>
                  </w:pPr>
                  <w:r>
                    <w:rPr>
                      <w:rFonts w:hint="eastAsia" w:cs="Times New Roman"/>
                      <w:b w:val="0"/>
                      <w:bCs/>
                      <w:color w:val="auto"/>
                      <w:spacing w:val="0"/>
                      <w:sz w:val="21"/>
                      <w:szCs w:val="21"/>
                      <w:vertAlign w:val="baseline"/>
                      <w:lang w:val="en-US" w:eastAsia="zh-CN"/>
                    </w:rPr>
                    <w:t>0.776</w:t>
                  </w:r>
                </w:p>
              </w:tc>
            </w:tr>
            <w:tr w14:paraId="662F13A5">
              <w:tblPrEx>
                <w:tblBorders>
                  <w:top w:val="single" w:color="auto" w:sz="12" w:space="0"/>
                  <w:left w:val="none" w:color="auto" w:sz="0" w:space="0"/>
                  <w:bottom w:val="single" w:color="auto" w:sz="12" w:space="0"/>
                  <w:right w:val="none" w:color="auto" w:sz="0" w:space="0"/>
                  <w:insideH w:val="none" w:color="auto" w:sz="0" w:space="0"/>
                  <w:insideV w:val="single" w:color="auto" w:sz="4" w:space="0"/>
                </w:tblBorders>
                <w:tblCellMar>
                  <w:top w:w="0" w:type="dxa"/>
                  <w:left w:w="108" w:type="dxa"/>
                  <w:bottom w:w="0" w:type="dxa"/>
                  <w:right w:w="108" w:type="dxa"/>
                </w:tblCellMar>
              </w:tblPrEx>
              <w:tc>
                <w:tcPr>
                  <w:tcW w:w="264" w:type="pct"/>
                  <w:vMerge w:val="restart"/>
                  <w:tcBorders>
                    <w:top w:val="single" w:color="auto" w:sz="4" w:space="0"/>
                    <w:bottom w:val="single" w:color="auto" w:sz="4" w:space="0"/>
                  </w:tcBorders>
                  <w:noWrap w:val="0"/>
                  <w:vAlign w:val="center"/>
                </w:tcPr>
                <w:p w14:paraId="546350E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0"/>
                      <w:sz w:val="21"/>
                      <w:szCs w:val="21"/>
                      <w:vertAlign w:val="baseline"/>
                      <w:lang w:val="en-US" w:eastAsia="zh-CN"/>
                    </w:rPr>
                  </w:pPr>
                  <w:r>
                    <w:rPr>
                      <w:rFonts w:hint="eastAsia" w:ascii="Times New Roman" w:hAnsi="Times New Roman" w:eastAsia="宋体" w:cs="Times New Roman"/>
                      <w:b w:val="0"/>
                      <w:bCs/>
                      <w:color w:val="auto"/>
                      <w:spacing w:val="0"/>
                      <w:sz w:val="21"/>
                      <w:szCs w:val="21"/>
                      <w:vertAlign w:val="baseline"/>
                      <w:lang w:val="en-US" w:eastAsia="zh-CN"/>
                    </w:rPr>
                    <w:t>调配场</w:t>
                  </w:r>
                </w:p>
              </w:tc>
              <w:tc>
                <w:tcPr>
                  <w:tcW w:w="338" w:type="pct"/>
                  <w:tcBorders>
                    <w:top w:val="single" w:color="auto" w:sz="4" w:space="0"/>
                    <w:bottom w:val="single" w:color="auto" w:sz="4" w:space="0"/>
                  </w:tcBorders>
                  <w:noWrap w:val="0"/>
                  <w:vAlign w:val="center"/>
                </w:tcPr>
                <w:p w14:paraId="4134B41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0"/>
                      <w:sz w:val="21"/>
                      <w:szCs w:val="21"/>
                      <w:vertAlign w:val="baseline"/>
                      <w:lang w:val="en-US" w:eastAsia="zh-CN"/>
                    </w:rPr>
                  </w:pPr>
                  <w:r>
                    <w:rPr>
                      <w:rFonts w:hint="eastAsia" w:ascii="Times New Roman" w:hAnsi="Times New Roman" w:eastAsia="宋体" w:cs="Times New Roman"/>
                      <w:b w:val="0"/>
                      <w:bCs/>
                      <w:color w:val="auto"/>
                      <w:spacing w:val="0"/>
                      <w:sz w:val="21"/>
                      <w:szCs w:val="21"/>
                      <w:vertAlign w:val="baseline"/>
                      <w:lang w:val="en-US" w:eastAsia="zh-CN"/>
                    </w:rPr>
                    <w:t>装卸</w:t>
                  </w:r>
                </w:p>
              </w:tc>
              <w:tc>
                <w:tcPr>
                  <w:tcW w:w="264" w:type="pct"/>
                  <w:tcBorders>
                    <w:top w:val="single" w:color="auto" w:sz="4" w:space="0"/>
                    <w:bottom w:val="single" w:color="auto" w:sz="4" w:space="0"/>
                  </w:tcBorders>
                  <w:noWrap w:val="0"/>
                  <w:vAlign w:val="center"/>
                </w:tcPr>
                <w:p w14:paraId="7F35770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color w:val="auto"/>
                      <w:spacing w:val="0"/>
                      <w:sz w:val="21"/>
                      <w:szCs w:val="21"/>
                      <w:vertAlign w:val="baseline"/>
                      <w:lang w:val="en-US" w:eastAsia="zh-CN"/>
                    </w:rPr>
                  </w:pPr>
                  <w:r>
                    <w:rPr>
                      <w:rFonts w:hint="eastAsia" w:ascii="Times New Roman" w:hAnsi="Times New Roman" w:eastAsia="宋体" w:cs="Times New Roman"/>
                      <w:b w:val="0"/>
                      <w:bCs/>
                      <w:color w:val="auto"/>
                      <w:spacing w:val="0"/>
                      <w:sz w:val="21"/>
                      <w:szCs w:val="21"/>
                      <w:vertAlign w:val="baseline"/>
                      <w:lang w:val="en-US" w:eastAsia="zh-CN"/>
                    </w:rPr>
                    <w:t>颗粒物</w:t>
                  </w:r>
                </w:p>
              </w:tc>
              <w:tc>
                <w:tcPr>
                  <w:tcW w:w="414" w:type="pct"/>
                  <w:vMerge w:val="continue"/>
                  <w:tcBorders>
                    <w:top w:val="single" w:color="auto" w:sz="4" w:space="0"/>
                    <w:bottom w:val="single" w:color="auto" w:sz="4" w:space="0"/>
                  </w:tcBorders>
                  <w:noWrap w:val="0"/>
                  <w:vAlign w:val="center"/>
                </w:tcPr>
                <w:p w14:paraId="367EA31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color w:val="auto"/>
                      <w:spacing w:val="0"/>
                      <w:sz w:val="21"/>
                      <w:szCs w:val="21"/>
                      <w:vertAlign w:val="baseline"/>
                      <w:lang w:val="en-US" w:eastAsia="zh-CN"/>
                    </w:rPr>
                  </w:pPr>
                </w:p>
              </w:tc>
              <w:tc>
                <w:tcPr>
                  <w:tcW w:w="462" w:type="pct"/>
                  <w:tcBorders>
                    <w:top w:val="single" w:color="auto" w:sz="4" w:space="0"/>
                    <w:bottom w:val="single" w:color="auto" w:sz="4" w:space="0"/>
                  </w:tcBorders>
                  <w:noWrap w:val="0"/>
                  <w:vAlign w:val="center"/>
                </w:tcPr>
                <w:p w14:paraId="5598195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0"/>
                      <w:sz w:val="21"/>
                      <w:szCs w:val="21"/>
                      <w:vertAlign w:val="baseline"/>
                      <w:lang w:val="en-US" w:eastAsia="zh-CN"/>
                    </w:rPr>
                  </w:pPr>
                  <w:r>
                    <w:rPr>
                      <w:rFonts w:hint="eastAsia" w:ascii="Times New Roman" w:hAnsi="Times New Roman" w:eastAsia="宋体" w:cs="Times New Roman"/>
                      <w:b w:val="0"/>
                      <w:bCs/>
                      <w:color w:val="auto"/>
                      <w:spacing w:val="0"/>
                      <w:sz w:val="21"/>
                      <w:szCs w:val="21"/>
                      <w:vertAlign w:val="baseline"/>
                      <w:lang w:val="en-US" w:eastAsia="zh-CN"/>
                    </w:rPr>
                    <w:t>/</w:t>
                  </w:r>
                </w:p>
              </w:tc>
              <w:tc>
                <w:tcPr>
                  <w:tcW w:w="606" w:type="pct"/>
                  <w:tcBorders>
                    <w:top w:val="single" w:color="auto" w:sz="4" w:space="0"/>
                    <w:bottom w:val="single" w:color="auto" w:sz="4" w:space="0"/>
                  </w:tcBorders>
                  <w:noWrap w:val="0"/>
                  <w:vAlign w:val="center"/>
                </w:tcPr>
                <w:p w14:paraId="674B456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0"/>
                      <w:sz w:val="21"/>
                      <w:szCs w:val="21"/>
                      <w:vertAlign w:val="baseline"/>
                      <w:lang w:val="en-US" w:eastAsia="zh-CN"/>
                    </w:rPr>
                  </w:pPr>
                  <w:r>
                    <w:rPr>
                      <w:rFonts w:hint="eastAsia" w:cs="Times New Roman"/>
                      <w:b w:val="0"/>
                      <w:bCs/>
                      <w:color w:val="auto"/>
                      <w:spacing w:val="0"/>
                      <w:sz w:val="21"/>
                      <w:szCs w:val="21"/>
                      <w:vertAlign w:val="baseline"/>
                      <w:lang w:val="en-US" w:eastAsia="zh-CN"/>
                    </w:rPr>
                    <w:t>14.23</w:t>
                  </w:r>
                </w:p>
              </w:tc>
              <w:tc>
                <w:tcPr>
                  <w:tcW w:w="755" w:type="pct"/>
                  <w:tcBorders>
                    <w:top w:val="single" w:color="auto" w:sz="4" w:space="0"/>
                    <w:bottom w:val="single" w:color="auto" w:sz="4" w:space="0"/>
                  </w:tcBorders>
                  <w:noWrap w:val="0"/>
                  <w:vAlign w:val="center"/>
                </w:tcPr>
                <w:p w14:paraId="12E012E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color w:val="auto"/>
                      <w:spacing w:val="0"/>
                      <w:sz w:val="21"/>
                      <w:szCs w:val="21"/>
                      <w:vertAlign w:val="baseline"/>
                      <w:lang w:val="en-US" w:eastAsia="zh-CN"/>
                    </w:rPr>
                  </w:pPr>
                  <w:r>
                    <w:rPr>
                      <w:rFonts w:hint="default" w:ascii="Times New Roman" w:hAnsi="Times New Roman" w:eastAsia="宋体" w:cs="Times New Roman"/>
                      <w:color w:val="auto"/>
                      <w:sz w:val="21"/>
                      <w:szCs w:val="21"/>
                      <w:lang w:val="en-US" w:eastAsia="zh-CN"/>
                    </w:rPr>
                    <w:t>降低倾倒高度，</w:t>
                  </w:r>
                  <w:r>
                    <w:rPr>
                      <w:rFonts w:hint="eastAsia" w:ascii="Times New Roman" w:hAnsi="Times New Roman" w:eastAsia="宋体" w:cs="Times New Roman"/>
                      <w:color w:val="auto"/>
                      <w:sz w:val="21"/>
                      <w:szCs w:val="21"/>
                      <w:lang w:val="en-US" w:eastAsia="zh-CN"/>
                    </w:rPr>
                    <w:t>装</w:t>
                  </w:r>
                  <w:r>
                    <w:rPr>
                      <w:rFonts w:hint="default" w:ascii="Times New Roman" w:hAnsi="Times New Roman" w:eastAsia="宋体" w:cs="Times New Roman"/>
                      <w:color w:val="auto"/>
                      <w:sz w:val="21"/>
                      <w:szCs w:val="21"/>
                      <w:lang w:val="en-US" w:eastAsia="zh-CN"/>
                    </w:rPr>
                    <w:t>卸车时及时洒水</w:t>
                  </w:r>
                </w:p>
              </w:tc>
              <w:tc>
                <w:tcPr>
                  <w:tcW w:w="458" w:type="pct"/>
                  <w:vMerge w:val="continue"/>
                  <w:tcBorders>
                    <w:top w:val="single" w:color="auto" w:sz="4" w:space="0"/>
                    <w:bottom w:val="single" w:color="auto" w:sz="4" w:space="0"/>
                  </w:tcBorders>
                  <w:noWrap w:val="0"/>
                  <w:vAlign w:val="center"/>
                </w:tcPr>
                <w:p w14:paraId="3AA7ABF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color w:val="auto"/>
                      <w:spacing w:val="0"/>
                      <w:sz w:val="21"/>
                      <w:szCs w:val="21"/>
                      <w:vertAlign w:val="baseline"/>
                      <w:lang w:val="en-US" w:eastAsia="zh-CN"/>
                    </w:rPr>
                  </w:pPr>
                </w:p>
              </w:tc>
              <w:tc>
                <w:tcPr>
                  <w:tcW w:w="462" w:type="pct"/>
                  <w:vMerge w:val="continue"/>
                  <w:tcBorders>
                    <w:top w:val="single" w:color="auto" w:sz="4" w:space="0"/>
                    <w:bottom w:val="single" w:color="auto" w:sz="4" w:space="0"/>
                  </w:tcBorders>
                  <w:noWrap w:val="0"/>
                  <w:vAlign w:val="center"/>
                </w:tcPr>
                <w:p w14:paraId="5D63F0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color w:val="auto"/>
                      <w:spacing w:val="0"/>
                      <w:sz w:val="21"/>
                      <w:szCs w:val="21"/>
                      <w:vertAlign w:val="baseline"/>
                      <w:lang w:val="en-US" w:eastAsia="zh-CN"/>
                    </w:rPr>
                  </w:pPr>
                </w:p>
              </w:tc>
              <w:tc>
                <w:tcPr>
                  <w:tcW w:w="465" w:type="pct"/>
                  <w:tcBorders>
                    <w:top w:val="single" w:color="auto" w:sz="4" w:space="0"/>
                    <w:bottom w:val="single" w:color="auto" w:sz="4" w:space="0"/>
                  </w:tcBorders>
                  <w:noWrap w:val="0"/>
                  <w:vAlign w:val="center"/>
                </w:tcPr>
                <w:p w14:paraId="5758ADA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0"/>
                      <w:sz w:val="21"/>
                      <w:szCs w:val="21"/>
                      <w:vertAlign w:val="baseline"/>
                      <w:lang w:val="en-US" w:eastAsia="zh-CN"/>
                    </w:rPr>
                  </w:pPr>
                  <w:r>
                    <w:rPr>
                      <w:rFonts w:hint="eastAsia" w:ascii="Times New Roman" w:hAnsi="Times New Roman" w:eastAsia="宋体" w:cs="Times New Roman"/>
                      <w:b w:val="0"/>
                      <w:bCs/>
                      <w:color w:val="auto"/>
                      <w:spacing w:val="0"/>
                      <w:sz w:val="21"/>
                      <w:szCs w:val="21"/>
                      <w:vertAlign w:val="baseline"/>
                      <w:lang w:val="en-US" w:eastAsia="zh-CN"/>
                    </w:rPr>
                    <w:t>/</w:t>
                  </w:r>
                </w:p>
              </w:tc>
              <w:tc>
                <w:tcPr>
                  <w:tcW w:w="504" w:type="pct"/>
                  <w:tcBorders>
                    <w:top w:val="single" w:color="auto" w:sz="4" w:space="0"/>
                    <w:bottom w:val="single" w:color="auto" w:sz="4" w:space="0"/>
                  </w:tcBorders>
                  <w:noWrap w:val="0"/>
                  <w:vAlign w:val="center"/>
                </w:tcPr>
                <w:p w14:paraId="3925F12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0"/>
                      <w:sz w:val="21"/>
                      <w:szCs w:val="21"/>
                      <w:vertAlign w:val="baseline"/>
                      <w:lang w:val="en-US" w:eastAsia="zh-CN"/>
                    </w:rPr>
                  </w:pPr>
                  <w:r>
                    <w:rPr>
                      <w:rFonts w:hint="eastAsia" w:cs="Times New Roman"/>
                      <w:b w:val="0"/>
                      <w:bCs/>
                      <w:color w:val="auto"/>
                      <w:spacing w:val="0"/>
                      <w:sz w:val="21"/>
                      <w:szCs w:val="21"/>
                      <w:vertAlign w:val="baseline"/>
                      <w:lang w:val="en-US" w:eastAsia="zh-CN"/>
                    </w:rPr>
                    <w:t>3.56</w:t>
                  </w:r>
                </w:p>
              </w:tc>
            </w:tr>
            <w:tr w14:paraId="43FA4C4B">
              <w:tblPrEx>
                <w:tblBorders>
                  <w:top w:val="single" w:color="auto" w:sz="12" w:space="0"/>
                  <w:left w:val="none" w:color="auto" w:sz="0" w:space="0"/>
                  <w:bottom w:val="single" w:color="auto" w:sz="12" w:space="0"/>
                  <w:right w:val="none" w:color="auto" w:sz="0" w:space="0"/>
                  <w:insideH w:val="none" w:color="auto" w:sz="0" w:space="0"/>
                  <w:insideV w:val="single" w:color="auto" w:sz="4" w:space="0"/>
                </w:tblBorders>
                <w:tblCellMar>
                  <w:top w:w="0" w:type="dxa"/>
                  <w:left w:w="108" w:type="dxa"/>
                  <w:bottom w:w="0" w:type="dxa"/>
                  <w:right w:w="108" w:type="dxa"/>
                </w:tblCellMar>
              </w:tblPrEx>
              <w:tc>
                <w:tcPr>
                  <w:tcW w:w="264" w:type="pct"/>
                  <w:vMerge w:val="continue"/>
                  <w:tcBorders>
                    <w:top w:val="single" w:color="auto" w:sz="4" w:space="0"/>
                    <w:bottom w:val="single" w:color="auto" w:sz="4" w:space="0"/>
                  </w:tcBorders>
                  <w:noWrap w:val="0"/>
                  <w:vAlign w:val="center"/>
                </w:tcPr>
                <w:p w14:paraId="68404FF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color w:val="auto"/>
                      <w:spacing w:val="0"/>
                      <w:sz w:val="21"/>
                      <w:szCs w:val="21"/>
                      <w:vertAlign w:val="baseline"/>
                      <w:lang w:val="en-US" w:eastAsia="zh-CN"/>
                    </w:rPr>
                  </w:pPr>
                </w:p>
              </w:tc>
              <w:tc>
                <w:tcPr>
                  <w:tcW w:w="338" w:type="pct"/>
                  <w:tcBorders>
                    <w:top w:val="single" w:color="auto" w:sz="4" w:space="0"/>
                    <w:bottom w:val="single" w:color="auto" w:sz="4" w:space="0"/>
                  </w:tcBorders>
                  <w:noWrap w:val="0"/>
                  <w:vAlign w:val="center"/>
                </w:tcPr>
                <w:p w14:paraId="09D1A6A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0"/>
                      <w:sz w:val="21"/>
                      <w:szCs w:val="21"/>
                      <w:vertAlign w:val="baseline"/>
                      <w:lang w:val="en-US" w:eastAsia="zh-CN"/>
                    </w:rPr>
                  </w:pPr>
                  <w:r>
                    <w:rPr>
                      <w:rFonts w:hint="eastAsia" w:ascii="Times New Roman" w:hAnsi="Times New Roman" w:eastAsia="宋体" w:cs="Times New Roman"/>
                      <w:b w:val="0"/>
                      <w:bCs/>
                      <w:color w:val="auto"/>
                      <w:spacing w:val="0"/>
                      <w:sz w:val="21"/>
                      <w:szCs w:val="21"/>
                      <w:vertAlign w:val="baseline"/>
                      <w:lang w:val="en-US" w:eastAsia="zh-CN"/>
                    </w:rPr>
                    <w:t>堆存</w:t>
                  </w:r>
                </w:p>
              </w:tc>
              <w:tc>
                <w:tcPr>
                  <w:tcW w:w="264" w:type="pct"/>
                  <w:tcBorders>
                    <w:top w:val="single" w:color="auto" w:sz="4" w:space="0"/>
                    <w:bottom w:val="single" w:color="auto" w:sz="4" w:space="0"/>
                  </w:tcBorders>
                  <w:noWrap w:val="0"/>
                  <w:vAlign w:val="center"/>
                </w:tcPr>
                <w:p w14:paraId="6E30E4A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color w:val="auto"/>
                      <w:spacing w:val="0"/>
                      <w:sz w:val="21"/>
                      <w:szCs w:val="21"/>
                      <w:vertAlign w:val="baseline"/>
                      <w:lang w:val="en-US" w:eastAsia="zh-CN"/>
                    </w:rPr>
                  </w:pPr>
                  <w:r>
                    <w:rPr>
                      <w:rFonts w:hint="eastAsia" w:ascii="Times New Roman" w:hAnsi="Times New Roman" w:eastAsia="宋体" w:cs="Times New Roman"/>
                      <w:b w:val="0"/>
                      <w:bCs/>
                      <w:color w:val="auto"/>
                      <w:spacing w:val="0"/>
                      <w:sz w:val="21"/>
                      <w:szCs w:val="21"/>
                      <w:vertAlign w:val="baseline"/>
                      <w:lang w:val="en-US" w:eastAsia="zh-CN"/>
                    </w:rPr>
                    <w:t>颗粒物</w:t>
                  </w:r>
                </w:p>
              </w:tc>
              <w:tc>
                <w:tcPr>
                  <w:tcW w:w="414" w:type="pct"/>
                  <w:vMerge w:val="continue"/>
                  <w:tcBorders>
                    <w:top w:val="single" w:color="auto" w:sz="4" w:space="0"/>
                    <w:bottom w:val="single" w:color="auto" w:sz="4" w:space="0"/>
                  </w:tcBorders>
                  <w:noWrap w:val="0"/>
                  <w:vAlign w:val="center"/>
                </w:tcPr>
                <w:p w14:paraId="6E89957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color w:val="auto"/>
                      <w:spacing w:val="0"/>
                      <w:sz w:val="21"/>
                      <w:szCs w:val="21"/>
                      <w:vertAlign w:val="baseline"/>
                      <w:lang w:val="en-US" w:eastAsia="zh-CN"/>
                    </w:rPr>
                  </w:pPr>
                </w:p>
              </w:tc>
              <w:tc>
                <w:tcPr>
                  <w:tcW w:w="462" w:type="pct"/>
                  <w:tcBorders>
                    <w:top w:val="single" w:color="auto" w:sz="4" w:space="0"/>
                    <w:bottom w:val="single" w:color="auto" w:sz="4" w:space="0"/>
                  </w:tcBorders>
                  <w:noWrap w:val="0"/>
                  <w:vAlign w:val="center"/>
                </w:tcPr>
                <w:p w14:paraId="1C720D6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0"/>
                      <w:sz w:val="21"/>
                      <w:szCs w:val="21"/>
                      <w:vertAlign w:val="baseline"/>
                      <w:lang w:val="en-US" w:eastAsia="zh-CN"/>
                    </w:rPr>
                  </w:pPr>
                  <w:r>
                    <w:rPr>
                      <w:rFonts w:hint="eastAsia" w:ascii="Times New Roman" w:hAnsi="Times New Roman" w:eastAsia="宋体" w:cs="Times New Roman"/>
                      <w:b w:val="0"/>
                      <w:bCs/>
                      <w:color w:val="auto"/>
                      <w:spacing w:val="0"/>
                      <w:sz w:val="21"/>
                      <w:szCs w:val="21"/>
                      <w:vertAlign w:val="baseline"/>
                      <w:lang w:val="en-US" w:eastAsia="zh-CN"/>
                    </w:rPr>
                    <w:t>/</w:t>
                  </w:r>
                </w:p>
              </w:tc>
              <w:tc>
                <w:tcPr>
                  <w:tcW w:w="606" w:type="pct"/>
                  <w:tcBorders>
                    <w:top w:val="single" w:color="auto" w:sz="4" w:space="0"/>
                    <w:bottom w:val="single" w:color="auto" w:sz="4" w:space="0"/>
                  </w:tcBorders>
                  <w:noWrap w:val="0"/>
                  <w:vAlign w:val="center"/>
                </w:tcPr>
                <w:p w14:paraId="2990190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0"/>
                      <w:sz w:val="21"/>
                      <w:szCs w:val="21"/>
                      <w:vertAlign w:val="baseline"/>
                      <w:lang w:val="en-US" w:eastAsia="zh-CN"/>
                    </w:rPr>
                  </w:pPr>
                  <w:r>
                    <w:rPr>
                      <w:rFonts w:hint="eastAsia" w:ascii="Times New Roman" w:hAnsi="Times New Roman" w:eastAsia="宋体" w:cs="Times New Roman"/>
                      <w:b w:val="0"/>
                      <w:bCs/>
                      <w:color w:val="auto"/>
                      <w:spacing w:val="0"/>
                      <w:sz w:val="21"/>
                      <w:szCs w:val="21"/>
                      <w:vertAlign w:val="baseline"/>
                      <w:lang w:val="en-US" w:eastAsia="zh-CN"/>
                    </w:rPr>
                    <w:t>0.435</w:t>
                  </w:r>
                </w:p>
              </w:tc>
              <w:tc>
                <w:tcPr>
                  <w:tcW w:w="755" w:type="pct"/>
                  <w:tcBorders>
                    <w:top w:val="single" w:color="auto" w:sz="4" w:space="0"/>
                    <w:bottom w:val="single" w:color="auto" w:sz="4" w:space="0"/>
                  </w:tcBorders>
                  <w:noWrap w:val="0"/>
                  <w:vAlign w:val="center"/>
                </w:tcPr>
                <w:p w14:paraId="395695A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0"/>
                      <w:sz w:val="21"/>
                      <w:szCs w:val="21"/>
                      <w:vertAlign w:val="baseline"/>
                      <w:lang w:val="en-US" w:eastAsia="zh-CN"/>
                    </w:rPr>
                  </w:pPr>
                  <w:r>
                    <w:rPr>
                      <w:rFonts w:hint="eastAsia" w:ascii="Times New Roman" w:hAnsi="Times New Roman" w:eastAsia="宋体" w:cs="Times New Roman"/>
                      <w:b w:val="0"/>
                      <w:bCs/>
                      <w:color w:val="auto"/>
                      <w:spacing w:val="0"/>
                      <w:sz w:val="21"/>
                      <w:szCs w:val="21"/>
                      <w:vertAlign w:val="baseline"/>
                      <w:lang w:val="en-US" w:eastAsia="zh-CN"/>
                    </w:rPr>
                    <w:t>防风抑尘网结合喷淋、分区堆放、防尘网覆盖</w:t>
                  </w:r>
                </w:p>
              </w:tc>
              <w:tc>
                <w:tcPr>
                  <w:tcW w:w="458" w:type="pct"/>
                  <w:vMerge w:val="continue"/>
                  <w:tcBorders>
                    <w:top w:val="single" w:color="auto" w:sz="4" w:space="0"/>
                    <w:bottom w:val="single" w:color="auto" w:sz="4" w:space="0"/>
                  </w:tcBorders>
                  <w:noWrap w:val="0"/>
                  <w:vAlign w:val="center"/>
                </w:tcPr>
                <w:p w14:paraId="0D8FAA0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color w:val="auto"/>
                      <w:spacing w:val="0"/>
                      <w:sz w:val="21"/>
                      <w:szCs w:val="21"/>
                      <w:vertAlign w:val="baseline"/>
                      <w:lang w:val="en-US" w:eastAsia="zh-CN"/>
                    </w:rPr>
                  </w:pPr>
                </w:p>
              </w:tc>
              <w:tc>
                <w:tcPr>
                  <w:tcW w:w="462" w:type="pct"/>
                  <w:vMerge w:val="continue"/>
                  <w:tcBorders>
                    <w:top w:val="single" w:color="auto" w:sz="4" w:space="0"/>
                    <w:bottom w:val="single" w:color="auto" w:sz="4" w:space="0"/>
                  </w:tcBorders>
                  <w:noWrap w:val="0"/>
                  <w:vAlign w:val="center"/>
                </w:tcPr>
                <w:p w14:paraId="6DE9FA3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color w:val="auto"/>
                      <w:spacing w:val="0"/>
                      <w:sz w:val="21"/>
                      <w:szCs w:val="21"/>
                      <w:vertAlign w:val="baseline"/>
                      <w:lang w:val="en-US" w:eastAsia="zh-CN"/>
                    </w:rPr>
                  </w:pPr>
                </w:p>
              </w:tc>
              <w:tc>
                <w:tcPr>
                  <w:tcW w:w="465" w:type="pct"/>
                  <w:tcBorders>
                    <w:top w:val="single" w:color="auto" w:sz="4" w:space="0"/>
                    <w:bottom w:val="single" w:color="auto" w:sz="4" w:space="0"/>
                  </w:tcBorders>
                  <w:noWrap w:val="0"/>
                  <w:vAlign w:val="center"/>
                </w:tcPr>
                <w:p w14:paraId="7B0E21C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0"/>
                      <w:sz w:val="21"/>
                      <w:szCs w:val="21"/>
                      <w:vertAlign w:val="baseline"/>
                      <w:lang w:val="en-US" w:eastAsia="zh-CN"/>
                    </w:rPr>
                  </w:pPr>
                  <w:r>
                    <w:rPr>
                      <w:rFonts w:hint="eastAsia" w:ascii="Times New Roman" w:hAnsi="Times New Roman" w:eastAsia="宋体" w:cs="Times New Roman"/>
                      <w:b w:val="0"/>
                      <w:bCs/>
                      <w:color w:val="auto"/>
                      <w:spacing w:val="0"/>
                      <w:sz w:val="21"/>
                      <w:szCs w:val="21"/>
                      <w:vertAlign w:val="baseline"/>
                      <w:lang w:val="en-US" w:eastAsia="zh-CN"/>
                    </w:rPr>
                    <w:t>/</w:t>
                  </w:r>
                </w:p>
              </w:tc>
              <w:tc>
                <w:tcPr>
                  <w:tcW w:w="504" w:type="pct"/>
                  <w:tcBorders>
                    <w:top w:val="single" w:color="auto" w:sz="4" w:space="0"/>
                    <w:bottom w:val="single" w:color="auto" w:sz="4" w:space="0"/>
                  </w:tcBorders>
                  <w:noWrap w:val="0"/>
                  <w:vAlign w:val="center"/>
                </w:tcPr>
                <w:p w14:paraId="2CE96B0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0"/>
                      <w:sz w:val="21"/>
                      <w:szCs w:val="21"/>
                      <w:vertAlign w:val="baseline"/>
                      <w:lang w:val="en-US" w:eastAsia="zh-CN"/>
                    </w:rPr>
                  </w:pPr>
                  <w:r>
                    <w:rPr>
                      <w:rFonts w:hint="eastAsia" w:ascii="Times New Roman" w:hAnsi="Times New Roman" w:eastAsia="宋体" w:cs="Times New Roman"/>
                      <w:b w:val="0"/>
                      <w:bCs/>
                      <w:color w:val="auto"/>
                      <w:spacing w:val="0"/>
                      <w:sz w:val="21"/>
                      <w:szCs w:val="21"/>
                      <w:vertAlign w:val="baseline"/>
                      <w:lang w:val="en-US" w:eastAsia="zh-CN"/>
                    </w:rPr>
                    <w:t>0.109</w:t>
                  </w:r>
                </w:p>
              </w:tc>
            </w:tr>
            <w:tr w14:paraId="2A77D60C">
              <w:tblPrEx>
                <w:tblBorders>
                  <w:top w:val="single" w:color="auto" w:sz="12" w:space="0"/>
                  <w:left w:val="none" w:color="auto" w:sz="0" w:space="0"/>
                  <w:bottom w:val="single" w:color="auto" w:sz="12" w:space="0"/>
                  <w:right w:val="none" w:color="auto" w:sz="0" w:space="0"/>
                  <w:insideH w:val="none" w:color="auto" w:sz="0" w:space="0"/>
                  <w:insideV w:val="single" w:color="auto" w:sz="4" w:space="0"/>
                </w:tblBorders>
                <w:tblCellMar>
                  <w:top w:w="0" w:type="dxa"/>
                  <w:left w:w="108" w:type="dxa"/>
                  <w:bottom w:w="0" w:type="dxa"/>
                  <w:right w:w="108" w:type="dxa"/>
                </w:tblCellMar>
              </w:tblPrEx>
              <w:tc>
                <w:tcPr>
                  <w:tcW w:w="4495" w:type="pct"/>
                  <w:gridSpan w:val="10"/>
                  <w:tcBorders>
                    <w:top w:val="single" w:color="auto" w:sz="4" w:space="0"/>
                    <w:tl2br w:val="nil"/>
                    <w:tr2bl w:val="nil"/>
                  </w:tcBorders>
                  <w:noWrap w:val="0"/>
                  <w:vAlign w:val="center"/>
                </w:tcPr>
                <w:p w14:paraId="43BB209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b w:val="0"/>
                      <w:bCs/>
                      <w:color w:val="auto"/>
                      <w:spacing w:val="0"/>
                      <w:sz w:val="21"/>
                      <w:szCs w:val="21"/>
                      <w:vertAlign w:val="baseline"/>
                      <w:lang w:val="en-US" w:eastAsia="zh-CN"/>
                    </w:rPr>
                  </w:pPr>
                  <w:r>
                    <w:rPr>
                      <w:rFonts w:hint="eastAsia" w:ascii="Times New Roman" w:hAnsi="Times New Roman" w:eastAsia="宋体" w:cs="Times New Roman"/>
                      <w:b w:val="0"/>
                      <w:bCs/>
                      <w:color w:val="auto"/>
                      <w:spacing w:val="0"/>
                      <w:sz w:val="21"/>
                      <w:szCs w:val="21"/>
                      <w:vertAlign w:val="baseline"/>
                      <w:lang w:val="en-US" w:eastAsia="zh-CN"/>
                    </w:rPr>
                    <w:t>合计</w:t>
                  </w:r>
                </w:p>
              </w:tc>
              <w:tc>
                <w:tcPr>
                  <w:tcW w:w="504" w:type="pct"/>
                  <w:tcBorders>
                    <w:top w:val="single" w:color="auto" w:sz="4" w:space="0"/>
                    <w:tl2br w:val="nil"/>
                    <w:tr2bl w:val="nil"/>
                  </w:tcBorders>
                  <w:noWrap w:val="0"/>
                  <w:vAlign w:val="center"/>
                </w:tcPr>
                <w:p w14:paraId="106A877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 w:val="0"/>
                      <w:bCs/>
                      <w:color w:val="auto"/>
                      <w:spacing w:val="0"/>
                      <w:sz w:val="21"/>
                      <w:szCs w:val="21"/>
                      <w:vertAlign w:val="baseline"/>
                      <w:lang w:val="en-US" w:eastAsia="zh-CN"/>
                    </w:rPr>
                  </w:pPr>
                  <w:r>
                    <w:rPr>
                      <w:rFonts w:hint="eastAsia" w:cs="Times New Roman"/>
                      <w:b w:val="0"/>
                      <w:bCs/>
                      <w:color w:val="auto"/>
                      <w:spacing w:val="0"/>
                      <w:sz w:val="21"/>
                      <w:szCs w:val="21"/>
                      <w:vertAlign w:val="baseline"/>
                      <w:lang w:val="en-US" w:eastAsia="zh-CN"/>
                    </w:rPr>
                    <w:t>4.445</w:t>
                  </w:r>
                </w:p>
              </w:tc>
            </w:tr>
          </w:tbl>
          <w:p w14:paraId="13DBD531">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eastAsia="宋体" w:cs="Times New Roman"/>
                <w:bCs/>
                <w:color w:val="auto"/>
                <w:spacing w:val="0"/>
                <w:sz w:val="24"/>
                <w:szCs w:val="24"/>
                <w:lang w:val="en-US" w:eastAsia="zh-CN"/>
              </w:rPr>
            </w:pPr>
            <w:r>
              <w:rPr>
                <w:rFonts w:hint="eastAsia" w:ascii="Times New Roman" w:hAnsi="Times New Roman" w:cs="Times New Roman"/>
                <w:b/>
                <w:bCs w:val="0"/>
                <w:color w:val="auto"/>
                <w:spacing w:val="0"/>
                <w:sz w:val="24"/>
                <w:szCs w:val="24"/>
                <w:lang w:val="en-US" w:eastAsia="zh-CN"/>
              </w:rPr>
              <w:t>1.2 废气处理措施及其可行性分析</w:t>
            </w:r>
          </w:p>
          <w:p w14:paraId="598D613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auto"/>
                <w:spacing w:val="0"/>
                <w:sz w:val="24"/>
                <w:szCs w:val="24"/>
                <w:lang w:val="en-US" w:eastAsia="zh-CN"/>
              </w:rPr>
            </w:pPr>
            <w:r>
              <w:rPr>
                <w:rFonts w:hint="eastAsia" w:ascii="Calibri" w:hAnsi="Calibri" w:cs="Calibri"/>
                <w:color w:val="auto"/>
                <w:sz w:val="24"/>
                <w:szCs w:val="32"/>
                <w:lang w:eastAsia="zh-CN"/>
              </w:rPr>
              <w:t>（</w:t>
            </w:r>
            <w:r>
              <w:rPr>
                <w:rFonts w:hint="eastAsia" w:ascii="Calibri" w:hAnsi="Calibri" w:cs="Calibri"/>
                <w:color w:val="auto"/>
                <w:sz w:val="24"/>
                <w:szCs w:val="32"/>
                <w:lang w:val="en-US" w:eastAsia="zh-CN"/>
              </w:rPr>
              <w:t>1</w:t>
            </w:r>
            <w:r>
              <w:rPr>
                <w:rFonts w:hint="eastAsia" w:ascii="Calibri" w:hAnsi="Calibri" w:cs="Calibri"/>
                <w:color w:val="auto"/>
                <w:sz w:val="24"/>
                <w:szCs w:val="32"/>
                <w:lang w:eastAsia="zh-CN"/>
              </w:rPr>
              <w:t>）</w:t>
            </w:r>
            <w:r>
              <w:rPr>
                <w:color w:val="auto"/>
                <w:sz w:val="24"/>
                <w:szCs w:val="32"/>
              </w:rPr>
              <w:t>运输车辆</w:t>
            </w:r>
            <w:r>
              <w:rPr>
                <w:rFonts w:hint="eastAsia"/>
                <w:color w:val="auto"/>
                <w:sz w:val="24"/>
                <w:szCs w:val="32"/>
              </w:rPr>
              <w:t>道路</w:t>
            </w:r>
            <w:r>
              <w:rPr>
                <w:rFonts w:hint="eastAsia"/>
                <w:color w:val="auto"/>
                <w:sz w:val="24"/>
                <w:szCs w:val="32"/>
                <w:lang w:val="en-US" w:eastAsia="zh-CN"/>
              </w:rPr>
              <w:t>扬尘</w:t>
            </w:r>
            <w:r>
              <w:rPr>
                <w:rFonts w:hint="eastAsia" w:ascii="Times New Roman" w:hAnsi="Times New Roman" w:eastAsia="宋体" w:cs="Times New Roman"/>
                <w:bCs/>
                <w:color w:val="auto"/>
                <w:spacing w:val="0"/>
                <w:sz w:val="24"/>
                <w:szCs w:val="24"/>
                <w:lang w:val="en-US" w:eastAsia="zh-CN"/>
              </w:rPr>
              <w:t>防治措施</w:t>
            </w:r>
          </w:p>
          <w:p w14:paraId="711F5C69">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auto"/>
                <w:spacing w:val="0"/>
                <w:sz w:val="24"/>
                <w:szCs w:val="24"/>
                <w:lang w:val="en-US" w:eastAsia="zh-CN"/>
              </w:rPr>
            </w:pPr>
            <w:r>
              <w:rPr>
                <w:rFonts w:hint="eastAsia" w:ascii="Times New Roman" w:hAnsi="Times New Roman" w:cs="Times New Roman"/>
                <w:bCs/>
                <w:color w:val="auto"/>
                <w:spacing w:val="0"/>
                <w:sz w:val="24"/>
                <w:szCs w:val="24"/>
                <w:lang w:val="en-US" w:eastAsia="zh-CN"/>
              </w:rPr>
              <w:t>①为减轻建筑垃圾运输时产生的扬尘对大气环境的影响，使用专用车辆运输，上部加盖篷布苫盖。</w:t>
            </w:r>
            <w:r>
              <w:rPr>
                <w:rFonts w:hint="eastAsia" w:ascii="Times New Roman" w:hAnsi="Times New Roman" w:eastAsia="宋体" w:cs="Times New Roman"/>
                <w:bCs/>
                <w:color w:val="auto"/>
                <w:spacing w:val="0"/>
                <w:sz w:val="24"/>
                <w:szCs w:val="24"/>
                <w:lang w:val="en-US" w:eastAsia="zh-CN"/>
              </w:rPr>
              <w:t>建筑垃圾装车高度不得超过车厢板高度，装载量不得超过车辆自身的限载重量。</w:t>
            </w:r>
          </w:p>
          <w:p w14:paraId="22A2AC5E">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spacing w:val="0"/>
                <w:sz w:val="24"/>
                <w:szCs w:val="24"/>
                <w:lang w:val="en-US" w:eastAsia="zh-CN"/>
              </w:rPr>
            </w:pPr>
            <w:r>
              <w:rPr>
                <w:rFonts w:hint="eastAsia" w:ascii="Times New Roman" w:hAnsi="Times New Roman" w:eastAsia="宋体" w:cs="Times New Roman"/>
                <w:bCs/>
                <w:color w:val="auto"/>
                <w:spacing w:val="0"/>
                <w:sz w:val="24"/>
                <w:szCs w:val="24"/>
                <w:lang w:val="en-US" w:eastAsia="zh-CN"/>
              </w:rPr>
              <w:t>②加强调配场作业管理，在进入调配场内道路后应注意控制行车、行驶时的速度。</w:t>
            </w:r>
          </w:p>
          <w:p w14:paraId="077B1EF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spacing w:val="0"/>
                <w:sz w:val="24"/>
                <w:szCs w:val="24"/>
                <w:lang w:val="en-US" w:eastAsia="zh-CN"/>
              </w:rPr>
            </w:pPr>
            <w:r>
              <w:rPr>
                <w:rFonts w:hint="eastAsia" w:ascii="Times New Roman" w:hAnsi="Times New Roman" w:eastAsia="宋体" w:cs="Times New Roman"/>
                <w:bCs/>
                <w:color w:val="auto"/>
                <w:spacing w:val="0"/>
                <w:sz w:val="24"/>
                <w:szCs w:val="24"/>
                <w:lang w:val="en-US" w:eastAsia="zh-CN"/>
              </w:rPr>
              <w:t>③场内道路使用洒水车定期洒水降尘。运输车辆往返，车厢板和轮胎会滞留有残灰，会造成沿运输道路抛洒、散失，应定时对运输车辆进行清洗，杜绝运输途中发生扬尘污染。实践表明，凝结在车厢板上，且有一定强度，板结后不易清除。在调配场设岗定员，专司车厢清理，避免板结在箱体上。严格禁止超高装车，防止散落。从厂区到处置的运输道路，应有专人巡回清扫，保持良好的运行环境。</w:t>
            </w:r>
          </w:p>
          <w:p w14:paraId="27B012E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auto"/>
                <w:spacing w:val="0"/>
                <w:sz w:val="24"/>
                <w:szCs w:val="24"/>
                <w:lang w:val="en-US" w:eastAsia="zh-CN"/>
              </w:rPr>
            </w:pPr>
            <w:r>
              <w:rPr>
                <w:rFonts w:hint="eastAsia" w:ascii="Times New Roman" w:hAnsi="Times New Roman" w:eastAsia="宋体" w:cs="Times New Roman"/>
                <w:bCs/>
                <w:color w:val="auto"/>
                <w:spacing w:val="0"/>
                <w:sz w:val="24"/>
                <w:szCs w:val="24"/>
                <w:lang w:val="en-US" w:eastAsia="zh-CN"/>
              </w:rPr>
              <w:t>④车辆出场前对车身、车轮、底盘全面冲洗，设置专用洗车平台，确保车辆不带泥、不带尘上路。</w:t>
            </w:r>
          </w:p>
          <w:p w14:paraId="1F8439F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pacing w:val="0"/>
                <w:sz w:val="24"/>
                <w:szCs w:val="24"/>
                <w:lang w:val="en-US" w:eastAsia="zh-CN"/>
              </w:rPr>
            </w:pPr>
            <w:r>
              <w:rPr>
                <w:rFonts w:hint="eastAsia" w:ascii="Times New Roman" w:hAnsi="Times New Roman" w:cs="Times New Roman"/>
                <w:bCs/>
                <w:color w:val="auto"/>
                <w:spacing w:val="0"/>
                <w:sz w:val="24"/>
                <w:szCs w:val="24"/>
                <w:lang w:val="en-US" w:eastAsia="zh-CN"/>
              </w:rPr>
              <w:t>（2）</w:t>
            </w:r>
            <w:r>
              <w:rPr>
                <w:rFonts w:hint="default" w:ascii="Times New Roman" w:hAnsi="Times New Roman" w:eastAsia="宋体" w:cs="Times New Roman"/>
                <w:color w:val="auto"/>
                <w:sz w:val="24"/>
                <w:szCs w:val="24"/>
                <w:lang w:val="en-US" w:eastAsia="zh-CN"/>
              </w:rPr>
              <w:t>车</w:t>
            </w:r>
            <w:r>
              <w:rPr>
                <w:rFonts w:hint="eastAsia" w:ascii="Calibri" w:hAnsi="Calibri" w:cs="Calibri"/>
                <w:color w:val="auto"/>
                <w:sz w:val="24"/>
                <w:szCs w:val="24"/>
                <w:lang w:val="en-US" w:eastAsia="zh-CN"/>
              </w:rPr>
              <w:t>辆装卸粉尘</w:t>
            </w:r>
            <w:r>
              <w:rPr>
                <w:rFonts w:hint="eastAsia" w:ascii="Times New Roman" w:hAnsi="Times New Roman" w:cs="Times New Roman"/>
                <w:bCs/>
                <w:color w:val="auto"/>
                <w:spacing w:val="0"/>
                <w:sz w:val="24"/>
                <w:szCs w:val="24"/>
                <w:lang w:val="en-US" w:eastAsia="zh-CN"/>
              </w:rPr>
              <w:t>防治措施</w:t>
            </w:r>
          </w:p>
          <w:p w14:paraId="159CA37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bCs/>
                <w:color w:val="auto"/>
                <w:spacing w:val="0"/>
                <w:sz w:val="24"/>
                <w:szCs w:val="24"/>
                <w:lang w:val="en-US" w:eastAsia="zh-CN"/>
              </w:rPr>
            </w:pPr>
            <w:r>
              <w:rPr>
                <w:rFonts w:hint="eastAsia" w:ascii="Times New Roman" w:hAnsi="Times New Roman" w:cs="Times New Roman"/>
                <w:bCs/>
                <w:color w:val="auto"/>
                <w:spacing w:val="0"/>
                <w:sz w:val="24"/>
                <w:szCs w:val="24"/>
                <w:lang w:val="en-US" w:eastAsia="zh-CN"/>
              </w:rPr>
              <w:t>为防止建筑垃圾装卸过程产生的扬尘污染，环评要求采取以下措施：</w:t>
            </w:r>
          </w:p>
          <w:p w14:paraId="441C1EF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pacing w:val="0"/>
                <w:sz w:val="24"/>
                <w:szCs w:val="24"/>
                <w:lang w:val="en-US" w:eastAsia="zh-CN"/>
              </w:rPr>
            </w:pPr>
            <w:r>
              <w:rPr>
                <w:rFonts w:hint="eastAsia" w:ascii="Times New Roman" w:hAnsi="Times New Roman" w:cs="Times New Roman"/>
                <w:bCs/>
                <w:color w:val="auto"/>
                <w:spacing w:val="0"/>
                <w:sz w:val="24"/>
                <w:szCs w:val="24"/>
                <w:lang w:val="en-US" w:eastAsia="zh-CN"/>
              </w:rPr>
              <w:t>①控制装卸落差，物料下落高度不超过1.5m。</w:t>
            </w:r>
          </w:p>
          <w:p w14:paraId="405E58F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bCs/>
                <w:color w:val="auto"/>
                <w:spacing w:val="0"/>
                <w:sz w:val="24"/>
                <w:szCs w:val="24"/>
                <w:lang w:val="en-US" w:eastAsia="zh-CN"/>
              </w:rPr>
            </w:pPr>
            <w:r>
              <w:rPr>
                <w:rFonts w:hint="eastAsia" w:ascii="Times New Roman" w:hAnsi="Times New Roman" w:cs="Times New Roman"/>
                <w:bCs/>
                <w:color w:val="auto"/>
                <w:spacing w:val="0"/>
                <w:sz w:val="24"/>
                <w:szCs w:val="24"/>
                <w:lang w:val="en-US" w:eastAsia="zh-CN"/>
              </w:rPr>
              <w:t>②遇大风天气，为防止扬尘污染不得进行装卸作业。</w:t>
            </w:r>
          </w:p>
          <w:p w14:paraId="6BC9491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bCs/>
                <w:color w:val="auto"/>
                <w:spacing w:val="0"/>
                <w:sz w:val="24"/>
                <w:szCs w:val="24"/>
                <w:lang w:val="en-US" w:eastAsia="zh-CN"/>
              </w:rPr>
            </w:pPr>
            <w:r>
              <w:rPr>
                <w:rFonts w:hint="eastAsia" w:ascii="Times New Roman" w:hAnsi="Times New Roman" w:cs="Times New Roman"/>
                <w:bCs/>
                <w:color w:val="auto"/>
                <w:spacing w:val="0"/>
                <w:sz w:val="24"/>
                <w:szCs w:val="24"/>
                <w:lang w:val="en-US" w:eastAsia="zh-CN"/>
              </w:rPr>
              <w:t>工作人员在日常装卸工作中，应做好卫生防护措施，如：戴口罩、防护眼镜等。</w:t>
            </w:r>
            <w:r>
              <w:rPr>
                <w:rFonts w:hint="eastAsia" w:ascii="Times New Roman" w:hAnsi="Times New Roman" w:eastAsia="宋体" w:cs="Times New Roman"/>
                <w:bCs/>
                <w:color w:val="auto"/>
                <w:spacing w:val="0"/>
                <w:sz w:val="24"/>
                <w:szCs w:val="24"/>
                <w:lang w:val="en-US" w:eastAsia="zh-CN"/>
              </w:rPr>
              <w:t>注意控制卸车时的速度，在干燥天气，边卸车边洒水降尘，减少扬尘飞扬。</w:t>
            </w:r>
          </w:p>
          <w:p w14:paraId="25B0F23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pacing w:val="0"/>
                <w:sz w:val="24"/>
                <w:szCs w:val="24"/>
                <w:lang w:val="en-US" w:eastAsia="zh-CN"/>
              </w:rPr>
            </w:pPr>
            <w:r>
              <w:rPr>
                <w:rFonts w:hint="eastAsia" w:ascii="Times New Roman" w:hAnsi="Times New Roman" w:cs="Times New Roman"/>
                <w:bCs/>
                <w:color w:val="auto"/>
                <w:spacing w:val="0"/>
                <w:sz w:val="24"/>
                <w:szCs w:val="24"/>
                <w:lang w:val="en-US" w:eastAsia="zh-CN"/>
              </w:rPr>
              <w:t>（3）调配场堆存粉尘</w:t>
            </w:r>
          </w:p>
          <w:p w14:paraId="2036339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auto"/>
                <w:spacing w:val="0"/>
                <w:sz w:val="24"/>
                <w:szCs w:val="24"/>
                <w:lang w:val="en-US" w:eastAsia="zh-CN"/>
              </w:rPr>
            </w:pPr>
            <w:r>
              <w:rPr>
                <w:rFonts w:hint="default" w:ascii="Times New Roman" w:hAnsi="Times New Roman" w:eastAsia="宋体" w:cs="Times New Roman"/>
                <w:bCs/>
                <w:color w:val="auto"/>
                <w:spacing w:val="0"/>
                <w:sz w:val="24"/>
                <w:szCs w:val="24"/>
                <w:lang w:val="en-US" w:eastAsia="zh-CN"/>
              </w:rPr>
              <w:t>①本项目实施封闭式围挡隔离，</w:t>
            </w:r>
            <w:r>
              <w:rPr>
                <w:rFonts w:hint="default" w:ascii="Times New Roman" w:hAnsi="Times New Roman" w:eastAsia="宋体" w:cs="Times New Roman"/>
                <w:color w:val="auto"/>
                <w:sz w:val="24"/>
                <w:szCs w:val="24"/>
              </w:rPr>
              <w:t>四周设置总长约725m的防风抑尘网，配套喷淋抑尘系统，每隔2m布设1高压雾化喷嘴，共计363个，同时对堆存物料采取防尘网覆盖，多措并举管控粉尘污染。</w:t>
            </w:r>
          </w:p>
          <w:p w14:paraId="16BBAFB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auto"/>
                <w:spacing w:val="0"/>
                <w:sz w:val="24"/>
                <w:szCs w:val="24"/>
                <w:lang w:val="en-US" w:eastAsia="zh-CN"/>
              </w:rPr>
            </w:pPr>
            <w:r>
              <w:rPr>
                <w:rFonts w:hint="eastAsia" w:ascii="Times New Roman" w:hAnsi="Times New Roman" w:eastAsia="宋体" w:cs="Times New Roman"/>
                <w:bCs/>
                <w:color w:val="auto"/>
                <w:spacing w:val="0"/>
                <w:sz w:val="24"/>
                <w:szCs w:val="24"/>
                <w:lang w:val="en-US" w:eastAsia="zh-CN"/>
              </w:rPr>
              <w:t>②将建筑垃圾堆分区堆存，避免不同作业区域交叉扰动产生叠加扬尘。</w:t>
            </w:r>
          </w:p>
          <w:p w14:paraId="2121F64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auto"/>
                <w:spacing w:val="0"/>
                <w:sz w:val="24"/>
                <w:szCs w:val="24"/>
                <w:lang w:val="en-US" w:eastAsia="zh-CN"/>
              </w:rPr>
            </w:pPr>
            <w:r>
              <w:rPr>
                <w:rFonts w:hint="eastAsia" w:ascii="Times New Roman" w:hAnsi="Times New Roman" w:eastAsia="宋体" w:cs="Times New Roman"/>
                <w:bCs/>
                <w:color w:val="auto"/>
                <w:spacing w:val="0"/>
                <w:sz w:val="24"/>
                <w:szCs w:val="24"/>
                <w:lang w:val="en-US" w:eastAsia="zh-CN"/>
              </w:rPr>
              <w:t>（4）防治措施可行性分析</w:t>
            </w:r>
          </w:p>
          <w:p w14:paraId="7D2B1F2A">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spacing w:val="0"/>
                <w:sz w:val="24"/>
                <w:szCs w:val="24"/>
                <w:lang w:val="en-US" w:eastAsia="zh-CN"/>
              </w:rPr>
            </w:pPr>
            <w:r>
              <w:rPr>
                <w:rFonts w:hint="eastAsia" w:ascii="Times New Roman" w:hAnsi="Times New Roman" w:eastAsia="宋体" w:cs="Times New Roman"/>
                <w:bCs/>
                <w:color w:val="auto"/>
                <w:spacing w:val="0"/>
                <w:sz w:val="24"/>
                <w:szCs w:val="24"/>
                <w:lang w:val="en-US" w:eastAsia="zh-CN"/>
              </w:rPr>
              <w:t>本项目建筑垃圾运输过程中产生的道路运输扬尘，通过定期洒水、运输车辆全面苫盖等措施进行防治；场区堆存过程中产生的粉尘，通过场区四周布设总长约725m的防风抑散网，并结合喷淋、分区存放、堆存的建筑垃圾覆盖等抑尘设施防治；装卸过程中的粉尘通过降低装卸高度，及时洒水降尘防治。通过上述措施后，厂界颗粒物无组织浓度能满足《大气污染物综合排放标准》（GB16297-1996）中标准限值要求，本项目各环节废气治理按拟采取方案处理是可行的。</w:t>
            </w:r>
          </w:p>
          <w:p w14:paraId="02FC05B4">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eastAsia="宋体" w:cs="Times New Roman"/>
                <w:bCs/>
                <w:color w:val="auto"/>
                <w:spacing w:val="0"/>
                <w:sz w:val="24"/>
                <w:szCs w:val="24"/>
                <w:lang w:val="en-US" w:eastAsia="zh-CN"/>
              </w:rPr>
            </w:pPr>
            <w:r>
              <w:rPr>
                <w:rFonts w:hint="eastAsia" w:ascii="Times New Roman" w:hAnsi="Times New Roman" w:cs="Times New Roman"/>
                <w:b/>
                <w:bCs w:val="0"/>
                <w:color w:val="auto"/>
                <w:spacing w:val="0"/>
                <w:sz w:val="24"/>
                <w:szCs w:val="24"/>
                <w:lang w:val="en-US" w:eastAsia="zh-CN"/>
              </w:rPr>
              <w:t>1.3 监测计划</w:t>
            </w:r>
          </w:p>
          <w:p w14:paraId="12A455DA">
            <w:pPr>
              <w:pStyle w:val="22"/>
              <w:keepNext w:val="0"/>
              <w:keepLines w:val="0"/>
              <w:pageBreakBefore w:val="0"/>
              <w:widowControl w:val="0"/>
              <w:kinsoku/>
              <w:wordWrap/>
              <w:overflowPunct/>
              <w:topLinePunct w:val="0"/>
              <w:autoSpaceDE/>
              <w:autoSpaceDN/>
              <w:bidi w:val="0"/>
              <w:adjustRightInd/>
              <w:snapToGrid/>
              <w:spacing w:line="360" w:lineRule="auto"/>
              <w:ind w:left="210" w:firstLine="480" w:firstLineChars="200"/>
              <w:textAlignment w:val="auto"/>
              <w:rPr>
                <w:rFonts w:hint="eastAsia"/>
                <w:color w:val="auto"/>
                <w:sz w:val="24"/>
                <w:szCs w:val="24"/>
              </w:rPr>
            </w:pPr>
            <w:r>
              <w:rPr>
                <w:rFonts w:hint="eastAsia"/>
                <w:color w:val="auto"/>
                <w:sz w:val="24"/>
                <w:szCs w:val="24"/>
                <w:lang w:val="en-US" w:eastAsia="zh-CN"/>
              </w:rPr>
              <w:t>根据《排污单位自行监测技术指南 总则》（HJ819-2017），本项目</w:t>
            </w:r>
            <w:r>
              <w:rPr>
                <w:rFonts w:hint="eastAsia"/>
                <w:color w:val="auto"/>
                <w:sz w:val="24"/>
                <w:szCs w:val="24"/>
              </w:rPr>
              <w:t>运营期大气监测计划见下表。</w:t>
            </w:r>
          </w:p>
          <w:p w14:paraId="5BE8990C">
            <w:pPr>
              <w:jc w:val="center"/>
              <w:rPr>
                <w:b/>
                <w:bCs/>
                <w:color w:val="auto"/>
                <w:sz w:val="21"/>
                <w:szCs w:val="21"/>
              </w:rPr>
            </w:pPr>
            <w:r>
              <w:rPr>
                <w:rFonts w:hint="eastAsia"/>
                <w:b/>
                <w:bCs/>
                <w:color w:val="auto"/>
                <w:sz w:val="21"/>
                <w:szCs w:val="21"/>
              </w:rPr>
              <w:t>表</w:t>
            </w:r>
            <w:r>
              <w:rPr>
                <w:rFonts w:hint="eastAsia"/>
                <w:b/>
                <w:bCs/>
                <w:color w:val="auto"/>
                <w:sz w:val="21"/>
                <w:szCs w:val="21"/>
                <w:lang w:val="en-US" w:eastAsia="zh-CN"/>
              </w:rPr>
              <w:t xml:space="preserve">4-2   </w:t>
            </w:r>
            <w:r>
              <w:rPr>
                <w:rFonts w:hint="eastAsia"/>
                <w:b/>
                <w:bCs/>
                <w:color w:val="auto"/>
                <w:sz w:val="21"/>
                <w:szCs w:val="21"/>
              </w:rPr>
              <w:t>大气监测计划表</w:t>
            </w:r>
          </w:p>
          <w:tbl>
            <w:tblPr>
              <w:tblStyle w:val="27"/>
              <w:tblW w:w="4998"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184"/>
              <w:gridCol w:w="567"/>
              <w:gridCol w:w="1581"/>
              <w:gridCol w:w="1818"/>
              <w:gridCol w:w="2793"/>
            </w:tblGrid>
            <w:tr w14:paraId="55CDACE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trHeight w:val="270" w:hRule="atLeast"/>
                <w:jc w:val="center"/>
              </w:trPr>
              <w:tc>
                <w:tcPr>
                  <w:tcW w:w="1102" w:type="pct"/>
                  <w:gridSpan w:val="2"/>
                  <w:tcBorders>
                    <w:tl2br w:val="nil"/>
                    <w:tr2bl w:val="nil"/>
                  </w:tcBorders>
                  <w:noWrap w:val="0"/>
                  <w:vAlign w:val="center"/>
                </w:tcPr>
                <w:p w14:paraId="34EB561F">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rPr>
                  </w:pPr>
                  <w:r>
                    <w:rPr>
                      <w:color w:val="auto"/>
                      <w:sz w:val="21"/>
                      <w:szCs w:val="21"/>
                    </w:rPr>
                    <w:t>监测</w:t>
                  </w:r>
                  <w:r>
                    <w:rPr>
                      <w:rFonts w:hint="eastAsia"/>
                      <w:color w:val="auto"/>
                      <w:sz w:val="21"/>
                      <w:szCs w:val="21"/>
                    </w:rPr>
                    <w:t>因子</w:t>
                  </w:r>
                </w:p>
              </w:tc>
              <w:tc>
                <w:tcPr>
                  <w:tcW w:w="995" w:type="pct"/>
                  <w:tcBorders>
                    <w:tl2br w:val="nil"/>
                    <w:tr2bl w:val="nil"/>
                  </w:tcBorders>
                  <w:noWrap w:val="0"/>
                  <w:vAlign w:val="center"/>
                </w:tcPr>
                <w:p w14:paraId="111B3B7B">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rPr>
                  </w:pPr>
                  <w:r>
                    <w:rPr>
                      <w:rFonts w:hint="eastAsia"/>
                      <w:color w:val="auto"/>
                      <w:sz w:val="21"/>
                      <w:szCs w:val="21"/>
                    </w:rPr>
                    <w:t>监测点位</w:t>
                  </w:r>
                </w:p>
              </w:tc>
              <w:tc>
                <w:tcPr>
                  <w:tcW w:w="1144" w:type="pct"/>
                  <w:tcBorders>
                    <w:tl2br w:val="nil"/>
                    <w:tr2bl w:val="nil"/>
                  </w:tcBorders>
                  <w:noWrap w:val="0"/>
                  <w:vAlign w:val="center"/>
                </w:tcPr>
                <w:p w14:paraId="05D4F665">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rPr>
                  </w:pPr>
                  <w:r>
                    <w:rPr>
                      <w:color w:val="auto"/>
                      <w:sz w:val="21"/>
                      <w:szCs w:val="21"/>
                    </w:rPr>
                    <w:t>监测频率</w:t>
                  </w:r>
                </w:p>
              </w:tc>
              <w:tc>
                <w:tcPr>
                  <w:tcW w:w="1758" w:type="pct"/>
                  <w:tcBorders>
                    <w:tl2br w:val="nil"/>
                    <w:tr2bl w:val="nil"/>
                  </w:tcBorders>
                  <w:noWrap w:val="0"/>
                  <w:vAlign w:val="center"/>
                </w:tcPr>
                <w:p w14:paraId="10B646CC">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eastAsia="宋体"/>
                      <w:color w:val="auto"/>
                      <w:sz w:val="21"/>
                      <w:szCs w:val="21"/>
                      <w:lang w:val="en-US" w:eastAsia="zh-CN"/>
                    </w:rPr>
                  </w:pPr>
                  <w:r>
                    <w:rPr>
                      <w:rFonts w:hint="eastAsia"/>
                      <w:color w:val="auto"/>
                      <w:sz w:val="21"/>
                      <w:szCs w:val="21"/>
                      <w:lang w:val="en-US" w:eastAsia="zh-CN"/>
                    </w:rPr>
                    <w:t>执行标准</w:t>
                  </w:r>
                </w:p>
              </w:tc>
            </w:tr>
            <w:tr w14:paraId="4C729F4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817" w:hRule="atLeast"/>
                <w:jc w:val="center"/>
              </w:trPr>
              <w:tc>
                <w:tcPr>
                  <w:tcW w:w="745" w:type="pct"/>
                  <w:tcBorders>
                    <w:tl2br w:val="nil"/>
                    <w:tr2bl w:val="nil"/>
                  </w:tcBorders>
                  <w:noWrap w:val="0"/>
                  <w:vAlign w:val="center"/>
                </w:tcPr>
                <w:p w14:paraId="43BE2616">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rPr>
                  </w:pPr>
                  <w:r>
                    <w:rPr>
                      <w:color w:val="auto"/>
                      <w:sz w:val="21"/>
                      <w:szCs w:val="21"/>
                    </w:rPr>
                    <w:t>大气监测</w:t>
                  </w:r>
                </w:p>
              </w:tc>
              <w:tc>
                <w:tcPr>
                  <w:tcW w:w="356" w:type="pct"/>
                  <w:tcBorders>
                    <w:tl2br w:val="nil"/>
                    <w:tr2bl w:val="nil"/>
                  </w:tcBorders>
                  <w:noWrap w:val="0"/>
                  <w:vAlign w:val="center"/>
                </w:tcPr>
                <w:p w14:paraId="53F3F139">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eastAsia="宋体"/>
                      <w:color w:val="auto"/>
                      <w:sz w:val="21"/>
                      <w:szCs w:val="21"/>
                      <w:lang w:eastAsia="zh-CN"/>
                    </w:rPr>
                  </w:pPr>
                  <w:r>
                    <w:rPr>
                      <w:rFonts w:hint="eastAsia"/>
                      <w:color w:val="auto"/>
                      <w:sz w:val="21"/>
                      <w:szCs w:val="21"/>
                      <w:lang w:val="en-US" w:eastAsia="zh-CN"/>
                    </w:rPr>
                    <w:t>颗粒物</w:t>
                  </w:r>
                </w:p>
              </w:tc>
              <w:tc>
                <w:tcPr>
                  <w:tcW w:w="995" w:type="pct"/>
                  <w:tcBorders>
                    <w:tl2br w:val="nil"/>
                    <w:tr2bl w:val="nil"/>
                  </w:tcBorders>
                  <w:noWrap w:val="0"/>
                  <w:vAlign w:val="center"/>
                </w:tcPr>
                <w:p w14:paraId="33813A4B">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default" w:eastAsia="宋体"/>
                      <w:color w:val="auto"/>
                      <w:sz w:val="21"/>
                      <w:szCs w:val="21"/>
                      <w:lang w:val="en-US" w:eastAsia="zh-CN"/>
                    </w:rPr>
                  </w:pPr>
                  <w:r>
                    <w:rPr>
                      <w:rFonts w:hint="eastAsia"/>
                      <w:color w:val="auto"/>
                      <w:sz w:val="21"/>
                      <w:szCs w:val="21"/>
                      <w:lang w:val="en-US" w:eastAsia="zh-CN"/>
                    </w:rPr>
                    <w:t>项目区四周</w:t>
                  </w:r>
                </w:p>
              </w:tc>
              <w:tc>
                <w:tcPr>
                  <w:tcW w:w="1144" w:type="pct"/>
                  <w:tcBorders>
                    <w:tl2br w:val="nil"/>
                    <w:tr2bl w:val="nil"/>
                  </w:tcBorders>
                  <w:noWrap w:val="0"/>
                  <w:vAlign w:val="center"/>
                </w:tcPr>
                <w:p w14:paraId="5E52028D">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color w:val="auto"/>
                      <w:sz w:val="21"/>
                      <w:szCs w:val="21"/>
                    </w:rPr>
                  </w:pPr>
                  <w:r>
                    <w:rPr>
                      <w:rFonts w:hint="eastAsia"/>
                      <w:color w:val="auto"/>
                      <w:sz w:val="21"/>
                      <w:szCs w:val="21"/>
                    </w:rPr>
                    <w:t>每年至少开展一次</w:t>
                  </w:r>
                  <w:r>
                    <w:rPr>
                      <w:color w:val="auto"/>
                      <w:sz w:val="21"/>
                      <w:szCs w:val="21"/>
                    </w:rPr>
                    <w:t>。</w:t>
                  </w:r>
                </w:p>
              </w:tc>
              <w:tc>
                <w:tcPr>
                  <w:tcW w:w="1758" w:type="pct"/>
                  <w:tcBorders>
                    <w:tl2br w:val="nil"/>
                    <w:tr2bl w:val="nil"/>
                  </w:tcBorders>
                  <w:noWrap w:val="0"/>
                  <w:vAlign w:val="center"/>
                </w:tcPr>
                <w:p w14:paraId="1D61C5A7">
                  <w:pPr>
                    <w:keepNext w:val="0"/>
                    <w:keepLines w:val="0"/>
                    <w:pageBreakBefore w:val="0"/>
                    <w:widowControl w:val="0"/>
                    <w:kinsoku/>
                    <w:wordWrap/>
                    <w:overflowPunct/>
                    <w:topLinePunct w:val="0"/>
                    <w:autoSpaceDE/>
                    <w:autoSpaceDN/>
                    <w:bidi w:val="0"/>
                    <w:adjustRightInd/>
                    <w:snapToGrid/>
                    <w:spacing w:line="240" w:lineRule="auto"/>
                    <w:ind w:left="0" w:right="0" w:firstLine="0"/>
                    <w:jc w:val="center"/>
                    <w:textAlignment w:val="auto"/>
                    <w:rPr>
                      <w:rFonts w:hint="eastAsia"/>
                      <w:color w:val="auto"/>
                      <w:sz w:val="21"/>
                      <w:szCs w:val="21"/>
                    </w:rPr>
                  </w:pPr>
                  <w:r>
                    <w:rPr>
                      <w:rFonts w:hint="eastAsia"/>
                      <w:color w:val="auto"/>
                      <w:sz w:val="21"/>
                      <w:szCs w:val="21"/>
                      <w:lang w:val="en-US" w:eastAsia="zh-CN"/>
                    </w:rPr>
                    <w:t>《大气污染物综合排放标准》（GB16297-1996）中表2无组织排放监控浓度限值</w:t>
                  </w:r>
                </w:p>
              </w:tc>
            </w:tr>
          </w:tbl>
          <w:p w14:paraId="2BF68285">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eastAsia="宋体" w:cs="Times New Roman"/>
                <w:bCs/>
                <w:color w:val="auto"/>
                <w:spacing w:val="0"/>
                <w:sz w:val="24"/>
                <w:szCs w:val="24"/>
                <w:lang w:val="en-US" w:eastAsia="zh-CN"/>
              </w:rPr>
            </w:pPr>
            <w:r>
              <w:rPr>
                <w:rFonts w:hint="eastAsia" w:ascii="Times New Roman" w:hAnsi="Times New Roman" w:cs="Times New Roman"/>
                <w:b/>
                <w:bCs w:val="0"/>
                <w:color w:val="auto"/>
                <w:spacing w:val="0"/>
                <w:sz w:val="24"/>
                <w:szCs w:val="24"/>
                <w:lang w:val="en-US" w:eastAsia="zh-CN"/>
              </w:rPr>
              <w:t>2 废水环境影响和保护措施</w:t>
            </w:r>
          </w:p>
          <w:p w14:paraId="0408952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本项目运营期产生的废水主要包括生活污水、车辆冲洗废水及调配场收集的雨水。</w:t>
            </w:r>
          </w:p>
          <w:p w14:paraId="4C33AA26">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bCs/>
                <w:color w:val="auto"/>
                <w:sz w:val="24"/>
                <w:szCs w:val="24"/>
                <w:lang w:val="en-US" w:eastAsia="zh-CN"/>
              </w:rPr>
            </w:pPr>
            <w:r>
              <w:rPr>
                <w:rFonts w:hint="eastAsia" w:ascii="Times New Roman" w:hAnsi="Times New Roman" w:cs="Times New Roman"/>
                <w:b/>
                <w:bCs w:val="0"/>
                <w:color w:val="auto"/>
                <w:sz w:val="24"/>
                <w:szCs w:val="24"/>
                <w:lang w:val="en-US" w:eastAsia="zh-CN"/>
              </w:rPr>
              <w:t>2.1 废水污染源核算</w:t>
            </w:r>
          </w:p>
          <w:p w14:paraId="5929158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（1）生活污水</w:t>
            </w:r>
          </w:p>
          <w:p w14:paraId="63C9E58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z w:val="24"/>
                <w:szCs w:val="24"/>
                <w:highlight w:val="none"/>
                <w:lang w:val="en-US" w:eastAsia="zh-CN"/>
              </w:rPr>
            </w:pPr>
            <w:r>
              <w:rPr>
                <w:rFonts w:hint="eastAsia" w:ascii="Times New Roman" w:hAnsi="Times New Roman" w:cs="Times New Roman"/>
                <w:bCs/>
                <w:color w:val="auto"/>
                <w:sz w:val="24"/>
                <w:szCs w:val="24"/>
                <w:highlight w:val="none"/>
                <w:lang w:val="en-US" w:eastAsia="zh-CN"/>
              </w:rPr>
              <w:t>本项目生活用水量为</w:t>
            </w:r>
            <w:r>
              <w:rPr>
                <w:rFonts w:hint="eastAsia" w:cs="Times New Roman"/>
                <w:color w:val="auto"/>
                <w:kern w:val="0"/>
                <w:sz w:val="24"/>
                <w:szCs w:val="24"/>
                <w:highlight w:val="none"/>
                <w:lang w:val="en-US" w:eastAsia="zh-CN" w:bidi="ar"/>
              </w:rPr>
              <w:t>0.8</w:t>
            </w:r>
            <w:r>
              <w:rPr>
                <w:rFonts w:hint="eastAsia" w:ascii="Times New Roman" w:hAnsi="Times New Roman" w:eastAsia="宋体" w:cs="Times New Roman"/>
                <w:color w:val="auto"/>
                <w:kern w:val="0"/>
                <w:sz w:val="24"/>
                <w:szCs w:val="24"/>
                <w:highlight w:val="none"/>
                <w:lang w:val="en-US" w:eastAsia="zh-CN" w:bidi="ar"/>
              </w:rPr>
              <w:t>m</w:t>
            </w:r>
            <w:r>
              <w:rPr>
                <w:rFonts w:hint="eastAsia" w:ascii="Times New Roman" w:hAnsi="Times New Roman" w:eastAsia="宋体" w:cs="Times New Roman"/>
                <w:color w:val="auto"/>
                <w:kern w:val="0"/>
                <w:sz w:val="24"/>
                <w:szCs w:val="24"/>
                <w:highlight w:val="none"/>
                <w:vertAlign w:val="superscript"/>
                <w:lang w:val="en-US" w:eastAsia="zh-CN" w:bidi="ar"/>
              </w:rPr>
              <w:t>3</w:t>
            </w:r>
            <w:r>
              <w:rPr>
                <w:rFonts w:hint="default" w:ascii="Times New Roman" w:hAnsi="Times New Roman" w:eastAsia="宋体" w:cs="Times New Roman"/>
                <w:color w:val="auto"/>
                <w:kern w:val="0"/>
                <w:sz w:val="24"/>
                <w:szCs w:val="24"/>
                <w:highlight w:val="none"/>
                <w:lang w:val="en-US" w:eastAsia="zh-CN" w:bidi="ar"/>
              </w:rPr>
              <w:t>/d</w:t>
            </w:r>
            <w:r>
              <w:rPr>
                <w:rFonts w:hint="eastAsia" w:ascii="宋体" w:hAnsi="宋体" w:eastAsia="宋体" w:cs="宋体"/>
                <w:color w:val="auto"/>
                <w:kern w:val="0"/>
                <w:sz w:val="24"/>
                <w:szCs w:val="24"/>
                <w:highlight w:val="none"/>
                <w:lang w:val="en-US" w:eastAsia="zh-CN" w:bidi="ar"/>
              </w:rPr>
              <w:t>（</w:t>
            </w:r>
            <w:r>
              <w:rPr>
                <w:rFonts w:hint="eastAsia" w:cs="Times New Roman"/>
                <w:color w:val="auto"/>
                <w:kern w:val="0"/>
                <w:sz w:val="24"/>
                <w:szCs w:val="24"/>
                <w:highlight w:val="none"/>
                <w:lang w:val="en-US" w:eastAsia="zh-CN" w:bidi="ar"/>
              </w:rPr>
              <w:t>240</w:t>
            </w:r>
            <w:r>
              <w:rPr>
                <w:rFonts w:hint="eastAsia" w:ascii="Times New Roman" w:hAnsi="Times New Roman" w:eastAsia="宋体" w:cs="Times New Roman"/>
                <w:color w:val="auto"/>
                <w:kern w:val="0"/>
                <w:sz w:val="24"/>
                <w:szCs w:val="24"/>
                <w:highlight w:val="none"/>
                <w:lang w:val="en-US" w:eastAsia="zh-CN" w:bidi="ar"/>
              </w:rPr>
              <w:t>m</w:t>
            </w:r>
            <w:r>
              <w:rPr>
                <w:rFonts w:hint="eastAsia" w:ascii="Times New Roman" w:hAnsi="Times New Roman" w:eastAsia="宋体" w:cs="Times New Roman"/>
                <w:color w:val="auto"/>
                <w:kern w:val="0"/>
                <w:sz w:val="24"/>
                <w:szCs w:val="24"/>
                <w:highlight w:val="none"/>
                <w:vertAlign w:val="superscript"/>
                <w:lang w:val="en-US" w:eastAsia="zh-CN" w:bidi="ar"/>
              </w:rPr>
              <w:t>3</w:t>
            </w:r>
            <w:r>
              <w:rPr>
                <w:rFonts w:hint="default" w:ascii="Times New Roman" w:hAnsi="Times New Roman" w:eastAsia="宋体" w:cs="Times New Roman"/>
                <w:color w:val="auto"/>
                <w:kern w:val="0"/>
                <w:sz w:val="24"/>
                <w:szCs w:val="24"/>
                <w:highlight w:val="none"/>
                <w:lang w:val="en-US" w:eastAsia="zh-CN" w:bidi="ar"/>
              </w:rPr>
              <w:t>/a</w:t>
            </w:r>
            <w:r>
              <w:rPr>
                <w:rFonts w:hint="eastAsia" w:ascii="宋体" w:hAnsi="宋体" w:eastAsia="宋体" w:cs="宋体"/>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排水量按用水量的9</w:t>
            </w:r>
            <w:r>
              <w:rPr>
                <w:rFonts w:hint="eastAsia" w:ascii="Times New Roman" w:hAnsi="Times New Roman" w:eastAsia="宋体" w:cs="Times New Roman"/>
                <w:color w:val="auto"/>
                <w:kern w:val="0"/>
                <w:sz w:val="24"/>
                <w:szCs w:val="24"/>
                <w:highlight w:val="none"/>
                <w:lang w:val="en-US" w:eastAsia="zh-CN" w:bidi="ar"/>
              </w:rPr>
              <w:t>0</w:t>
            </w:r>
            <w:r>
              <w:rPr>
                <w:rFonts w:hint="default" w:ascii="Times New Roman" w:hAnsi="Times New Roman" w:eastAsia="宋体" w:cs="Times New Roman"/>
                <w:color w:val="auto"/>
                <w:kern w:val="0"/>
                <w:sz w:val="24"/>
                <w:szCs w:val="24"/>
                <w:highlight w:val="none"/>
                <w:lang w:val="en-US" w:eastAsia="zh-CN" w:bidi="ar"/>
              </w:rPr>
              <w:t>%进行计算，则</w:t>
            </w:r>
            <w:r>
              <w:rPr>
                <w:rFonts w:hint="eastAsia" w:ascii="Times New Roman" w:hAnsi="Times New Roman" w:eastAsia="宋体" w:cs="Times New Roman"/>
                <w:color w:val="auto"/>
                <w:kern w:val="0"/>
                <w:sz w:val="24"/>
                <w:szCs w:val="24"/>
                <w:highlight w:val="none"/>
                <w:lang w:val="en-US" w:eastAsia="zh-CN" w:bidi="ar"/>
              </w:rPr>
              <w:t>生活污水排放量</w:t>
            </w:r>
            <w:r>
              <w:rPr>
                <w:rFonts w:hint="default" w:ascii="Times New Roman" w:hAnsi="Times New Roman" w:eastAsia="宋体" w:cs="Times New Roman"/>
                <w:color w:val="auto"/>
                <w:kern w:val="0"/>
                <w:sz w:val="24"/>
                <w:szCs w:val="24"/>
                <w:highlight w:val="none"/>
                <w:lang w:val="en-US" w:eastAsia="zh-CN" w:bidi="ar"/>
              </w:rPr>
              <w:t>为</w:t>
            </w:r>
            <w:r>
              <w:rPr>
                <w:rFonts w:hint="eastAsia" w:ascii="Times New Roman" w:hAnsi="Times New Roman" w:eastAsia="宋体" w:cs="Times New Roman"/>
                <w:color w:val="auto"/>
                <w:kern w:val="0"/>
                <w:sz w:val="24"/>
                <w:szCs w:val="24"/>
                <w:highlight w:val="none"/>
                <w:lang w:val="en-US" w:eastAsia="zh-CN" w:bidi="ar"/>
              </w:rPr>
              <w:t>0.72</w:t>
            </w:r>
            <w:r>
              <w:rPr>
                <w:rFonts w:hint="default" w:ascii="Times New Roman" w:hAnsi="Times New Roman" w:eastAsia="宋体" w:cs="Times New Roman"/>
                <w:color w:val="auto"/>
                <w:kern w:val="0"/>
                <w:sz w:val="24"/>
                <w:szCs w:val="24"/>
                <w:highlight w:val="none"/>
                <w:lang w:val="en-US" w:eastAsia="zh-CN" w:bidi="ar"/>
              </w:rPr>
              <w:t>m</w:t>
            </w:r>
            <w:r>
              <w:rPr>
                <w:rFonts w:hint="default" w:ascii="Times New Roman" w:hAnsi="Times New Roman" w:eastAsia="宋体" w:cs="Times New Roman"/>
                <w:color w:val="auto"/>
                <w:kern w:val="0"/>
                <w:sz w:val="24"/>
                <w:szCs w:val="24"/>
                <w:highlight w:val="none"/>
                <w:vertAlign w:val="superscript"/>
                <w:lang w:val="en-US" w:eastAsia="zh-CN" w:bidi="ar"/>
              </w:rPr>
              <w:t>3</w:t>
            </w:r>
            <w:r>
              <w:rPr>
                <w:rFonts w:hint="default" w:ascii="Times New Roman" w:hAnsi="Times New Roman" w:eastAsia="宋体" w:cs="Times New Roman"/>
                <w:color w:val="auto"/>
                <w:kern w:val="0"/>
                <w:sz w:val="24"/>
                <w:szCs w:val="24"/>
                <w:highlight w:val="none"/>
                <w:lang w:val="en-US" w:eastAsia="zh-CN" w:bidi="ar"/>
              </w:rPr>
              <w:t>/</w:t>
            </w:r>
            <w:r>
              <w:rPr>
                <w:rFonts w:hint="eastAsia" w:ascii="Times New Roman" w:hAnsi="Times New Roman" w:eastAsia="宋体" w:cs="Times New Roman"/>
                <w:color w:val="auto"/>
                <w:kern w:val="0"/>
                <w:sz w:val="24"/>
                <w:szCs w:val="24"/>
                <w:highlight w:val="none"/>
                <w:lang w:val="en-US" w:eastAsia="zh-CN" w:bidi="ar"/>
              </w:rPr>
              <w:t>d</w:t>
            </w:r>
            <w:r>
              <w:rPr>
                <w:rFonts w:hint="eastAsia" w:ascii="宋体" w:hAnsi="宋体" w:eastAsia="宋体" w:cs="宋体"/>
                <w:color w:val="auto"/>
                <w:kern w:val="0"/>
                <w:sz w:val="24"/>
                <w:szCs w:val="24"/>
                <w:highlight w:val="none"/>
                <w:lang w:val="en-US" w:eastAsia="zh-CN" w:bidi="ar"/>
              </w:rPr>
              <w:t>（</w:t>
            </w:r>
            <w:r>
              <w:rPr>
                <w:rFonts w:hint="eastAsia" w:cs="Times New Roman"/>
                <w:color w:val="auto"/>
                <w:kern w:val="0"/>
                <w:sz w:val="24"/>
                <w:szCs w:val="24"/>
                <w:highlight w:val="none"/>
                <w:lang w:val="en-US" w:eastAsia="zh-CN" w:bidi="ar"/>
              </w:rPr>
              <w:t>216</w:t>
            </w:r>
            <w:r>
              <w:rPr>
                <w:rFonts w:hint="eastAsia" w:ascii="Times New Roman" w:hAnsi="Times New Roman" w:eastAsia="宋体" w:cs="Times New Roman"/>
                <w:color w:val="auto"/>
                <w:kern w:val="0"/>
                <w:sz w:val="24"/>
                <w:szCs w:val="24"/>
                <w:highlight w:val="none"/>
                <w:lang w:val="en-US" w:eastAsia="zh-CN" w:bidi="ar"/>
              </w:rPr>
              <w:t>m</w:t>
            </w:r>
            <w:r>
              <w:rPr>
                <w:rFonts w:hint="eastAsia" w:ascii="Times New Roman" w:hAnsi="Times New Roman" w:eastAsia="宋体" w:cs="Times New Roman"/>
                <w:color w:val="auto"/>
                <w:kern w:val="0"/>
                <w:sz w:val="24"/>
                <w:szCs w:val="24"/>
                <w:highlight w:val="none"/>
                <w:vertAlign w:val="superscript"/>
                <w:lang w:val="en-US" w:eastAsia="zh-CN" w:bidi="ar"/>
              </w:rPr>
              <w:t>3</w:t>
            </w:r>
            <w:r>
              <w:rPr>
                <w:rFonts w:hint="default" w:ascii="Times New Roman" w:hAnsi="Times New Roman" w:eastAsia="宋体" w:cs="Times New Roman"/>
                <w:color w:val="auto"/>
                <w:kern w:val="0"/>
                <w:sz w:val="24"/>
                <w:szCs w:val="24"/>
                <w:highlight w:val="none"/>
                <w:lang w:val="en-US" w:eastAsia="zh-CN" w:bidi="ar"/>
              </w:rPr>
              <w:t>/a</w:t>
            </w:r>
            <w:r>
              <w:rPr>
                <w:rFonts w:hint="eastAsia" w:ascii="宋体" w:hAnsi="宋体" w:eastAsia="宋体" w:cs="宋体"/>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w:t>
            </w:r>
            <w:r>
              <w:rPr>
                <w:rFonts w:hint="eastAsia" w:ascii="Times New Roman" w:hAnsi="Times New Roman" w:eastAsia="宋体" w:cs="Times New Roman"/>
                <w:color w:val="auto"/>
                <w:kern w:val="0"/>
                <w:sz w:val="24"/>
                <w:szCs w:val="24"/>
                <w:highlight w:val="none"/>
                <w:lang w:val="en-US" w:eastAsia="zh-CN" w:bidi="ar"/>
              </w:rPr>
              <w:t>生活污水排入市政管网由昌吉市城北污水处理厂处理。</w:t>
            </w:r>
          </w:p>
          <w:p w14:paraId="047CA05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（2）车辆冲洗废水和场区收集的雨水</w:t>
            </w:r>
          </w:p>
          <w:p w14:paraId="59188C0B">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z w:val="24"/>
                <w:szCs w:val="24"/>
                <w:lang w:val="en-US" w:eastAsia="zh-CN"/>
              </w:rPr>
            </w:pPr>
            <w:r>
              <w:rPr>
                <w:rFonts w:hint="eastAsia" w:ascii="Times New Roman" w:hAnsi="Times New Roman" w:cs="Times New Roman"/>
                <w:bCs/>
                <w:color w:val="auto"/>
                <w:sz w:val="24"/>
                <w:szCs w:val="24"/>
                <w:lang w:val="en-US" w:eastAsia="zh-CN"/>
              </w:rPr>
              <w:t>车辆冲洗废水和场区收集的雨水</w:t>
            </w:r>
            <w:r>
              <w:rPr>
                <w:rFonts w:hint="eastAsia" w:ascii="Times New Roman" w:hAnsi="Times New Roman" w:eastAsia="宋体" w:cs="Times New Roman"/>
                <w:bCs/>
                <w:color w:val="auto"/>
                <w:sz w:val="24"/>
                <w:szCs w:val="24"/>
                <w:lang w:val="en-US" w:eastAsia="zh-CN"/>
              </w:rPr>
              <w:t>经沉淀池处理后回用于厂区降尘</w:t>
            </w:r>
            <w:r>
              <w:rPr>
                <w:rFonts w:hint="eastAsia" w:ascii="Times New Roman" w:hAnsi="Times New Roman" w:eastAsia="宋体" w:cs="Times New Roman"/>
                <w:color w:val="auto"/>
                <w:kern w:val="0"/>
                <w:sz w:val="24"/>
                <w:szCs w:val="24"/>
                <w:highlight w:val="none"/>
                <w:lang w:val="en-US" w:eastAsia="zh-CN" w:bidi="ar"/>
              </w:rPr>
              <w:t>。</w:t>
            </w:r>
          </w:p>
          <w:p w14:paraId="50EBBDB9">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eastAsia="宋体" w:cs="Times New Roman"/>
                <w:bCs/>
                <w:color w:val="auto"/>
                <w:spacing w:val="0"/>
                <w:sz w:val="24"/>
                <w:szCs w:val="24"/>
                <w:lang w:val="en-US" w:eastAsia="zh-CN"/>
              </w:rPr>
            </w:pPr>
            <w:r>
              <w:rPr>
                <w:rFonts w:hint="eastAsia" w:ascii="Times New Roman" w:hAnsi="Times New Roman" w:cs="Times New Roman"/>
                <w:b/>
                <w:bCs w:val="0"/>
                <w:color w:val="auto"/>
                <w:spacing w:val="0"/>
                <w:sz w:val="24"/>
                <w:szCs w:val="24"/>
                <w:lang w:val="en-US" w:eastAsia="zh-CN"/>
              </w:rPr>
              <w:t>2.2 废水污染物治理措施的依托可行性分析</w:t>
            </w:r>
          </w:p>
          <w:p w14:paraId="33FE025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auto"/>
                <w:spacing w:val="0"/>
                <w:sz w:val="24"/>
                <w:szCs w:val="24"/>
                <w:lang w:val="en-US" w:eastAsia="zh-CN"/>
              </w:rPr>
            </w:pPr>
            <w:r>
              <w:rPr>
                <w:rFonts w:hint="eastAsia" w:ascii="Times New Roman" w:hAnsi="Times New Roman" w:eastAsia="宋体" w:cs="Times New Roman"/>
                <w:bCs/>
                <w:color w:val="auto"/>
                <w:spacing w:val="0"/>
                <w:sz w:val="24"/>
                <w:szCs w:val="24"/>
                <w:lang w:val="en-US" w:eastAsia="zh-CN"/>
              </w:rPr>
              <w:t>①生活污水依托可行性分析</w:t>
            </w:r>
          </w:p>
          <w:p w14:paraId="4708D870">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spacing w:val="0"/>
                <w:sz w:val="24"/>
                <w:szCs w:val="24"/>
                <w:lang w:val="en-US" w:eastAsia="zh-CN"/>
              </w:rPr>
            </w:pPr>
            <w:r>
              <w:rPr>
                <w:rFonts w:hint="eastAsia" w:ascii="Times New Roman" w:hAnsi="Times New Roman" w:eastAsia="宋体" w:cs="Times New Roman"/>
                <w:bCs/>
                <w:color w:val="auto"/>
                <w:spacing w:val="0"/>
                <w:sz w:val="24"/>
                <w:szCs w:val="24"/>
                <w:lang w:val="en-US" w:eastAsia="zh-CN"/>
              </w:rPr>
              <w:t>2020年1月10日，新疆维吾尔自治区生态环境厅对《昌吉市城北污水处理厂建设项目环境影响报告书》进行了批复（新环审〔2020〕7号）。</w:t>
            </w:r>
          </w:p>
          <w:p w14:paraId="117FE04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spacing w:val="0"/>
                <w:sz w:val="24"/>
                <w:szCs w:val="24"/>
                <w:lang w:val="en-US" w:eastAsia="zh-CN"/>
              </w:rPr>
            </w:pPr>
            <w:r>
              <w:rPr>
                <w:rFonts w:hint="eastAsia" w:ascii="Times New Roman" w:hAnsi="Times New Roman" w:eastAsia="宋体" w:cs="Times New Roman"/>
                <w:bCs/>
                <w:color w:val="auto"/>
                <w:spacing w:val="0"/>
                <w:sz w:val="24"/>
                <w:szCs w:val="24"/>
                <w:lang w:val="en-US" w:eastAsia="zh-CN"/>
              </w:rPr>
              <w:t>城北污水处理厂一期工程于2020年7月动工建设，2022年7月工程完工投入试运行，日处理规模50000m</w:t>
            </w:r>
            <w:r>
              <w:rPr>
                <w:rFonts w:hint="eastAsia" w:ascii="Times New Roman" w:hAnsi="Times New Roman" w:eastAsia="宋体" w:cs="Times New Roman"/>
                <w:bCs/>
                <w:color w:val="auto"/>
                <w:spacing w:val="0"/>
                <w:sz w:val="24"/>
                <w:szCs w:val="24"/>
                <w:vertAlign w:val="superscript"/>
                <w:lang w:val="en-US" w:eastAsia="zh-CN"/>
              </w:rPr>
              <w:t>3</w:t>
            </w:r>
            <w:r>
              <w:rPr>
                <w:rFonts w:hint="eastAsia" w:ascii="Times New Roman" w:hAnsi="Times New Roman" w:eastAsia="宋体" w:cs="Times New Roman"/>
                <w:bCs/>
                <w:color w:val="auto"/>
                <w:spacing w:val="0"/>
                <w:sz w:val="24"/>
                <w:szCs w:val="24"/>
                <w:lang w:val="en-US" w:eastAsia="zh-CN"/>
              </w:rPr>
              <w:t>，现每日处理污水量为40000m</w:t>
            </w:r>
            <w:r>
              <w:rPr>
                <w:rFonts w:hint="eastAsia" w:ascii="Times New Roman" w:hAnsi="Times New Roman" w:eastAsia="宋体" w:cs="Times New Roman"/>
                <w:bCs/>
                <w:color w:val="auto"/>
                <w:spacing w:val="0"/>
                <w:sz w:val="24"/>
                <w:szCs w:val="24"/>
                <w:vertAlign w:val="superscript"/>
                <w:lang w:val="en-US" w:eastAsia="zh-CN"/>
              </w:rPr>
              <w:t>3</w:t>
            </w:r>
            <w:r>
              <w:rPr>
                <w:rFonts w:hint="eastAsia" w:ascii="Times New Roman" w:hAnsi="Times New Roman" w:eastAsia="宋体" w:cs="Times New Roman"/>
                <w:bCs/>
                <w:color w:val="auto"/>
                <w:spacing w:val="0"/>
                <w:sz w:val="24"/>
                <w:szCs w:val="24"/>
                <w:lang w:val="en-US" w:eastAsia="zh-CN"/>
              </w:rPr>
              <w:t>/d，主要污水处理工艺为采用预曝气+中间沉淀池+多模式A/AO+高效沉淀池+反硝化深床滤池，出水采用次氯酸钠消毒处理。出水水质达到一级A排放标准，中水一部分用于昌吉市北部16万亩生态林用水，一部分用于垃圾焚烧厂冷却用水。</w:t>
            </w:r>
          </w:p>
          <w:p w14:paraId="37E1488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eastAsia="宋体" w:cs="Times New Roman"/>
                <w:bCs/>
                <w:color w:val="auto"/>
                <w:spacing w:val="0"/>
                <w:sz w:val="24"/>
                <w:szCs w:val="24"/>
                <w:lang w:val="en-US" w:eastAsia="zh-CN"/>
              </w:rPr>
            </w:pPr>
            <w:r>
              <w:rPr>
                <w:rFonts w:hint="eastAsia" w:ascii="Times New Roman" w:hAnsi="Times New Roman" w:eastAsia="宋体" w:cs="Times New Roman"/>
                <w:bCs/>
                <w:color w:val="auto"/>
                <w:spacing w:val="0"/>
                <w:sz w:val="24"/>
                <w:szCs w:val="24"/>
                <w:lang w:val="en-US" w:eastAsia="zh-CN"/>
              </w:rPr>
              <w:t>污水厂工艺运行正常，出水水质稳定达标，2024年7月19日，通过建设项目竣工环境保护验收，本项目生活污水量为</w:t>
            </w:r>
            <w:r>
              <w:rPr>
                <w:rFonts w:hint="eastAsia" w:ascii="Times New Roman" w:hAnsi="Times New Roman" w:cs="Times New Roman"/>
                <w:bCs/>
                <w:color w:val="auto"/>
                <w:spacing w:val="0"/>
                <w:sz w:val="24"/>
                <w:szCs w:val="24"/>
                <w:lang w:val="en-US" w:eastAsia="zh-CN"/>
              </w:rPr>
              <w:t>0.72</w:t>
            </w:r>
            <w:r>
              <w:rPr>
                <w:rFonts w:hint="eastAsia" w:ascii="Times New Roman" w:hAnsi="Times New Roman" w:eastAsia="宋体" w:cs="Times New Roman"/>
                <w:bCs/>
                <w:color w:val="auto"/>
                <w:spacing w:val="0"/>
                <w:sz w:val="24"/>
                <w:szCs w:val="24"/>
                <w:lang w:val="en-US" w:eastAsia="zh-CN"/>
              </w:rPr>
              <w:t>m</w:t>
            </w:r>
            <w:r>
              <w:rPr>
                <w:rFonts w:hint="eastAsia" w:ascii="Times New Roman" w:hAnsi="Times New Roman" w:eastAsia="宋体" w:cs="Times New Roman"/>
                <w:bCs/>
                <w:color w:val="auto"/>
                <w:spacing w:val="0"/>
                <w:sz w:val="24"/>
                <w:szCs w:val="24"/>
                <w:vertAlign w:val="superscript"/>
                <w:lang w:val="en-US" w:eastAsia="zh-CN"/>
              </w:rPr>
              <w:t>3</w:t>
            </w:r>
            <w:r>
              <w:rPr>
                <w:rFonts w:hint="eastAsia" w:ascii="Times New Roman" w:hAnsi="Times New Roman" w:eastAsia="宋体" w:cs="Times New Roman"/>
                <w:bCs/>
                <w:color w:val="auto"/>
                <w:spacing w:val="0"/>
                <w:sz w:val="24"/>
                <w:szCs w:val="24"/>
                <w:lang w:val="en-US" w:eastAsia="zh-CN"/>
              </w:rPr>
              <w:t>/d，城北污水处理厂剩余余量可处理本项目产生的废水，另外市政污水管网距离本项目最近距离为30m。因此，生活污水依托至该污水处理厂可行。</w:t>
            </w:r>
          </w:p>
          <w:p w14:paraId="733D8132">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eastAsia="宋体" w:cs="Times New Roman"/>
                <w:bCs/>
                <w:color w:val="auto"/>
                <w:spacing w:val="0"/>
                <w:sz w:val="24"/>
                <w:szCs w:val="24"/>
                <w:lang w:val="en-US" w:eastAsia="zh-CN"/>
              </w:rPr>
            </w:pPr>
            <w:r>
              <w:rPr>
                <w:rFonts w:hint="eastAsia" w:ascii="Times New Roman" w:hAnsi="Times New Roman" w:cs="Times New Roman"/>
                <w:b/>
                <w:bCs w:val="0"/>
                <w:color w:val="auto"/>
                <w:spacing w:val="0"/>
                <w:sz w:val="24"/>
                <w:szCs w:val="24"/>
                <w:lang w:val="en-US" w:eastAsia="zh-CN"/>
              </w:rPr>
              <w:t>3 噪声影响和保护措施</w:t>
            </w:r>
          </w:p>
          <w:p w14:paraId="5B6239E9">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default" w:eastAsia="宋体"/>
                <w:color w:val="auto"/>
                <w:sz w:val="24"/>
                <w:szCs w:val="24"/>
                <w:lang w:val="en-US" w:eastAsia="zh-CN"/>
              </w:rPr>
            </w:pPr>
            <w:r>
              <w:rPr>
                <w:rFonts w:hint="eastAsia"/>
                <w:b/>
                <w:bCs/>
                <w:color w:val="auto"/>
                <w:sz w:val="24"/>
                <w:szCs w:val="24"/>
                <w:lang w:val="en-US" w:eastAsia="zh-CN"/>
              </w:rPr>
              <w:t>3.1 噪声影响分析</w:t>
            </w:r>
          </w:p>
          <w:p w14:paraId="2CAFB2F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color w:val="auto"/>
                <w:sz w:val="24"/>
                <w:szCs w:val="24"/>
              </w:rPr>
            </w:pPr>
            <w:r>
              <w:rPr>
                <w:rFonts w:hint="eastAsia"/>
                <w:color w:val="auto"/>
                <w:sz w:val="24"/>
                <w:szCs w:val="24"/>
              </w:rPr>
              <w:t>（1）噪声源强</w:t>
            </w:r>
          </w:p>
          <w:p w14:paraId="6178BE7A">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color w:val="auto"/>
                <w:sz w:val="24"/>
                <w:szCs w:val="32"/>
              </w:rPr>
            </w:pPr>
            <w:r>
              <w:rPr>
                <w:color w:val="auto"/>
                <w:sz w:val="24"/>
                <w:szCs w:val="24"/>
              </w:rPr>
              <w:t>工程营运期间产生的噪声主要</w:t>
            </w:r>
            <w:r>
              <w:rPr>
                <w:rFonts w:hint="eastAsia"/>
                <w:color w:val="auto"/>
                <w:sz w:val="24"/>
                <w:szCs w:val="24"/>
                <w:lang w:val="en-US" w:eastAsia="zh-CN"/>
              </w:rPr>
              <w:t>为装载机</w:t>
            </w:r>
            <w:r>
              <w:rPr>
                <w:rFonts w:hint="eastAsia"/>
                <w:color w:val="auto"/>
                <w:sz w:val="24"/>
                <w:szCs w:val="24"/>
              </w:rPr>
              <w:t>、</w:t>
            </w:r>
            <w:r>
              <w:rPr>
                <w:rFonts w:hint="eastAsia"/>
                <w:color w:val="auto"/>
                <w:sz w:val="24"/>
                <w:szCs w:val="24"/>
                <w:lang w:val="en-US" w:eastAsia="zh-CN"/>
              </w:rPr>
              <w:t>自卸车机械，噪声值在75-90dB（A）之间，噪声排放状况见下表。</w:t>
            </w:r>
          </w:p>
          <w:p w14:paraId="0FD984BC">
            <w:pPr>
              <w:adjustRightInd w:val="0"/>
              <w:snapToGrid w:val="0"/>
              <w:jc w:val="center"/>
              <w:rPr>
                <w:b/>
                <w:bCs/>
                <w:color w:val="auto"/>
              </w:rPr>
            </w:pPr>
            <w:r>
              <w:rPr>
                <w:b/>
                <w:bCs/>
                <w:color w:val="auto"/>
              </w:rPr>
              <w:t>表</w:t>
            </w:r>
            <w:r>
              <w:rPr>
                <w:rFonts w:hint="eastAsia"/>
                <w:b/>
                <w:bCs/>
                <w:color w:val="auto"/>
                <w:lang w:val="en-US" w:eastAsia="zh-CN"/>
              </w:rPr>
              <w:t xml:space="preserve">4-3   </w:t>
            </w:r>
            <w:r>
              <w:rPr>
                <w:b/>
                <w:bCs/>
                <w:color w:val="auto"/>
              </w:rPr>
              <w:t>工程营运期声源主要噪声源强一览表单位：dB(A)</w:t>
            </w:r>
          </w:p>
          <w:tbl>
            <w:tblPr>
              <w:tblStyle w:val="28"/>
              <w:tblW w:w="4996"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61"/>
              <w:gridCol w:w="960"/>
              <w:gridCol w:w="1066"/>
              <w:gridCol w:w="761"/>
              <w:gridCol w:w="761"/>
              <w:gridCol w:w="538"/>
              <w:gridCol w:w="875"/>
              <w:gridCol w:w="804"/>
              <w:gridCol w:w="815"/>
              <w:gridCol w:w="899"/>
            </w:tblGrid>
            <w:tr w14:paraId="13E45E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1" w:type="pct"/>
                  <w:vMerge w:val="restart"/>
                  <w:noWrap w:val="0"/>
                  <w:vAlign w:val="center"/>
                </w:tcPr>
                <w:p w14:paraId="6C0F1C2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eastAsia="宋体"/>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t>序号</w:t>
                  </w:r>
                </w:p>
              </w:tc>
              <w:tc>
                <w:tcPr>
                  <w:tcW w:w="605" w:type="pct"/>
                  <w:vMerge w:val="restart"/>
                  <w:noWrap w:val="0"/>
                  <w:vAlign w:val="center"/>
                </w:tcPr>
                <w:p w14:paraId="124ADB7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eastAsia="宋体"/>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t>设备名称</w:t>
                  </w:r>
                </w:p>
              </w:tc>
              <w:tc>
                <w:tcPr>
                  <w:tcW w:w="671" w:type="pct"/>
                  <w:vMerge w:val="restart"/>
                  <w:noWrap w:val="0"/>
                  <w:vAlign w:val="center"/>
                </w:tcPr>
                <w:p w14:paraId="6898115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eastAsia="宋体"/>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t>数量（台）</w:t>
                  </w:r>
                </w:p>
              </w:tc>
              <w:tc>
                <w:tcPr>
                  <w:tcW w:w="1297" w:type="pct"/>
                  <w:gridSpan w:val="3"/>
                  <w:tcBorders>
                    <w:bottom w:val="single" w:color="auto" w:sz="12" w:space="0"/>
                  </w:tcBorders>
                  <w:noWrap w:val="0"/>
                  <w:vAlign w:val="center"/>
                </w:tcPr>
                <w:p w14:paraId="108EB8D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t>空间位置</w:t>
                  </w:r>
                </w:p>
              </w:tc>
              <w:tc>
                <w:tcPr>
                  <w:tcW w:w="551" w:type="pct"/>
                  <w:vMerge w:val="restart"/>
                  <w:noWrap w:val="0"/>
                  <w:vAlign w:val="center"/>
                </w:tcPr>
                <w:p w14:paraId="1B1444B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auto"/>
                      <w:sz w:val="21"/>
                      <w:szCs w:val="21"/>
                      <w:highlight w:val="none"/>
                      <w:vertAlign w:val="baseline"/>
                      <w:lang w:val="en-US" w:eastAsia="zh-CN"/>
                    </w:rPr>
                  </w:pPr>
                  <w:r>
                    <w:rPr>
                      <w:rFonts w:hint="eastAsia" w:ascii="Times New Roman" w:eastAsia="宋体"/>
                      <w:b/>
                      <w:bCs/>
                      <w:color w:val="auto"/>
                      <w:sz w:val="21"/>
                      <w:szCs w:val="21"/>
                      <w:highlight w:val="none"/>
                      <w:vertAlign w:val="baseline"/>
                      <w:lang w:val="en-US" w:eastAsia="zh-CN"/>
                    </w:rPr>
                    <w:t>声压级dB（A）</w:t>
                  </w:r>
                </w:p>
              </w:tc>
              <w:tc>
                <w:tcPr>
                  <w:tcW w:w="506" w:type="pct"/>
                  <w:vMerge w:val="restart"/>
                  <w:noWrap w:val="0"/>
                  <w:vAlign w:val="center"/>
                </w:tcPr>
                <w:p w14:paraId="5341041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eastAsia="宋体"/>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t>类别</w:t>
                  </w:r>
                </w:p>
              </w:tc>
              <w:tc>
                <w:tcPr>
                  <w:tcW w:w="513" w:type="pct"/>
                  <w:vMerge w:val="restart"/>
                  <w:noWrap w:val="0"/>
                  <w:vAlign w:val="center"/>
                </w:tcPr>
                <w:p w14:paraId="0607146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eastAsia="宋体"/>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t>防护措施</w:t>
                  </w:r>
                </w:p>
              </w:tc>
              <w:tc>
                <w:tcPr>
                  <w:tcW w:w="562" w:type="pct"/>
                  <w:vMerge w:val="restart"/>
                  <w:noWrap w:val="0"/>
                  <w:vAlign w:val="center"/>
                </w:tcPr>
                <w:p w14:paraId="29C9A17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t>运行时段</w:t>
                  </w:r>
                </w:p>
              </w:tc>
            </w:tr>
            <w:tr w14:paraId="16EB7E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9" w:hRule="atLeast"/>
              </w:trPr>
              <w:tc>
                <w:tcPr>
                  <w:tcW w:w="291" w:type="pct"/>
                  <w:vMerge w:val="continue"/>
                  <w:tcBorders>
                    <w:bottom w:val="single" w:color="auto" w:sz="12" w:space="0"/>
                  </w:tcBorders>
                  <w:noWrap w:val="0"/>
                  <w:vAlign w:val="center"/>
                </w:tcPr>
                <w:p w14:paraId="7571295A">
                  <w:pPr>
                    <w:keepNext w:val="0"/>
                    <w:keepLines w:val="0"/>
                    <w:pageBreakBefore w:val="0"/>
                    <w:widowControl/>
                    <w:kinsoku/>
                    <w:wordWrap/>
                    <w:overflowPunct/>
                    <w:topLinePunct w:val="0"/>
                    <w:autoSpaceDE/>
                    <w:autoSpaceDN/>
                    <w:bidi w:val="0"/>
                    <w:adjustRightInd/>
                    <w:snapToGrid/>
                    <w:spacing w:line="240" w:lineRule="auto"/>
                    <w:jc w:val="center"/>
                    <w:textAlignment w:val="auto"/>
                    <w:rPr>
                      <w:color w:val="auto"/>
                      <w:highlight w:val="none"/>
                    </w:rPr>
                  </w:pPr>
                </w:p>
              </w:tc>
              <w:tc>
                <w:tcPr>
                  <w:tcW w:w="605" w:type="pct"/>
                  <w:vMerge w:val="continue"/>
                  <w:tcBorders>
                    <w:bottom w:val="single" w:color="auto" w:sz="12" w:space="0"/>
                  </w:tcBorders>
                  <w:noWrap w:val="0"/>
                  <w:vAlign w:val="center"/>
                </w:tcPr>
                <w:p w14:paraId="19C7B505">
                  <w:pPr>
                    <w:keepNext w:val="0"/>
                    <w:keepLines w:val="0"/>
                    <w:pageBreakBefore w:val="0"/>
                    <w:widowControl/>
                    <w:kinsoku/>
                    <w:wordWrap/>
                    <w:overflowPunct/>
                    <w:topLinePunct w:val="0"/>
                    <w:autoSpaceDE/>
                    <w:autoSpaceDN/>
                    <w:bidi w:val="0"/>
                    <w:adjustRightInd/>
                    <w:snapToGrid/>
                    <w:spacing w:line="240" w:lineRule="auto"/>
                    <w:jc w:val="center"/>
                    <w:textAlignment w:val="auto"/>
                    <w:rPr>
                      <w:color w:val="auto"/>
                      <w:highlight w:val="none"/>
                    </w:rPr>
                  </w:pPr>
                </w:p>
              </w:tc>
              <w:tc>
                <w:tcPr>
                  <w:tcW w:w="671" w:type="pct"/>
                  <w:vMerge w:val="continue"/>
                  <w:tcBorders>
                    <w:bottom w:val="single" w:color="auto" w:sz="12" w:space="0"/>
                  </w:tcBorders>
                  <w:noWrap w:val="0"/>
                  <w:vAlign w:val="center"/>
                </w:tcPr>
                <w:p w14:paraId="2DE58223">
                  <w:pPr>
                    <w:keepNext w:val="0"/>
                    <w:keepLines w:val="0"/>
                    <w:pageBreakBefore w:val="0"/>
                    <w:widowControl/>
                    <w:kinsoku/>
                    <w:wordWrap/>
                    <w:overflowPunct/>
                    <w:topLinePunct w:val="0"/>
                    <w:autoSpaceDE/>
                    <w:autoSpaceDN/>
                    <w:bidi w:val="0"/>
                    <w:adjustRightInd/>
                    <w:snapToGrid/>
                    <w:spacing w:line="240" w:lineRule="auto"/>
                    <w:jc w:val="center"/>
                    <w:textAlignment w:val="auto"/>
                    <w:rPr>
                      <w:color w:val="auto"/>
                      <w:highlight w:val="none"/>
                    </w:rPr>
                  </w:pPr>
                </w:p>
              </w:tc>
              <w:tc>
                <w:tcPr>
                  <w:tcW w:w="479" w:type="pct"/>
                  <w:tcBorders>
                    <w:bottom w:val="single" w:color="auto" w:sz="12" w:space="0"/>
                  </w:tcBorders>
                  <w:noWrap w:val="0"/>
                  <w:vAlign w:val="center"/>
                </w:tcPr>
                <w:p w14:paraId="74CC518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t>X</w:t>
                  </w:r>
                </w:p>
              </w:tc>
              <w:tc>
                <w:tcPr>
                  <w:tcW w:w="479" w:type="pct"/>
                  <w:tcBorders>
                    <w:bottom w:val="single" w:color="auto" w:sz="12" w:space="0"/>
                  </w:tcBorders>
                  <w:noWrap w:val="0"/>
                  <w:vAlign w:val="center"/>
                </w:tcPr>
                <w:p w14:paraId="4075645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t>Y</w:t>
                  </w:r>
                </w:p>
              </w:tc>
              <w:tc>
                <w:tcPr>
                  <w:tcW w:w="338" w:type="pct"/>
                  <w:tcBorders>
                    <w:bottom w:val="single" w:color="auto" w:sz="12" w:space="0"/>
                  </w:tcBorders>
                  <w:noWrap w:val="0"/>
                  <w:vAlign w:val="center"/>
                </w:tcPr>
                <w:p w14:paraId="4C234A0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b/>
                      <w:bCs/>
                      <w:color w:val="auto"/>
                      <w:sz w:val="21"/>
                      <w:szCs w:val="21"/>
                      <w:highlight w:val="none"/>
                      <w:vertAlign w:val="baseline"/>
                      <w:lang w:val="en-US" w:eastAsia="zh-CN"/>
                    </w:rPr>
                  </w:pPr>
                  <w:r>
                    <w:rPr>
                      <w:rFonts w:hint="eastAsia"/>
                      <w:b/>
                      <w:bCs/>
                      <w:color w:val="auto"/>
                      <w:sz w:val="21"/>
                      <w:szCs w:val="21"/>
                      <w:highlight w:val="none"/>
                      <w:vertAlign w:val="baseline"/>
                      <w:lang w:val="en-US" w:eastAsia="zh-CN"/>
                    </w:rPr>
                    <w:t>Z</w:t>
                  </w:r>
                </w:p>
              </w:tc>
              <w:tc>
                <w:tcPr>
                  <w:tcW w:w="551" w:type="pct"/>
                  <w:vMerge w:val="continue"/>
                  <w:tcBorders>
                    <w:bottom w:val="single" w:color="auto" w:sz="12" w:space="0"/>
                  </w:tcBorders>
                  <w:noWrap w:val="0"/>
                  <w:vAlign w:val="center"/>
                </w:tcPr>
                <w:p w14:paraId="213BFF1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auto"/>
                      <w:sz w:val="21"/>
                      <w:szCs w:val="21"/>
                      <w:highlight w:val="none"/>
                      <w:vertAlign w:val="baseline"/>
                      <w:lang w:val="en-US" w:eastAsia="zh-CN"/>
                    </w:rPr>
                  </w:pPr>
                </w:p>
              </w:tc>
              <w:tc>
                <w:tcPr>
                  <w:tcW w:w="506" w:type="pct"/>
                  <w:vMerge w:val="continue"/>
                  <w:tcBorders>
                    <w:bottom w:val="single" w:color="auto" w:sz="12" w:space="0"/>
                  </w:tcBorders>
                  <w:noWrap w:val="0"/>
                  <w:vAlign w:val="center"/>
                </w:tcPr>
                <w:p w14:paraId="6AA0613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auto"/>
                      <w:sz w:val="21"/>
                      <w:szCs w:val="21"/>
                      <w:highlight w:val="none"/>
                      <w:vertAlign w:val="baseline"/>
                      <w:lang w:val="en-US" w:eastAsia="zh-CN"/>
                    </w:rPr>
                  </w:pPr>
                </w:p>
              </w:tc>
              <w:tc>
                <w:tcPr>
                  <w:tcW w:w="513" w:type="pct"/>
                  <w:vMerge w:val="continue"/>
                  <w:tcBorders>
                    <w:bottom w:val="single" w:color="auto" w:sz="12" w:space="0"/>
                  </w:tcBorders>
                  <w:noWrap w:val="0"/>
                  <w:vAlign w:val="center"/>
                </w:tcPr>
                <w:p w14:paraId="362FF89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auto"/>
                      <w:sz w:val="21"/>
                      <w:szCs w:val="21"/>
                      <w:highlight w:val="none"/>
                      <w:vertAlign w:val="baseline"/>
                      <w:lang w:val="en-US" w:eastAsia="zh-CN"/>
                    </w:rPr>
                  </w:pPr>
                </w:p>
              </w:tc>
              <w:tc>
                <w:tcPr>
                  <w:tcW w:w="562" w:type="pct"/>
                  <w:vMerge w:val="continue"/>
                  <w:tcBorders>
                    <w:bottom w:val="single" w:color="auto" w:sz="12" w:space="0"/>
                  </w:tcBorders>
                  <w:noWrap w:val="0"/>
                  <w:vAlign w:val="center"/>
                </w:tcPr>
                <w:p w14:paraId="502B834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b/>
                      <w:bCs/>
                      <w:color w:val="auto"/>
                      <w:sz w:val="21"/>
                      <w:szCs w:val="21"/>
                      <w:highlight w:val="none"/>
                      <w:vertAlign w:val="baseline"/>
                      <w:lang w:val="en-US" w:eastAsia="zh-CN"/>
                    </w:rPr>
                  </w:pPr>
                </w:p>
              </w:tc>
            </w:tr>
            <w:tr w14:paraId="23F358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1" w:type="pct"/>
                  <w:tcBorders>
                    <w:top w:val="single" w:color="auto" w:sz="12" w:space="0"/>
                    <w:tl2br w:val="nil"/>
                    <w:tr2bl w:val="nil"/>
                  </w:tcBorders>
                  <w:noWrap w:val="0"/>
                  <w:vAlign w:val="center"/>
                </w:tcPr>
                <w:p w14:paraId="168F772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1</w:t>
                  </w:r>
                </w:p>
              </w:tc>
              <w:tc>
                <w:tcPr>
                  <w:tcW w:w="605" w:type="pct"/>
                  <w:tcBorders>
                    <w:top w:val="single" w:color="auto" w:sz="12" w:space="0"/>
                    <w:tl2br w:val="nil"/>
                    <w:tr2bl w:val="nil"/>
                  </w:tcBorders>
                  <w:noWrap w:val="0"/>
                  <w:vAlign w:val="center"/>
                </w:tcPr>
                <w:p w14:paraId="6719BF91">
                  <w:pPr>
                    <w:widowControl w:val="0"/>
                    <w:numPr>
                      <w:ilvl w:val="0"/>
                      <w:numId w:val="0"/>
                    </w:numPr>
                    <w:adjustRightInd w:val="0"/>
                    <w:snapToGrid w:val="0"/>
                    <w:spacing w:line="240" w:lineRule="auto"/>
                    <w:ind w:left="0" w:leftChars="0" w:firstLine="0" w:firstLineChars="0"/>
                    <w:jc w:val="center"/>
                    <w:rPr>
                      <w:rFonts w:hint="eastAsia" w:eastAsia="宋体"/>
                      <w:color w:val="auto"/>
                      <w:sz w:val="21"/>
                      <w:szCs w:val="21"/>
                      <w:highlight w:val="none"/>
                      <w:vertAlign w:val="baseline"/>
                      <w:lang w:val="en-US" w:eastAsia="zh-CN"/>
                    </w:rPr>
                  </w:pPr>
                  <w:r>
                    <w:rPr>
                      <w:rFonts w:hint="eastAsia" w:ascii="Times New Roman" w:hAnsi="Times New Roman" w:eastAsia="宋体" w:cs="Times New Roman"/>
                      <w:color w:val="auto"/>
                      <w:kern w:val="2"/>
                      <w:sz w:val="21"/>
                      <w:u w:val="none"/>
                      <w:lang w:val="en-US" w:eastAsia="zh-CN" w:bidi="ar-SA"/>
                    </w:rPr>
                    <w:t>装载机</w:t>
                  </w:r>
                </w:p>
              </w:tc>
              <w:tc>
                <w:tcPr>
                  <w:tcW w:w="671" w:type="pct"/>
                  <w:tcBorders>
                    <w:top w:val="single" w:color="auto" w:sz="12" w:space="0"/>
                    <w:tl2br w:val="nil"/>
                    <w:tr2bl w:val="nil"/>
                  </w:tcBorders>
                  <w:noWrap w:val="0"/>
                  <w:vAlign w:val="center"/>
                </w:tcPr>
                <w:p w14:paraId="1185F35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2</w:t>
                  </w:r>
                </w:p>
              </w:tc>
              <w:tc>
                <w:tcPr>
                  <w:tcW w:w="479" w:type="pct"/>
                  <w:tcBorders>
                    <w:top w:val="single" w:color="auto" w:sz="12" w:space="0"/>
                    <w:tl2br w:val="nil"/>
                    <w:tr2bl w:val="nil"/>
                  </w:tcBorders>
                  <w:noWrap w:val="0"/>
                  <w:vAlign w:val="center"/>
                </w:tcPr>
                <w:p w14:paraId="5F83455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eastAsia="宋体"/>
                      <w:color w:val="auto"/>
                      <w:sz w:val="21"/>
                      <w:szCs w:val="21"/>
                      <w:highlight w:val="none"/>
                      <w:vertAlign w:val="baseline"/>
                      <w:lang w:val="en-US" w:eastAsia="zh-CN"/>
                    </w:rPr>
                  </w:pPr>
                  <w:r>
                    <w:rPr>
                      <w:rFonts w:hint="eastAsia" w:eastAsia="宋体"/>
                      <w:color w:val="auto"/>
                      <w:sz w:val="21"/>
                      <w:szCs w:val="21"/>
                      <w:highlight w:val="none"/>
                      <w:vertAlign w:val="baseline"/>
                      <w:lang w:val="en-US" w:eastAsia="zh-CN"/>
                    </w:rPr>
                    <w:t>1</w:t>
                  </w:r>
                </w:p>
              </w:tc>
              <w:tc>
                <w:tcPr>
                  <w:tcW w:w="479" w:type="pct"/>
                  <w:tcBorders>
                    <w:top w:val="single" w:color="auto" w:sz="12" w:space="0"/>
                    <w:tl2br w:val="nil"/>
                    <w:tr2bl w:val="nil"/>
                  </w:tcBorders>
                  <w:noWrap w:val="0"/>
                  <w:vAlign w:val="center"/>
                </w:tcPr>
                <w:p w14:paraId="639553E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1</w:t>
                  </w:r>
                </w:p>
              </w:tc>
              <w:tc>
                <w:tcPr>
                  <w:tcW w:w="338" w:type="pct"/>
                  <w:tcBorders>
                    <w:top w:val="single" w:color="auto" w:sz="12" w:space="0"/>
                    <w:tl2br w:val="nil"/>
                    <w:tr2bl w:val="nil"/>
                  </w:tcBorders>
                  <w:noWrap w:val="0"/>
                  <w:vAlign w:val="center"/>
                </w:tcPr>
                <w:p w14:paraId="0F07A02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1.0</w:t>
                  </w:r>
                </w:p>
              </w:tc>
              <w:tc>
                <w:tcPr>
                  <w:tcW w:w="551" w:type="pct"/>
                  <w:tcBorders>
                    <w:top w:val="single" w:color="auto" w:sz="12" w:space="0"/>
                    <w:tl2br w:val="nil"/>
                    <w:tr2bl w:val="nil"/>
                  </w:tcBorders>
                  <w:noWrap w:val="0"/>
                  <w:vAlign w:val="center"/>
                </w:tcPr>
                <w:p w14:paraId="705F0BD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auto"/>
                      <w:sz w:val="21"/>
                      <w:szCs w:val="21"/>
                      <w:highlight w:val="none"/>
                      <w:vertAlign w:val="baseline"/>
                      <w:lang w:val="en-US" w:eastAsia="zh-CN"/>
                    </w:rPr>
                  </w:pPr>
                  <w:r>
                    <w:rPr>
                      <w:rFonts w:hint="eastAsia"/>
                      <w:color w:val="auto"/>
                      <w:sz w:val="21"/>
                      <w:szCs w:val="21"/>
                      <w:highlight w:val="none"/>
                      <w:vertAlign w:val="baseline"/>
                      <w:lang w:val="en-US" w:eastAsia="zh-CN"/>
                    </w:rPr>
                    <w:t>90</w:t>
                  </w:r>
                </w:p>
              </w:tc>
              <w:tc>
                <w:tcPr>
                  <w:tcW w:w="506" w:type="pct"/>
                  <w:tcBorders>
                    <w:top w:val="single" w:color="auto" w:sz="12" w:space="0"/>
                    <w:tl2br w:val="nil"/>
                    <w:tr2bl w:val="nil"/>
                  </w:tcBorders>
                  <w:noWrap w:val="0"/>
                  <w:vAlign w:val="center"/>
                </w:tcPr>
                <w:p w14:paraId="51B0D4F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点源</w:t>
                  </w:r>
                </w:p>
              </w:tc>
              <w:tc>
                <w:tcPr>
                  <w:tcW w:w="513" w:type="pct"/>
                  <w:vMerge w:val="restart"/>
                  <w:tcBorders>
                    <w:top w:val="single" w:color="auto" w:sz="12" w:space="0"/>
                    <w:tl2br w:val="nil"/>
                    <w:tr2bl w:val="nil"/>
                  </w:tcBorders>
                  <w:noWrap w:val="0"/>
                  <w:vAlign w:val="center"/>
                </w:tcPr>
                <w:p w14:paraId="19C10D3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选用低噪声机械</w:t>
                  </w:r>
                </w:p>
              </w:tc>
              <w:tc>
                <w:tcPr>
                  <w:tcW w:w="562" w:type="pct"/>
                  <w:vMerge w:val="restart"/>
                  <w:tcBorders>
                    <w:top w:val="single" w:color="auto" w:sz="12" w:space="0"/>
                    <w:tl2br w:val="nil"/>
                    <w:tr2bl w:val="nil"/>
                  </w:tcBorders>
                  <w:noWrap w:val="0"/>
                  <w:vAlign w:val="center"/>
                </w:tcPr>
                <w:p w14:paraId="060DDC2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10点-20点</w:t>
                  </w:r>
                </w:p>
              </w:tc>
            </w:tr>
            <w:tr w14:paraId="3FA14B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1" w:type="pct"/>
                  <w:tcBorders>
                    <w:tl2br w:val="nil"/>
                    <w:tr2bl w:val="nil"/>
                  </w:tcBorders>
                  <w:noWrap w:val="0"/>
                  <w:vAlign w:val="center"/>
                </w:tcPr>
                <w:p w14:paraId="3D8E37F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2</w:t>
                  </w:r>
                </w:p>
              </w:tc>
              <w:tc>
                <w:tcPr>
                  <w:tcW w:w="605" w:type="pct"/>
                  <w:tcBorders>
                    <w:tl2br w:val="nil"/>
                    <w:tr2bl w:val="nil"/>
                  </w:tcBorders>
                  <w:noWrap w:val="0"/>
                  <w:vAlign w:val="center"/>
                </w:tcPr>
                <w:p w14:paraId="79B5BB1F">
                  <w:pPr>
                    <w:widowControl w:val="0"/>
                    <w:numPr>
                      <w:ilvl w:val="0"/>
                      <w:numId w:val="0"/>
                    </w:numPr>
                    <w:adjustRightInd w:val="0"/>
                    <w:snapToGrid w:val="0"/>
                    <w:spacing w:line="240" w:lineRule="auto"/>
                    <w:ind w:left="0" w:leftChars="0" w:firstLine="0" w:firstLineChars="0"/>
                    <w:jc w:val="center"/>
                    <w:rPr>
                      <w:rFonts w:hint="eastAsia" w:eastAsia="宋体"/>
                      <w:color w:val="auto"/>
                      <w:sz w:val="21"/>
                      <w:szCs w:val="21"/>
                      <w:highlight w:val="none"/>
                      <w:vertAlign w:val="baseline"/>
                      <w:lang w:val="en-US" w:eastAsia="zh-CN"/>
                    </w:rPr>
                  </w:pPr>
                  <w:r>
                    <w:rPr>
                      <w:rFonts w:hint="eastAsia" w:ascii="Times New Roman" w:hAnsi="Times New Roman" w:eastAsia="宋体" w:cs="Times New Roman"/>
                      <w:color w:val="auto"/>
                      <w:kern w:val="2"/>
                      <w:sz w:val="21"/>
                      <w:u w:val="none"/>
                      <w:lang w:val="en-US" w:eastAsia="zh-CN" w:bidi="ar-SA"/>
                    </w:rPr>
                    <w:t>挖掘机</w:t>
                  </w:r>
                </w:p>
              </w:tc>
              <w:tc>
                <w:tcPr>
                  <w:tcW w:w="671" w:type="pct"/>
                  <w:tcBorders>
                    <w:tl2br w:val="nil"/>
                    <w:tr2bl w:val="nil"/>
                  </w:tcBorders>
                  <w:noWrap w:val="0"/>
                  <w:vAlign w:val="center"/>
                </w:tcPr>
                <w:p w14:paraId="534599F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1</w:t>
                  </w:r>
                </w:p>
              </w:tc>
              <w:tc>
                <w:tcPr>
                  <w:tcW w:w="479" w:type="pct"/>
                  <w:tcBorders>
                    <w:tl2br w:val="nil"/>
                    <w:tr2bl w:val="nil"/>
                  </w:tcBorders>
                  <w:noWrap w:val="0"/>
                  <w:vAlign w:val="center"/>
                </w:tcPr>
                <w:p w14:paraId="2795DCA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2</w:t>
                  </w:r>
                </w:p>
              </w:tc>
              <w:tc>
                <w:tcPr>
                  <w:tcW w:w="479" w:type="pct"/>
                  <w:tcBorders>
                    <w:tl2br w:val="nil"/>
                    <w:tr2bl w:val="nil"/>
                  </w:tcBorders>
                  <w:noWrap w:val="0"/>
                  <w:vAlign w:val="center"/>
                </w:tcPr>
                <w:p w14:paraId="49447A9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auto"/>
                      <w:sz w:val="21"/>
                      <w:szCs w:val="21"/>
                      <w:highlight w:val="none"/>
                      <w:vertAlign w:val="baseline"/>
                      <w:lang w:val="en-US" w:eastAsia="zh-CN"/>
                    </w:rPr>
                  </w:pPr>
                  <w:r>
                    <w:rPr>
                      <w:rFonts w:hint="eastAsia"/>
                      <w:color w:val="auto"/>
                      <w:sz w:val="21"/>
                      <w:szCs w:val="21"/>
                      <w:highlight w:val="none"/>
                      <w:vertAlign w:val="baseline"/>
                      <w:lang w:val="en-US" w:eastAsia="zh-CN"/>
                    </w:rPr>
                    <w:t>2</w:t>
                  </w:r>
                </w:p>
              </w:tc>
              <w:tc>
                <w:tcPr>
                  <w:tcW w:w="338" w:type="pct"/>
                  <w:tcBorders>
                    <w:tl2br w:val="nil"/>
                    <w:tr2bl w:val="nil"/>
                  </w:tcBorders>
                  <w:noWrap w:val="0"/>
                  <w:vAlign w:val="center"/>
                </w:tcPr>
                <w:p w14:paraId="63E7D0A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auto"/>
                      <w:sz w:val="21"/>
                      <w:szCs w:val="21"/>
                      <w:highlight w:val="none"/>
                      <w:vertAlign w:val="baseline"/>
                      <w:lang w:val="en-US" w:eastAsia="zh-CN"/>
                    </w:rPr>
                  </w:pPr>
                  <w:r>
                    <w:rPr>
                      <w:rFonts w:hint="eastAsia"/>
                      <w:color w:val="auto"/>
                      <w:sz w:val="21"/>
                      <w:szCs w:val="21"/>
                      <w:highlight w:val="none"/>
                      <w:vertAlign w:val="baseline"/>
                      <w:lang w:val="en-US" w:eastAsia="zh-CN"/>
                    </w:rPr>
                    <w:t>1.0</w:t>
                  </w:r>
                </w:p>
              </w:tc>
              <w:tc>
                <w:tcPr>
                  <w:tcW w:w="551" w:type="pct"/>
                  <w:tcBorders>
                    <w:tl2br w:val="nil"/>
                    <w:tr2bl w:val="nil"/>
                  </w:tcBorders>
                  <w:noWrap w:val="0"/>
                  <w:vAlign w:val="center"/>
                </w:tcPr>
                <w:p w14:paraId="23F2740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80</w:t>
                  </w:r>
                </w:p>
              </w:tc>
              <w:tc>
                <w:tcPr>
                  <w:tcW w:w="506" w:type="pct"/>
                  <w:tcBorders>
                    <w:tl2br w:val="nil"/>
                    <w:tr2bl w:val="nil"/>
                  </w:tcBorders>
                  <w:noWrap w:val="0"/>
                  <w:vAlign w:val="center"/>
                </w:tcPr>
                <w:p w14:paraId="1636B70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auto"/>
                      <w:sz w:val="21"/>
                      <w:szCs w:val="21"/>
                      <w:highlight w:val="none"/>
                      <w:vertAlign w:val="baseline"/>
                    </w:rPr>
                  </w:pPr>
                  <w:r>
                    <w:rPr>
                      <w:rFonts w:hint="eastAsia"/>
                      <w:color w:val="auto"/>
                      <w:sz w:val="21"/>
                      <w:szCs w:val="21"/>
                      <w:highlight w:val="none"/>
                      <w:vertAlign w:val="baseline"/>
                      <w:lang w:val="en-US" w:eastAsia="zh-CN"/>
                    </w:rPr>
                    <w:t>点源</w:t>
                  </w:r>
                </w:p>
              </w:tc>
              <w:tc>
                <w:tcPr>
                  <w:tcW w:w="513" w:type="pct"/>
                  <w:vMerge w:val="continue"/>
                  <w:tcBorders>
                    <w:tl2br w:val="nil"/>
                    <w:tr2bl w:val="nil"/>
                  </w:tcBorders>
                  <w:noWrap w:val="0"/>
                  <w:vAlign w:val="center"/>
                </w:tcPr>
                <w:p w14:paraId="0E60847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auto"/>
                      <w:sz w:val="21"/>
                      <w:szCs w:val="21"/>
                      <w:highlight w:val="none"/>
                      <w:vertAlign w:val="baseline"/>
                    </w:rPr>
                  </w:pPr>
                </w:p>
              </w:tc>
              <w:tc>
                <w:tcPr>
                  <w:tcW w:w="562" w:type="pct"/>
                  <w:vMerge w:val="continue"/>
                  <w:tcBorders>
                    <w:tl2br w:val="nil"/>
                    <w:tr2bl w:val="nil"/>
                  </w:tcBorders>
                  <w:noWrap w:val="0"/>
                  <w:vAlign w:val="center"/>
                </w:tcPr>
                <w:p w14:paraId="0FBAD5B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auto"/>
                      <w:sz w:val="21"/>
                      <w:szCs w:val="21"/>
                      <w:highlight w:val="none"/>
                      <w:vertAlign w:val="baseline"/>
                    </w:rPr>
                  </w:pPr>
                </w:p>
              </w:tc>
            </w:tr>
            <w:tr w14:paraId="6EE00F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1" w:type="pct"/>
                  <w:tcBorders>
                    <w:tl2br w:val="nil"/>
                    <w:tr2bl w:val="nil"/>
                  </w:tcBorders>
                  <w:noWrap w:val="0"/>
                  <w:vAlign w:val="center"/>
                </w:tcPr>
                <w:p w14:paraId="5EA1F746">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3</w:t>
                  </w:r>
                </w:p>
              </w:tc>
              <w:tc>
                <w:tcPr>
                  <w:tcW w:w="605" w:type="pct"/>
                  <w:tcBorders>
                    <w:tl2br w:val="nil"/>
                    <w:tr2bl w:val="nil"/>
                  </w:tcBorders>
                  <w:noWrap w:val="0"/>
                  <w:vAlign w:val="center"/>
                </w:tcPr>
                <w:p w14:paraId="3AAA856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自卸车</w:t>
                  </w:r>
                </w:p>
              </w:tc>
              <w:tc>
                <w:tcPr>
                  <w:tcW w:w="671" w:type="pct"/>
                  <w:tcBorders>
                    <w:tl2br w:val="nil"/>
                    <w:tr2bl w:val="nil"/>
                  </w:tcBorders>
                  <w:noWrap w:val="0"/>
                  <w:vAlign w:val="center"/>
                </w:tcPr>
                <w:p w14:paraId="73B4CAF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3</w:t>
                  </w:r>
                </w:p>
              </w:tc>
              <w:tc>
                <w:tcPr>
                  <w:tcW w:w="479" w:type="pct"/>
                  <w:tcBorders>
                    <w:tl2br w:val="nil"/>
                    <w:tr2bl w:val="nil"/>
                  </w:tcBorders>
                  <w:noWrap w:val="0"/>
                  <w:vAlign w:val="center"/>
                </w:tcPr>
                <w:p w14:paraId="2A4B8A4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1</w:t>
                  </w:r>
                </w:p>
              </w:tc>
              <w:tc>
                <w:tcPr>
                  <w:tcW w:w="479" w:type="pct"/>
                  <w:tcBorders>
                    <w:tl2br w:val="nil"/>
                    <w:tr2bl w:val="nil"/>
                  </w:tcBorders>
                  <w:noWrap w:val="0"/>
                  <w:vAlign w:val="center"/>
                </w:tcPr>
                <w:p w14:paraId="266952E8">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2</w:t>
                  </w:r>
                </w:p>
              </w:tc>
              <w:tc>
                <w:tcPr>
                  <w:tcW w:w="338" w:type="pct"/>
                  <w:tcBorders>
                    <w:tl2br w:val="nil"/>
                    <w:tr2bl w:val="nil"/>
                  </w:tcBorders>
                  <w:noWrap w:val="0"/>
                  <w:vAlign w:val="center"/>
                </w:tcPr>
                <w:p w14:paraId="23F30E0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1.0</w:t>
                  </w:r>
                </w:p>
              </w:tc>
              <w:tc>
                <w:tcPr>
                  <w:tcW w:w="551" w:type="pct"/>
                  <w:tcBorders>
                    <w:tl2br w:val="nil"/>
                    <w:tr2bl w:val="nil"/>
                  </w:tcBorders>
                  <w:noWrap w:val="0"/>
                  <w:vAlign w:val="center"/>
                </w:tcPr>
                <w:p w14:paraId="1BAFF03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80</w:t>
                  </w:r>
                </w:p>
              </w:tc>
              <w:tc>
                <w:tcPr>
                  <w:tcW w:w="506" w:type="pct"/>
                  <w:tcBorders>
                    <w:tl2br w:val="nil"/>
                    <w:tr2bl w:val="nil"/>
                  </w:tcBorders>
                  <w:noWrap w:val="0"/>
                  <w:vAlign w:val="center"/>
                </w:tcPr>
                <w:p w14:paraId="27102C0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auto"/>
                      <w:sz w:val="21"/>
                      <w:szCs w:val="21"/>
                      <w:highlight w:val="none"/>
                      <w:vertAlign w:val="baseline"/>
                    </w:rPr>
                  </w:pPr>
                  <w:r>
                    <w:rPr>
                      <w:rFonts w:hint="eastAsia"/>
                      <w:color w:val="auto"/>
                      <w:sz w:val="21"/>
                      <w:szCs w:val="21"/>
                      <w:highlight w:val="none"/>
                      <w:vertAlign w:val="baseline"/>
                      <w:lang w:val="en-US" w:eastAsia="zh-CN"/>
                    </w:rPr>
                    <w:t>点源</w:t>
                  </w:r>
                </w:p>
              </w:tc>
              <w:tc>
                <w:tcPr>
                  <w:tcW w:w="513" w:type="pct"/>
                  <w:vMerge w:val="continue"/>
                  <w:tcBorders>
                    <w:tl2br w:val="nil"/>
                    <w:tr2bl w:val="nil"/>
                  </w:tcBorders>
                  <w:noWrap w:val="0"/>
                  <w:vAlign w:val="center"/>
                </w:tcPr>
                <w:p w14:paraId="30F0714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auto"/>
                      <w:sz w:val="21"/>
                      <w:szCs w:val="21"/>
                      <w:highlight w:val="none"/>
                      <w:vertAlign w:val="baseline"/>
                    </w:rPr>
                  </w:pPr>
                </w:p>
              </w:tc>
              <w:tc>
                <w:tcPr>
                  <w:tcW w:w="562" w:type="pct"/>
                  <w:vMerge w:val="continue"/>
                  <w:tcBorders>
                    <w:tl2br w:val="nil"/>
                    <w:tr2bl w:val="nil"/>
                  </w:tcBorders>
                  <w:noWrap w:val="0"/>
                  <w:vAlign w:val="center"/>
                </w:tcPr>
                <w:p w14:paraId="53BB16D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auto"/>
                      <w:sz w:val="21"/>
                      <w:szCs w:val="21"/>
                      <w:highlight w:val="none"/>
                      <w:vertAlign w:val="baseline"/>
                    </w:rPr>
                  </w:pPr>
                </w:p>
              </w:tc>
            </w:tr>
            <w:tr w14:paraId="5CCA4D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91" w:type="pct"/>
                  <w:tcBorders>
                    <w:tl2br w:val="nil"/>
                    <w:tr2bl w:val="nil"/>
                  </w:tcBorders>
                  <w:noWrap w:val="0"/>
                  <w:vAlign w:val="center"/>
                </w:tcPr>
                <w:p w14:paraId="72523F9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4</w:t>
                  </w:r>
                </w:p>
              </w:tc>
              <w:tc>
                <w:tcPr>
                  <w:tcW w:w="605" w:type="pct"/>
                  <w:tcBorders>
                    <w:tl2br w:val="nil"/>
                    <w:tr2bl w:val="nil"/>
                  </w:tcBorders>
                  <w:noWrap w:val="0"/>
                  <w:vAlign w:val="center"/>
                </w:tcPr>
                <w:p w14:paraId="40736D8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auto"/>
                      <w:sz w:val="21"/>
                      <w:szCs w:val="21"/>
                      <w:highlight w:val="none"/>
                      <w:vertAlign w:val="baseline"/>
                      <w:lang w:val="en-US" w:eastAsia="zh-CN"/>
                    </w:rPr>
                  </w:pPr>
                  <w:r>
                    <w:rPr>
                      <w:rFonts w:hint="eastAsia" w:ascii="Times New Roman" w:hAnsi="Times New Roman" w:eastAsia="宋体" w:cs="Times New Roman"/>
                      <w:color w:val="auto"/>
                      <w:kern w:val="2"/>
                      <w:sz w:val="21"/>
                      <w:u w:val="none"/>
                      <w:lang w:val="en-US" w:eastAsia="zh-CN" w:bidi="ar-SA"/>
                    </w:rPr>
                    <w:t>洒水车</w:t>
                  </w:r>
                </w:p>
              </w:tc>
              <w:tc>
                <w:tcPr>
                  <w:tcW w:w="671" w:type="pct"/>
                  <w:tcBorders>
                    <w:tl2br w:val="nil"/>
                    <w:tr2bl w:val="nil"/>
                  </w:tcBorders>
                  <w:noWrap w:val="0"/>
                  <w:vAlign w:val="center"/>
                </w:tcPr>
                <w:p w14:paraId="51DD97A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1</w:t>
                  </w:r>
                </w:p>
              </w:tc>
              <w:tc>
                <w:tcPr>
                  <w:tcW w:w="479" w:type="pct"/>
                  <w:tcBorders>
                    <w:tl2br w:val="nil"/>
                    <w:tr2bl w:val="nil"/>
                  </w:tcBorders>
                  <w:noWrap w:val="0"/>
                  <w:vAlign w:val="center"/>
                </w:tcPr>
                <w:p w14:paraId="417E075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3</w:t>
                  </w:r>
                </w:p>
              </w:tc>
              <w:tc>
                <w:tcPr>
                  <w:tcW w:w="479" w:type="pct"/>
                  <w:tcBorders>
                    <w:tl2br w:val="nil"/>
                    <w:tr2bl w:val="nil"/>
                  </w:tcBorders>
                  <w:noWrap w:val="0"/>
                  <w:vAlign w:val="center"/>
                </w:tcPr>
                <w:p w14:paraId="19BC91B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3</w:t>
                  </w:r>
                </w:p>
              </w:tc>
              <w:tc>
                <w:tcPr>
                  <w:tcW w:w="338" w:type="pct"/>
                  <w:tcBorders>
                    <w:tl2br w:val="nil"/>
                    <w:tr2bl w:val="nil"/>
                  </w:tcBorders>
                  <w:noWrap w:val="0"/>
                  <w:vAlign w:val="center"/>
                </w:tcPr>
                <w:p w14:paraId="57D9B5DC">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olor w:val="auto"/>
                      <w:sz w:val="21"/>
                      <w:szCs w:val="21"/>
                      <w:highlight w:val="none"/>
                      <w:vertAlign w:val="baseline"/>
                      <w:lang w:val="en-US" w:eastAsia="zh-CN"/>
                    </w:rPr>
                  </w:pPr>
                  <w:r>
                    <w:rPr>
                      <w:rFonts w:hint="eastAsia"/>
                      <w:color w:val="auto"/>
                      <w:sz w:val="21"/>
                      <w:szCs w:val="21"/>
                      <w:highlight w:val="none"/>
                      <w:vertAlign w:val="baseline"/>
                      <w:lang w:val="en-US" w:eastAsia="zh-CN"/>
                    </w:rPr>
                    <w:t>1.0</w:t>
                  </w:r>
                </w:p>
              </w:tc>
              <w:tc>
                <w:tcPr>
                  <w:tcW w:w="551" w:type="pct"/>
                  <w:tcBorders>
                    <w:tl2br w:val="nil"/>
                    <w:tr2bl w:val="nil"/>
                  </w:tcBorders>
                  <w:noWrap w:val="0"/>
                  <w:vAlign w:val="center"/>
                </w:tcPr>
                <w:p w14:paraId="5AC8993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75</w:t>
                  </w:r>
                </w:p>
              </w:tc>
              <w:tc>
                <w:tcPr>
                  <w:tcW w:w="506" w:type="pct"/>
                  <w:tcBorders>
                    <w:tl2br w:val="nil"/>
                    <w:tr2bl w:val="nil"/>
                  </w:tcBorders>
                  <w:noWrap w:val="0"/>
                  <w:vAlign w:val="center"/>
                </w:tcPr>
                <w:p w14:paraId="104509E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auto"/>
                      <w:kern w:val="2"/>
                      <w:sz w:val="21"/>
                      <w:szCs w:val="21"/>
                      <w:highlight w:val="none"/>
                      <w:vertAlign w:val="baseline"/>
                      <w:lang w:val="en-US" w:eastAsia="zh-CN" w:bidi="ar-SA"/>
                    </w:rPr>
                  </w:pPr>
                  <w:r>
                    <w:rPr>
                      <w:rFonts w:hint="eastAsia"/>
                      <w:color w:val="auto"/>
                      <w:sz w:val="21"/>
                      <w:szCs w:val="21"/>
                      <w:highlight w:val="none"/>
                      <w:vertAlign w:val="baseline"/>
                      <w:lang w:val="en-US" w:eastAsia="zh-CN"/>
                    </w:rPr>
                    <w:t>点源</w:t>
                  </w:r>
                </w:p>
              </w:tc>
              <w:tc>
                <w:tcPr>
                  <w:tcW w:w="513" w:type="pct"/>
                  <w:vMerge w:val="continue"/>
                  <w:tcBorders>
                    <w:tl2br w:val="nil"/>
                    <w:tr2bl w:val="nil"/>
                  </w:tcBorders>
                  <w:noWrap w:val="0"/>
                  <w:vAlign w:val="center"/>
                </w:tcPr>
                <w:p w14:paraId="583143F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auto"/>
                      <w:sz w:val="21"/>
                      <w:szCs w:val="21"/>
                      <w:highlight w:val="none"/>
                      <w:vertAlign w:val="baseline"/>
                    </w:rPr>
                  </w:pPr>
                </w:p>
              </w:tc>
              <w:tc>
                <w:tcPr>
                  <w:tcW w:w="562" w:type="pct"/>
                  <w:vMerge w:val="continue"/>
                  <w:tcBorders>
                    <w:tl2br w:val="nil"/>
                    <w:tr2bl w:val="nil"/>
                  </w:tcBorders>
                  <w:noWrap w:val="0"/>
                  <w:vAlign w:val="center"/>
                </w:tcPr>
                <w:p w14:paraId="181E134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eastAsia"/>
                      <w:color w:val="auto"/>
                      <w:sz w:val="21"/>
                      <w:szCs w:val="21"/>
                      <w:highlight w:val="none"/>
                      <w:vertAlign w:val="baseline"/>
                    </w:rPr>
                  </w:pPr>
                </w:p>
              </w:tc>
            </w:tr>
            <w:tr w14:paraId="61E135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5000" w:type="pct"/>
                  <w:gridSpan w:val="10"/>
                  <w:tcBorders>
                    <w:tl2br w:val="nil"/>
                    <w:tr2bl w:val="nil"/>
                  </w:tcBorders>
                  <w:noWrap w:val="0"/>
                  <w:vAlign w:val="center"/>
                </w:tcPr>
                <w:p w14:paraId="26D5189F">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default" w:eastAsia="宋体"/>
                      <w:color w:val="auto"/>
                      <w:sz w:val="21"/>
                      <w:szCs w:val="21"/>
                      <w:highlight w:val="none"/>
                      <w:vertAlign w:val="baseline"/>
                      <w:lang w:val="en-US" w:eastAsia="zh-CN"/>
                    </w:rPr>
                  </w:pPr>
                  <w:r>
                    <w:rPr>
                      <w:rFonts w:hint="eastAsia"/>
                      <w:color w:val="auto"/>
                      <w:sz w:val="21"/>
                      <w:szCs w:val="21"/>
                      <w:highlight w:val="none"/>
                      <w:vertAlign w:val="baseline"/>
                      <w:lang w:val="en-US" w:eastAsia="zh-CN"/>
                    </w:rPr>
                    <w:t>备注：以调配场中心为原点，坐标东经87.24214749，北纬44.11377344</w:t>
                  </w:r>
                </w:p>
              </w:tc>
            </w:tr>
          </w:tbl>
          <w:p w14:paraId="727056A1">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color w:val="auto"/>
                <w:sz w:val="24"/>
                <w:szCs w:val="22"/>
              </w:rPr>
            </w:pPr>
            <w:r>
              <w:rPr>
                <w:rFonts w:hint="eastAsia"/>
                <w:color w:val="auto"/>
                <w:sz w:val="24"/>
                <w:szCs w:val="22"/>
              </w:rPr>
              <w:t>（2）噪声预测</w:t>
            </w:r>
          </w:p>
          <w:p w14:paraId="1315B79F">
            <w:pPr>
              <w:adjustRightInd w:val="0"/>
              <w:snapToGrid w:val="0"/>
              <w:spacing w:line="360" w:lineRule="auto"/>
              <w:ind w:firstLine="48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本次评价采用点源衰减模式，预测计算声源至受声点的几何发散衰减，计算中不考虑声屏障、空气吸收等衰减，预测</w:t>
            </w:r>
            <w:r>
              <w:rPr>
                <w:rFonts w:hint="default" w:ascii="Times New Roman" w:hAnsi="Times New Roman" w:eastAsia="宋体" w:cs="Times New Roman"/>
                <w:color w:val="auto"/>
                <w:sz w:val="24"/>
                <w:lang w:eastAsia="zh-CN"/>
              </w:rPr>
              <w:t>公式</w:t>
            </w:r>
            <w:r>
              <w:rPr>
                <w:rFonts w:hint="default" w:ascii="Times New Roman" w:hAnsi="Times New Roman" w:eastAsia="宋体" w:cs="Times New Roman"/>
                <w:color w:val="auto"/>
                <w:sz w:val="24"/>
              </w:rPr>
              <w:t>如下：</w:t>
            </w:r>
          </w:p>
          <w:p w14:paraId="3E221429">
            <w:pPr>
              <w:adjustRightInd w:val="0"/>
              <w:snapToGrid w:val="0"/>
              <w:spacing w:line="360" w:lineRule="auto"/>
              <w:ind w:firstLine="420" w:firstLineChars="200"/>
              <w:rPr>
                <w:rFonts w:hint="default" w:ascii="Times New Roman" w:hAnsi="Times New Roman" w:eastAsia="宋体" w:cs="Times New Roman"/>
                <w:color w:val="auto"/>
                <w:sz w:val="24"/>
              </w:rPr>
            </w:pPr>
            <w:r>
              <w:rPr>
                <w:rFonts w:hint="default" w:ascii="Times New Roman" w:hAnsi="Times New Roman" w:eastAsia="宋体" w:cs="Times New Roman"/>
                <w:color w:val="auto"/>
              </w:rPr>
              <w:pict>
                <v:shape id="Object 76" o:spid="_x0000_s2057" o:spt="75" type="#_x0000_t75" style="position:absolute;left:0pt;margin-left:163.3pt;margin-top:5.95pt;height:35.8pt;width:99pt;mso-wrap-distance-bottom:0pt;mso-wrap-distance-top:0pt;z-index:251659264;mso-width-relative:page;mso-height-relative:page;" o:ole="t" filled="f" o:preferrelative="t" stroked="f" coordsize="21600,21600">
                  <v:path/>
                  <v:fill on="f" focussize="0,0"/>
                  <v:stroke on="f"/>
                  <v:imagedata r:id="rId25" o:title=""/>
                  <o:lock v:ext="edit" aspectratio="t"/>
                  <w10:wrap type="topAndBottom"/>
                </v:shape>
                <o:OLEObject Type="Embed" ProgID="" ShapeID="Object 76" DrawAspect="Content" ObjectID="_1468075726" r:id="rId24">
                  <o:LockedField>false</o:LockedField>
                </o:OLEObject>
              </w:pict>
            </w:r>
            <w:r>
              <w:rPr>
                <w:rFonts w:hint="default" w:ascii="Times New Roman" w:hAnsi="Times New Roman" w:eastAsia="宋体" w:cs="Times New Roman"/>
                <w:color w:val="auto"/>
                <w:sz w:val="24"/>
              </w:rPr>
              <w:t>式中：Lr——距声源r处的A声压级，dB（A）；</w:t>
            </w:r>
          </w:p>
          <w:p w14:paraId="12BC21E8">
            <w:pPr>
              <w:adjustRightInd w:val="0"/>
              <w:snapToGrid w:val="0"/>
              <w:spacing w:line="360" w:lineRule="auto"/>
              <w:ind w:firstLine="1200" w:firstLineChars="5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Lro——距声源ro处的A声压级，dB（A）；</w:t>
            </w:r>
          </w:p>
          <w:p w14:paraId="6A19738D">
            <w:pPr>
              <w:adjustRightInd w:val="0"/>
              <w:snapToGrid w:val="0"/>
              <w:spacing w:line="360" w:lineRule="auto"/>
              <w:ind w:firstLine="960" w:firstLineChars="4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r——预测点与声源的距离，m；</w:t>
            </w:r>
          </w:p>
          <w:p w14:paraId="12E17F3F">
            <w:pPr>
              <w:adjustRightInd w:val="0"/>
              <w:snapToGrid w:val="0"/>
              <w:spacing w:line="360" w:lineRule="auto"/>
              <w:ind w:firstLine="960" w:firstLineChars="400"/>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ro——监测设备噪声时的距离，m。</w:t>
            </w:r>
          </w:p>
          <w:p w14:paraId="25F358FF">
            <w:pPr>
              <w:adjustRightInd w:val="0"/>
              <w:snapToGrid w:val="0"/>
              <w:spacing w:line="360" w:lineRule="auto"/>
              <w:ind w:firstLine="480" w:firstLineChars="200"/>
              <w:rPr>
                <w:rFonts w:hint="default" w:ascii="Times New Roman" w:hAnsi="Times New Roman" w:eastAsia="宋体" w:cs="Times New Roman"/>
                <w:b/>
                <w:bCs/>
                <w:color w:val="auto"/>
                <w:kern w:val="0"/>
                <w:szCs w:val="21"/>
              </w:rPr>
            </w:pPr>
            <w:r>
              <w:rPr>
                <w:rFonts w:hint="default" w:ascii="Times New Roman" w:hAnsi="Times New Roman" w:eastAsia="宋体" w:cs="Times New Roman"/>
                <w:color w:val="auto"/>
                <w:sz w:val="24"/>
              </w:rPr>
              <w:t>利用上述公式，预测主要</w:t>
            </w:r>
            <w:r>
              <w:rPr>
                <w:rFonts w:hint="default" w:ascii="Times New Roman" w:hAnsi="Times New Roman" w:eastAsia="宋体" w:cs="Times New Roman"/>
                <w:color w:val="auto"/>
                <w:sz w:val="24"/>
                <w:lang w:val="en-US" w:eastAsia="zh-CN"/>
              </w:rPr>
              <w:t>作业</w:t>
            </w:r>
            <w:r>
              <w:rPr>
                <w:rFonts w:hint="default" w:ascii="Times New Roman" w:hAnsi="Times New Roman" w:eastAsia="宋体" w:cs="Times New Roman"/>
                <w:color w:val="auto"/>
                <w:sz w:val="24"/>
              </w:rPr>
              <w:t>机械在不同距离处的衰减值，预测结果见表</w:t>
            </w:r>
            <w:r>
              <w:rPr>
                <w:rFonts w:hint="eastAsia" w:ascii="Times New Roman" w:hAnsi="Times New Roman" w:eastAsia="宋体" w:cs="Times New Roman"/>
                <w:color w:val="auto"/>
                <w:sz w:val="24"/>
                <w:lang w:val="en-US" w:eastAsia="zh-CN"/>
              </w:rPr>
              <w:t>4-7</w:t>
            </w:r>
            <w:r>
              <w:rPr>
                <w:rFonts w:hint="default" w:ascii="Times New Roman" w:hAnsi="Times New Roman" w:eastAsia="宋体" w:cs="Times New Roman"/>
                <w:color w:val="auto"/>
                <w:sz w:val="24"/>
              </w:rPr>
              <w:t>。</w:t>
            </w:r>
          </w:p>
          <w:p w14:paraId="1D180205">
            <w:pPr>
              <w:pageBreakBefore w:val="0"/>
              <w:kinsoku/>
              <w:wordWrap/>
              <w:bidi w:val="0"/>
              <w:adjustRightInd w:val="0"/>
              <w:snapToGrid w:val="0"/>
              <w:spacing w:line="360" w:lineRule="auto"/>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噪声贡献值（Leqg）计算公式为：</w:t>
            </w:r>
          </w:p>
          <w:p w14:paraId="3713CC38">
            <w:pPr>
              <w:adjustRightInd w:val="0"/>
              <w:snapToGrid w:val="0"/>
              <w:spacing w:line="360" w:lineRule="auto"/>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position w:val="-30"/>
              </w:rPr>
              <w:object>
                <v:shape id="_x0000_i1026" o:spt="75" type="#_x0000_t75" style="height:44.8pt;width:139.95pt;" o:ole="t" filled="f" o:preferrelative="t" stroked="f" coordsize="21600,21600">
                  <v:path/>
                  <v:fill on="f" focussize="0,0"/>
                  <v:stroke on="f"/>
                  <v:imagedata r:id="rId27" o:title=""/>
                  <o:lock v:ext="edit" aspectratio="t"/>
                  <w10:wrap type="none"/>
                  <w10:anchorlock/>
                </v:shape>
                <o:OLEObject Type="Embed" ProgID="Equation.3" ShapeID="_x0000_i1026" DrawAspect="Content" ObjectID="_1468075727" r:id="rId26">
                  <o:LockedField>false</o:LockedField>
                </o:OLEObject>
              </w:object>
            </w:r>
          </w:p>
          <w:p w14:paraId="5B303AE5">
            <w:pPr>
              <w:pageBreakBefore w:val="0"/>
              <w:kinsoku/>
              <w:wordWrap/>
              <w:bidi w:val="0"/>
              <w:adjustRightInd w:val="0"/>
              <w:snapToGrid w:val="0"/>
              <w:spacing w:line="360" w:lineRule="auto"/>
              <w:ind w:firstLine="480" w:firstLineChars="2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式中：L</w:t>
            </w:r>
            <w:r>
              <w:rPr>
                <w:rFonts w:hint="default" w:ascii="Times New Roman" w:hAnsi="Times New Roman" w:eastAsia="宋体" w:cs="Times New Roman"/>
                <w:color w:val="auto"/>
                <w:sz w:val="24"/>
                <w:szCs w:val="24"/>
                <w:vertAlign w:val="subscript"/>
                <w:lang w:val="en-US" w:eastAsia="zh-CN"/>
              </w:rPr>
              <w:t>eqg</w:t>
            </w:r>
            <w:r>
              <w:rPr>
                <w:rFonts w:hint="default" w:ascii="Times New Roman" w:hAnsi="Times New Roman" w:eastAsia="宋体" w:cs="Times New Roman"/>
                <w:color w:val="auto"/>
                <w:sz w:val="24"/>
                <w:szCs w:val="24"/>
                <w:lang w:val="en-US" w:eastAsia="zh-CN"/>
              </w:rPr>
              <w:t>——噪声贡献值，dB；</w:t>
            </w:r>
          </w:p>
          <w:p w14:paraId="2E707421">
            <w:pPr>
              <w:pageBreakBefore w:val="0"/>
              <w:kinsoku/>
              <w:wordWrap/>
              <w:bidi w:val="0"/>
              <w:adjustRightInd w:val="0"/>
              <w:snapToGrid w:val="0"/>
              <w:spacing w:line="360" w:lineRule="auto"/>
              <w:ind w:firstLine="1200" w:firstLineChars="5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T——预测计算的时间段，s；</w:t>
            </w:r>
          </w:p>
          <w:p w14:paraId="612F0639">
            <w:pPr>
              <w:pageBreakBefore w:val="0"/>
              <w:kinsoku/>
              <w:wordWrap/>
              <w:bidi w:val="0"/>
              <w:adjustRightInd w:val="0"/>
              <w:snapToGrid w:val="0"/>
              <w:spacing w:line="360" w:lineRule="auto"/>
              <w:ind w:firstLine="1200" w:firstLineChars="5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t</w:t>
            </w:r>
            <w:r>
              <w:rPr>
                <w:rFonts w:hint="default" w:ascii="Times New Roman" w:hAnsi="Times New Roman" w:eastAsia="宋体" w:cs="Times New Roman"/>
                <w:color w:val="auto"/>
                <w:sz w:val="24"/>
                <w:szCs w:val="24"/>
                <w:vertAlign w:val="subscript"/>
                <w:lang w:val="en-US" w:eastAsia="zh-CN"/>
              </w:rPr>
              <w:t>i</w:t>
            </w:r>
            <w:r>
              <w:rPr>
                <w:rFonts w:hint="default" w:ascii="Times New Roman" w:hAnsi="Times New Roman" w:eastAsia="宋体" w:cs="Times New Roman"/>
                <w:color w:val="auto"/>
                <w:sz w:val="24"/>
                <w:szCs w:val="24"/>
                <w:lang w:val="en-US" w:eastAsia="zh-CN"/>
              </w:rPr>
              <w:t>——i声源在T时段内的运行时间，s；</w:t>
            </w:r>
          </w:p>
          <w:p w14:paraId="2D7DE196">
            <w:pPr>
              <w:pageBreakBefore w:val="0"/>
              <w:kinsoku/>
              <w:wordWrap/>
              <w:bidi w:val="0"/>
              <w:adjustRightInd w:val="0"/>
              <w:snapToGrid w:val="0"/>
              <w:spacing w:line="360" w:lineRule="auto"/>
              <w:ind w:firstLine="1200" w:firstLineChars="500"/>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L</w:t>
            </w:r>
            <w:r>
              <w:rPr>
                <w:rFonts w:hint="default" w:ascii="Times New Roman" w:hAnsi="Times New Roman" w:eastAsia="宋体" w:cs="Times New Roman"/>
                <w:color w:val="auto"/>
                <w:sz w:val="24"/>
                <w:szCs w:val="24"/>
                <w:vertAlign w:val="subscript"/>
                <w:lang w:val="en-US" w:eastAsia="zh-CN"/>
              </w:rPr>
              <w:t>Ai</w:t>
            </w:r>
            <w:r>
              <w:rPr>
                <w:rFonts w:hint="default" w:ascii="Times New Roman" w:hAnsi="Times New Roman" w:eastAsia="宋体" w:cs="Times New Roman"/>
                <w:color w:val="auto"/>
                <w:sz w:val="24"/>
                <w:szCs w:val="24"/>
                <w:lang w:val="en-US" w:eastAsia="zh-CN"/>
              </w:rPr>
              <w:t>——i声源在预测点产生的等效连续A声级，dB。</w:t>
            </w:r>
          </w:p>
          <w:p w14:paraId="509135B4">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default"/>
                <w:color w:val="auto"/>
                <w:sz w:val="24"/>
                <w:szCs w:val="22"/>
                <w:lang w:val="en-US" w:eastAsia="zh-CN"/>
              </w:rPr>
            </w:pPr>
            <w:r>
              <w:rPr>
                <w:rFonts w:hint="eastAsia"/>
                <w:color w:val="auto"/>
                <w:sz w:val="24"/>
                <w:szCs w:val="22"/>
                <w:lang w:val="en-US" w:eastAsia="zh-CN"/>
              </w:rPr>
              <w:t>（3）预测及评价结果</w:t>
            </w:r>
          </w:p>
          <w:p w14:paraId="1A3D24D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本项目运营期的噪声主要来源于调配场作业机械设备和运输车辆，新建项目以机械设备和运输车辆的贡献值作为预测值进行判定，场界噪声预测结果见</w:t>
            </w:r>
            <w:r>
              <w:rPr>
                <w:rFonts w:hint="eastAsia"/>
                <w:color w:val="auto"/>
                <w:sz w:val="24"/>
                <w:highlight w:val="none"/>
              </w:rPr>
              <w:t>表4-</w:t>
            </w:r>
            <w:r>
              <w:rPr>
                <w:rFonts w:hint="eastAsia"/>
                <w:color w:val="auto"/>
                <w:sz w:val="24"/>
                <w:highlight w:val="none"/>
                <w:lang w:val="en-US" w:eastAsia="zh-CN"/>
              </w:rPr>
              <w:t>4</w:t>
            </w:r>
            <w:r>
              <w:rPr>
                <w:color w:val="auto"/>
                <w:sz w:val="24"/>
                <w:highlight w:val="none"/>
              </w:rPr>
              <w:t>。</w:t>
            </w:r>
          </w:p>
          <w:p w14:paraId="111456B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宋体" w:hAnsi="宋体" w:eastAsia="宋体" w:cs="宋体"/>
                <w:color w:val="auto"/>
                <w:kern w:val="0"/>
                <w:sz w:val="24"/>
                <w:szCs w:val="24"/>
                <w:highlight w:val="none"/>
                <w:lang w:val="en-US" w:eastAsia="zh-CN" w:bidi="ar"/>
              </w:rPr>
            </w:pPr>
            <w:r>
              <w:rPr>
                <w:b/>
                <w:color w:val="auto"/>
                <w:sz w:val="21"/>
                <w:szCs w:val="21"/>
                <w:highlight w:val="none"/>
              </w:rPr>
              <w:t>表</w:t>
            </w:r>
            <w:r>
              <w:rPr>
                <w:rFonts w:hint="eastAsia"/>
                <w:b/>
                <w:color w:val="auto"/>
                <w:sz w:val="21"/>
                <w:szCs w:val="21"/>
                <w:highlight w:val="none"/>
              </w:rPr>
              <w:t>4-</w:t>
            </w:r>
            <w:r>
              <w:rPr>
                <w:rFonts w:hint="eastAsia"/>
                <w:b/>
                <w:color w:val="auto"/>
                <w:sz w:val="21"/>
                <w:szCs w:val="21"/>
                <w:highlight w:val="none"/>
                <w:lang w:val="en-US" w:eastAsia="zh-CN"/>
              </w:rPr>
              <w:t>4</w:t>
            </w:r>
            <w:r>
              <w:rPr>
                <w:b/>
                <w:color w:val="auto"/>
                <w:sz w:val="21"/>
                <w:szCs w:val="21"/>
                <w:highlight w:val="none"/>
              </w:rPr>
              <w:t xml:space="preserve">   </w:t>
            </w:r>
            <w:r>
              <w:rPr>
                <w:rFonts w:hint="eastAsia"/>
                <w:b/>
                <w:color w:val="auto"/>
                <w:sz w:val="21"/>
                <w:szCs w:val="21"/>
                <w:highlight w:val="none"/>
                <w:lang w:val="en-US" w:eastAsia="zh-CN"/>
              </w:rPr>
              <w:t>场</w:t>
            </w:r>
            <w:r>
              <w:rPr>
                <w:b/>
                <w:color w:val="auto"/>
                <w:sz w:val="21"/>
                <w:szCs w:val="21"/>
                <w:highlight w:val="none"/>
              </w:rPr>
              <w:t>界噪声预测值   dB（A）</w:t>
            </w:r>
          </w:p>
          <w:tbl>
            <w:tblPr>
              <w:tblStyle w:val="28"/>
              <w:tblW w:w="0" w:type="auto"/>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648"/>
              <w:gridCol w:w="2649"/>
              <w:gridCol w:w="2649"/>
            </w:tblGrid>
            <w:tr w14:paraId="00F4A9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648" w:type="dxa"/>
                  <w:vMerge w:val="restart"/>
                  <w:noWrap w:val="0"/>
                  <w:vAlign w:val="center"/>
                </w:tcPr>
                <w:p w14:paraId="53F105A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预测点</w:t>
                  </w:r>
                </w:p>
              </w:tc>
              <w:tc>
                <w:tcPr>
                  <w:tcW w:w="2649" w:type="dxa"/>
                  <w:vMerge w:val="restart"/>
                  <w:noWrap w:val="0"/>
                  <w:vAlign w:val="center"/>
                </w:tcPr>
                <w:p w14:paraId="4D6F103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距离场界距离（m）</w:t>
                  </w:r>
                </w:p>
              </w:tc>
              <w:tc>
                <w:tcPr>
                  <w:tcW w:w="2649" w:type="dxa"/>
                  <w:noWrap w:val="0"/>
                  <w:vAlign w:val="center"/>
                </w:tcPr>
                <w:p w14:paraId="30435A1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昼间</w:t>
                  </w:r>
                </w:p>
              </w:tc>
            </w:tr>
            <w:tr w14:paraId="48A103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648" w:type="dxa"/>
                  <w:vMerge w:val="continue"/>
                  <w:tcBorders>
                    <w:bottom w:val="single" w:color="auto" w:sz="12" w:space="0"/>
                  </w:tcBorders>
                  <w:noWrap w:val="0"/>
                  <w:vAlign w:val="center"/>
                </w:tcPr>
                <w:p w14:paraId="2A1251C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p>
              </w:tc>
              <w:tc>
                <w:tcPr>
                  <w:tcW w:w="2649" w:type="dxa"/>
                  <w:vMerge w:val="continue"/>
                  <w:tcBorders>
                    <w:bottom w:val="single" w:color="auto" w:sz="12" w:space="0"/>
                  </w:tcBorders>
                  <w:noWrap w:val="0"/>
                  <w:vAlign w:val="center"/>
                </w:tcPr>
                <w:p w14:paraId="67FB65E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p>
              </w:tc>
              <w:tc>
                <w:tcPr>
                  <w:tcW w:w="2649" w:type="dxa"/>
                  <w:tcBorders>
                    <w:bottom w:val="single" w:color="auto" w:sz="12" w:space="0"/>
                  </w:tcBorders>
                  <w:noWrap w:val="0"/>
                  <w:vAlign w:val="center"/>
                </w:tcPr>
                <w:p w14:paraId="50B99DEA">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贡献值</w:t>
                  </w:r>
                </w:p>
              </w:tc>
            </w:tr>
            <w:tr w14:paraId="6083D3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648" w:type="dxa"/>
                  <w:tcBorders>
                    <w:top w:val="single" w:color="auto" w:sz="12" w:space="0"/>
                    <w:tl2br w:val="nil"/>
                    <w:tr2bl w:val="nil"/>
                  </w:tcBorders>
                  <w:noWrap w:val="0"/>
                  <w:vAlign w:val="center"/>
                </w:tcPr>
                <w:p w14:paraId="476F7BF9">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东场界</w:t>
                  </w:r>
                </w:p>
              </w:tc>
              <w:tc>
                <w:tcPr>
                  <w:tcW w:w="2649" w:type="dxa"/>
                  <w:tcBorders>
                    <w:top w:val="single" w:color="auto" w:sz="12" w:space="0"/>
                    <w:tl2br w:val="nil"/>
                    <w:tr2bl w:val="nil"/>
                  </w:tcBorders>
                  <w:noWrap w:val="0"/>
                  <w:vAlign w:val="center"/>
                </w:tcPr>
                <w:p w14:paraId="4FFC6A7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60</w:t>
                  </w:r>
                </w:p>
              </w:tc>
              <w:tc>
                <w:tcPr>
                  <w:tcW w:w="2649" w:type="dxa"/>
                  <w:tcBorders>
                    <w:top w:val="single" w:color="auto" w:sz="12" w:space="0"/>
                    <w:tl2br w:val="nil"/>
                    <w:tr2bl w:val="nil"/>
                  </w:tcBorders>
                  <w:noWrap w:val="0"/>
                  <w:vAlign w:val="center"/>
                </w:tcPr>
                <w:p w14:paraId="581E932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59</w:t>
                  </w:r>
                </w:p>
              </w:tc>
            </w:tr>
            <w:tr w14:paraId="46CEFF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648" w:type="dxa"/>
                  <w:tcBorders>
                    <w:tl2br w:val="nil"/>
                    <w:tr2bl w:val="nil"/>
                  </w:tcBorders>
                  <w:noWrap w:val="0"/>
                  <w:vAlign w:val="center"/>
                </w:tcPr>
                <w:p w14:paraId="5F62A64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南场界</w:t>
                  </w:r>
                </w:p>
              </w:tc>
              <w:tc>
                <w:tcPr>
                  <w:tcW w:w="2649" w:type="dxa"/>
                  <w:tcBorders>
                    <w:tl2br w:val="nil"/>
                    <w:tr2bl w:val="nil"/>
                  </w:tcBorders>
                  <w:noWrap w:val="0"/>
                  <w:vAlign w:val="center"/>
                </w:tcPr>
                <w:p w14:paraId="5C155F2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65</w:t>
                  </w:r>
                </w:p>
              </w:tc>
              <w:tc>
                <w:tcPr>
                  <w:tcW w:w="2649" w:type="dxa"/>
                  <w:tcBorders>
                    <w:tl2br w:val="nil"/>
                    <w:tr2bl w:val="nil"/>
                  </w:tcBorders>
                  <w:noWrap w:val="0"/>
                  <w:vAlign w:val="center"/>
                </w:tcPr>
                <w:p w14:paraId="3AE69D6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58</w:t>
                  </w:r>
                </w:p>
              </w:tc>
            </w:tr>
            <w:tr w14:paraId="451E34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648" w:type="dxa"/>
                  <w:tcBorders>
                    <w:tl2br w:val="nil"/>
                    <w:tr2bl w:val="nil"/>
                  </w:tcBorders>
                  <w:noWrap w:val="0"/>
                  <w:vAlign w:val="center"/>
                </w:tcPr>
                <w:p w14:paraId="211C582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西场界</w:t>
                  </w:r>
                </w:p>
              </w:tc>
              <w:tc>
                <w:tcPr>
                  <w:tcW w:w="2649" w:type="dxa"/>
                  <w:tcBorders>
                    <w:tl2br w:val="nil"/>
                    <w:tr2bl w:val="nil"/>
                  </w:tcBorders>
                  <w:noWrap w:val="0"/>
                  <w:vAlign w:val="center"/>
                </w:tcPr>
                <w:p w14:paraId="241AA0D1">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60</w:t>
                  </w:r>
                </w:p>
              </w:tc>
              <w:tc>
                <w:tcPr>
                  <w:tcW w:w="2649" w:type="dxa"/>
                  <w:tcBorders>
                    <w:tl2br w:val="nil"/>
                    <w:tr2bl w:val="nil"/>
                  </w:tcBorders>
                  <w:noWrap w:val="0"/>
                  <w:vAlign w:val="center"/>
                </w:tcPr>
                <w:p w14:paraId="236A07D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59</w:t>
                  </w:r>
                </w:p>
              </w:tc>
            </w:tr>
            <w:tr w14:paraId="34E627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2648" w:type="dxa"/>
                  <w:tcBorders>
                    <w:tl2br w:val="nil"/>
                    <w:tr2bl w:val="nil"/>
                  </w:tcBorders>
                  <w:noWrap w:val="0"/>
                  <w:vAlign w:val="center"/>
                </w:tcPr>
                <w:p w14:paraId="7660BF1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北场界</w:t>
                  </w:r>
                </w:p>
              </w:tc>
              <w:tc>
                <w:tcPr>
                  <w:tcW w:w="2649" w:type="dxa"/>
                  <w:tcBorders>
                    <w:tl2br w:val="nil"/>
                    <w:tr2bl w:val="nil"/>
                  </w:tcBorders>
                  <w:noWrap w:val="0"/>
                  <w:vAlign w:val="center"/>
                </w:tcPr>
                <w:p w14:paraId="2FDD122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65</w:t>
                  </w:r>
                </w:p>
              </w:tc>
              <w:tc>
                <w:tcPr>
                  <w:tcW w:w="2649" w:type="dxa"/>
                  <w:tcBorders>
                    <w:tl2br w:val="nil"/>
                    <w:tr2bl w:val="nil"/>
                  </w:tcBorders>
                  <w:noWrap w:val="0"/>
                  <w:vAlign w:val="center"/>
                </w:tcPr>
                <w:p w14:paraId="601BF114">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58</w:t>
                  </w:r>
                </w:p>
              </w:tc>
            </w:tr>
          </w:tbl>
          <w:p w14:paraId="3DF6C06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根据表4-</w:t>
            </w:r>
            <w:r>
              <w:rPr>
                <w:rFonts w:hint="eastAsia" w:ascii="Times New Roman" w:hAnsi="Times New Roman" w:eastAsia="宋体" w:cs="Times New Roman"/>
                <w:color w:val="auto"/>
                <w:kern w:val="0"/>
                <w:sz w:val="24"/>
                <w:szCs w:val="24"/>
                <w:highlight w:val="none"/>
                <w:lang w:val="en-US" w:eastAsia="zh-CN" w:bidi="ar"/>
              </w:rPr>
              <w:t>5</w:t>
            </w:r>
            <w:r>
              <w:rPr>
                <w:rFonts w:hint="default" w:ascii="Times New Roman" w:hAnsi="Times New Roman" w:eastAsia="宋体" w:cs="Times New Roman"/>
                <w:color w:val="auto"/>
                <w:kern w:val="0"/>
                <w:sz w:val="24"/>
                <w:szCs w:val="24"/>
                <w:highlight w:val="none"/>
                <w:lang w:val="en-US" w:eastAsia="zh-CN" w:bidi="ar"/>
              </w:rPr>
              <w:t>可知：本项目投入使用后，经预测各点位噪声值昼间噪声排放均符合《工业企业厂界环境噪声排放标准》（GB12348-2008）2类区</w:t>
            </w:r>
            <w:r>
              <w:rPr>
                <w:rFonts w:hint="eastAsia" w:ascii="Times New Roman" w:hAnsi="Times New Roman" w:eastAsia="宋体" w:cs="Times New Roman"/>
                <w:color w:val="auto"/>
                <w:kern w:val="0"/>
                <w:sz w:val="24"/>
                <w:szCs w:val="24"/>
                <w:highlight w:val="none"/>
                <w:lang w:val="en-US" w:eastAsia="zh-CN" w:bidi="ar"/>
              </w:rPr>
              <w:t>昼间60dB的</w:t>
            </w:r>
            <w:r>
              <w:rPr>
                <w:rFonts w:hint="default" w:ascii="Times New Roman" w:hAnsi="Times New Roman" w:eastAsia="宋体" w:cs="Times New Roman"/>
                <w:color w:val="auto"/>
                <w:kern w:val="0"/>
                <w:sz w:val="24"/>
                <w:szCs w:val="24"/>
                <w:highlight w:val="none"/>
                <w:lang w:val="en-US" w:eastAsia="zh-CN" w:bidi="ar"/>
              </w:rPr>
              <w:t>要求，另外由于夜间不</w:t>
            </w:r>
            <w:r>
              <w:rPr>
                <w:rFonts w:hint="eastAsia" w:ascii="Times New Roman" w:hAnsi="Times New Roman" w:eastAsia="宋体" w:cs="Times New Roman"/>
                <w:color w:val="auto"/>
                <w:kern w:val="0"/>
                <w:sz w:val="24"/>
                <w:szCs w:val="24"/>
                <w:highlight w:val="none"/>
                <w:lang w:val="en-US" w:eastAsia="zh-CN" w:bidi="ar"/>
              </w:rPr>
              <w:t>生产</w:t>
            </w:r>
            <w:r>
              <w:rPr>
                <w:rFonts w:hint="default" w:ascii="Times New Roman" w:hAnsi="Times New Roman" w:eastAsia="宋体" w:cs="Times New Roman"/>
                <w:color w:val="auto"/>
                <w:kern w:val="0"/>
                <w:sz w:val="24"/>
                <w:szCs w:val="24"/>
                <w:highlight w:val="none"/>
                <w:lang w:val="en-US" w:eastAsia="zh-CN" w:bidi="ar"/>
              </w:rPr>
              <w:t>，夜间噪声值也满足标准要求。</w:t>
            </w:r>
          </w:p>
          <w:p w14:paraId="204A368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本项目声环境影响评价范围200m内没有声环境保护目标，机械设备噪声对场址周围声环境影响微弱，本项目运营期设备噪声主要对场区工作人员影响较大，因此，要求加强对工作人员的个人防护，</w:t>
            </w:r>
            <w:r>
              <w:rPr>
                <w:rFonts w:hint="eastAsia" w:ascii="Times New Roman" w:hAnsi="Times New Roman" w:eastAsia="宋体" w:cs="Times New Roman"/>
                <w:color w:val="auto"/>
                <w:kern w:val="0"/>
                <w:sz w:val="24"/>
                <w:szCs w:val="24"/>
                <w:highlight w:val="none"/>
                <w:lang w:val="en-US" w:eastAsia="zh-CN" w:bidi="ar"/>
              </w:rPr>
              <w:t>佩带</w:t>
            </w:r>
            <w:r>
              <w:rPr>
                <w:rFonts w:hint="default" w:ascii="Times New Roman" w:hAnsi="Times New Roman" w:eastAsia="宋体" w:cs="Times New Roman"/>
                <w:color w:val="auto"/>
                <w:kern w:val="0"/>
                <w:sz w:val="24"/>
                <w:szCs w:val="24"/>
                <w:highlight w:val="none"/>
                <w:lang w:val="en-US" w:eastAsia="zh-CN" w:bidi="ar"/>
              </w:rPr>
              <w:t>耳塞、耳罩，以减轻噪声影响</w:t>
            </w:r>
            <w:r>
              <w:rPr>
                <w:rFonts w:hint="eastAsia" w:ascii="宋体" w:hAnsi="宋体" w:eastAsia="宋体" w:cs="宋体"/>
                <w:color w:val="auto"/>
                <w:kern w:val="0"/>
                <w:sz w:val="24"/>
                <w:szCs w:val="24"/>
                <w:highlight w:val="none"/>
                <w:lang w:val="en-US" w:eastAsia="zh-CN" w:bidi="ar"/>
              </w:rPr>
              <w:t>。</w:t>
            </w:r>
          </w:p>
          <w:p w14:paraId="0BF1441F">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bCs/>
                <w:color w:val="auto"/>
                <w:spacing w:val="0"/>
                <w:sz w:val="24"/>
                <w:szCs w:val="24"/>
                <w:lang w:val="en-US" w:eastAsia="zh-CN"/>
              </w:rPr>
            </w:pPr>
            <w:r>
              <w:rPr>
                <w:rFonts w:hint="eastAsia" w:ascii="Times New Roman" w:hAnsi="Times New Roman" w:cs="Times New Roman"/>
                <w:b/>
                <w:bCs w:val="0"/>
                <w:color w:val="auto"/>
                <w:spacing w:val="0"/>
                <w:sz w:val="24"/>
                <w:szCs w:val="24"/>
                <w:lang w:val="en-US" w:eastAsia="zh-CN"/>
              </w:rPr>
              <w:t>3.2 噪声防治措施可行性分析</w:t>
            </w:r>
          </w:p>
          <w:p w14:paraId="4EBCEA8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pacing w:val="0"/>
                <w:sz w:val="24"/>
                <w:szCs w:val="24"/>
                <w:lang w:val="en-US" w:eastAsia="zh-CN"/>
              </w:rPr>
            </w:pPr>
            <w:r>
              <w:rPr>
                <w:rFonts w:hint="default" w:ascii="Times New Roman" w:hAnsi="Times New Roman" w:cs="Times New Roman"/>
                <w:bCs/>
                <w:color w:val="auto"/>
                <w:spacing w:val="0"/>
                <w:sz w:val="24"/>
                <w:szCs w:val="24"/>
                <w:lang w:val="en-US" w:eastAsia="zh-CN"/>
              </w:rPr>
              <w:t>本项目</w:t>
            </w:r>
            <w:r>
              <w:rPr>
                <w:rFonts w:hint="eastAsia" w:ascii="Times New Roman" w:hAnsi="Times New Roman" w:cs="Times New Roman"/>
                <w:bCs/>
                <w:color w:val="auto"/>
                <w:spacing w:val="0"/>
                <w:sz w:val="24"/>
                <w:szCs w:val="24"/>
                <w:lang w:val="en-US" w:eastAsia="zh-CN"/>
              </w:rPr>
              <w:t>建筑垃圾调配场</w:t>
            </w:r>
            <w:r>
              <w:rPr>
                <w:rFonts w:hint="default" w:ascii="Times New Roman" w:hAnsi="Times New Roman" w:cs="Times New Roman"/>
                <w:bCs/>
                <w:color w:val="auto"/>
                <w:spacing w:val="0"/>
                <w:sz w:val="24"/>
                <w:szCs w:val="24"/>
                <w:lang w:val="en-US" w:eastAsia="zh-CN"/>
              </w:rPr>
              <w:t>的主要噪声源为</w:t>
            </w:r>
            <w:r>
              <w:rPr>
                <w:rFonts w:hint="eastAsia" w:ascii="Times New Roman" w:hAnsi="Times New Roman" w:cs="Times New Roman"/>
                <w:bCs/>
                <w:color w:val="auto"/>
                <w:spacing w:val="0"/>
                <w:sz w:val="24"/>
                <w:szCs w:val="24"/>
                <w:lang w:val="en-US" w:eastAsia="zh-CN"/>
              </w:rPr>
              <w:t>运输车辆噪声及装载机</w:t>
            </w:r>
            <w:r>
              <w:rPr>
                <w:rFonts w:hint="default" w:ascii="Times New Roman" w:hAnsi="Times New Roman" w:cs="Times New Roman"/>
                <w:bCs/>
                <w:color w:val="auto"/>
                <w:spacing w:val="0"/>
                <w:sz w:val="24"/>
                <w:szCs w:val="24"/>
                <w:lang w:val="en-US" w:eastAsia="zh-CN"/>
              </w:rPr>
              <w:t>、</w:t>
            </w:r>
            <w:r>
              <w:rPr>
                <w:rFonts w:hint="eastAsia" w:ascii="Times New Roman" w:hAnsi="Times New Roman" w:cs="Times New Roman"/>
                <w:bCs/>
                <w:color w:val="auto"/>
                <w:spacing w:val="0"/>
                <w:sz w:val="24"/>
                <w:szCs w:val="24"/>
                <w:lang w:val="en-US" w:eastAsia="zh-CN"/>
              </w:rPr>
              <w:t>挖掘机</w:t>
            </w:r>
            <w:r>
              <w:rPr>
                <w:rFonts w:hint="default" w:ascii="Times New Roman" w:hAnsi="Times New Roman" w:cs="Times New Roman"/>
                <w:bCs/>
                <w:color w:val="auto"/>
                <w:spacing w:val="0"/>
                <w:sz w:val="24"/>
                <w:szCs w:val="24"/>
                <w:lang w:val="en-US" w:eastAsia="zh-CN"/>
              </w:rPr>
              <w:t>等</w:t>
            </w:r>
            <w:r>
              <w:rPr>
                <w:rFonts w:hint="eastAsia" w:ascii="Times New Roman" w:hAnsi="Times New Roman" w:cs="Times New Roman"/>
                <w:bCs/>
                <w:color w:val="auto"/>
                <w:spacing w:val="0"/>
                <w:sz w:val="24"/>
                <w:szCs w:val="24"/>
                <w:lang w:val="en-US" w:eastAsia="zh-CN"/>
              </w:rPr>
              <w:t>调配场</w:t>
            </w:r>
            <w:r>
              <w:rPr>
                <w:rFonts w:hint="default" w:ascii="Times New Roman" w:hAnsi="Times New Roman" w:cs="Times New Roman"/>
                <w:bCs/>
                <w:color w:val="auto"/>
                <w:spacing w:val="0"/>
                <w:sz w:val="24"/>
                <w:szCs w:val="24"/>
                <w:lang w:val="en-US" w:eastAsia="zh-CN"/>
              </w:rPr>
              <w:t>作业机械流动噪声。</w:t>
            </w:r>
          </w:p>
          <w:p w14:paraId="0F26A29C">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pacing w:val="0"/>
                <w:sz w:val="24"/>
                <w:szCs w:val="24"/>
                <w:lang w:val="en-US" w:eastAsia="zh-CN"/>
              </w:rPr>
            </w:pPr>
            <w:r>
              <w:rPr>
                <w:rFonts w:hint="default" w:ascii="Times New Roman" w:hAnsi="Times New Roman" w:cs="Times New Roman"/>
                <w:bCs/>
                <w:color w:val="auto"/>
                <w:spacing w:val="0"/>
                <w:sz w:val="24"/>
                <w:szCs w:val="24"/>
                <w:lang w:val="en-US" w:eastAsia="zh-CN"/>
              </w:rPr>
              <w:t>通过采用先进的低噪声机械，并通过加强管理、及时维护保养，使作业机械保持良好的工况等从源头控制。且同时采用如下措施：</w:t>
            </w:r>
          </w:p>
          <w:p w14:paraId="4FC482F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pacing w:val="0"/>
                <w:sz w:val="24"/>
                <w:szCs w:val="24"/>
                <w:lang w:val="en-US" w:eastAsia="zh-CN"/>
              </w:rPr>
            </w:pPr>
            <w:r>
              <w:rPr>
                <w:rFonts w:hint="eastAsia" w:ascii="Times New Roman" w:hAnsi="Times New Roman" w:cs="Times New Roman"/>
                <w:bCs/>
                <w:color w:val="auto"/>
                <w:spacing w:val="0"/>
                <w:sz w:val="24"/>
                <w:szCs w:val="24"/>
                <w:lang w:val="en-US" w:eastAsia="zh-CN"/>
              </w:rPr>
              <w:t>①</w:t>
            </w:r>
            <w:r>
              <w:rPr>
                <w:rFonts w:hint="default" w:ascii="Times New Roman" w:hAnsi="Times New Roman" w:cs="Times New Roman"/>
                <w:bCs/>
                <w:color w:val="auto"/>
                <w:spacing w:val="0"/>
                <w:sz w:val="24"/>
                <w:szCs w:val="24"/>
                <w:lang w:val="en-US" w:eastAsia="zh-CN"/>
              </w:rPr>
              <w:t>坚持源头把关的原则，对各种</w:t>
            </w:r>
            <w:r>
              <w:rPr>
                <w:rFonts w:hint="eastAsia" w:ascii="Times New Roman" w:hAnsi="Times New Roman" w:cs="Times New Roman"/>
                <w:bCs/>
                <w:color w:val="auto"/>
                <w:spacing w:val="0"/>
                <w:sz w:val="24"/>
                <w:szCs w:val="24"/>
                <w:lang w:val="en-US" w:eastAsia="zh-CN"/>
              </w:rPr>
              <w:t>作业</w:t>
            </w:r>
            <w:r>
              <w:rPr>
                <w:rFonts w:hint="default" w:ascii="Times New Roman" w:hAnsi="Times New Roman" w:cs="Times New Roman"/>
                <w:bCs/>
                <w:color w:val="auto"/>
                <w:spacing w:val="0"/>
                <w:sz w:val="24"/>
                <w:szCs w:val="24"/>
                <w:lang w:val="en-US" w:eastAsia="zh-CN"/>
              </w:rPr>
              <w:t>机械设备购置时，除满足工艺要求外，还必须考虑其具有良好的声学特征</w:t>
            </w:r>
            <w:r>
              <w:rPr>
                <w:rFonts w:hint="eastAsia" w:ascii="Times New Roman" w:hAnsi="Times New Roman" w:cs="Times New Roman"/>
                <w:bCs/>
                <w:color w:val="auto"/>
                <w:spacing w:val="0"/>
                <w:sz w:val="24"/>
                <w:szCs w:val="24"/>
                <w:lang w:val="en-US" w:eastAsia="zh-CN"/>
              </w:rPr>
              <w:t>（</w:t>
            </w:r>
            <w:r>
              <w:rPr>
                <w:rFonts w:hint="default" w:ascii="Times New Roman" w:hAnsi="Times New Roman" w:cs="Times New Roman"/>
                <w:bCs/>
                <w:color w:val="auto"/>
                <w:spacing w:val="0"/>
                <w:sz w:val="24"/>
                <w:szCs w:val="24"/>
                <w:lang w:val="en-US" w:eastAsia="zh-CN"/>
              </w:rPr>
              <w:t>高效低噪</w:t>
            </w:r>
            <w:r>
              <w:rPr>
                <w:rFonts w:hint="eastAsia" w:ascii="Times New Roman" w:hAnsi="Times New Roman" w:cs="Times New Roman"/>
                <w:bCs/>
                <w:color w:val="auto"/>
                <w:spacing w:val="0"/>
                <w:sz w:val="24"/>
                <w:szCs w:val="24"/>
                <w:lang w:val="en-US" w:eastAsia="zh-CN"/>
              </w:rPr>
              <w:t>）</w:t>
            </w:r>
            <w:r>
              <w:rPr>
                <w:rFonts w:hint="default" w:ascii="Times New Roman" w:hAnsi="Times New Roman" w:cs="Times New Roman"/>
                <w:bCs/>
                <w:color w:val="auto"/>
                <w:spacing w:val="0"/>
                <w:sz w:val="24"/>
                <w:szCs w:val="24"/>
                <w:lang w:val="en-US" w:eastAsia="zh-CN"/>
              </w:rPr>
              <w:t>。</w:t>
            </w:r>
          </w:p>
          <w:p w14:paraId="386C479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pacing w:val="0"/>
                <w:sz w:val="24"/>
                <w:szCs w:val="24"/>
                <w:lang w:val="en-US" w:eastAsia="zh-CN"/>
              </w:rPr>
            </w:pPr>
            <w:r>
              <w:rPr>
                <w:rFonts w:hint="eastAsia" w:ascii="Times New Roman" w:hAnsi="Times New Roman" w:cs="Times New Roman"/>
                <w:bCs/>
                <w:color w:val="auto"/>
                <w:spacing w:val="0"/>
                <w:sz w:val="24"/>
                <w:szCs w:val="24"/>
                <w:lang w:val="en-US" w:eastAsia="zh-CN"/>
              </w:rPr>
              <w:t>②</w:t>
            </w:r>
            <w:r>
              <w:rPr>
                <w:rFonts w:hint="default" w:ascii="Times New Roman" w:hAnsi="Times New Roman" w:cs="Times New Roman"/>
                <w:bCs/>
                <w:color w:val="auto"/>
                <w:spacing w:val="0"/>
                <w:sz w:val="24"/>
                <w:szCs w:val="24"/>
                <w:lang w:val="en-US" w:eastAsia="zh-CN"/>
              </w:rPr>
              <w:t>建筑垃圾运输路面主要为水泥或混凝土路面。本项目禁止夜间及午休时间进行运输，在厂区内部运输过程中禁止鸣笛，车辆需减速慢行，车辆运输过程中采用篷布遮盖。</w:t>
            </w:r>
          </w:p>
          <w:p w14:paraId="7443E80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pacing w:val="0"/>
                <w:sz w:val="24"/>
                <w:szCs w:val="24"/>
                <w:lang w:val="en-US" w:eastAsia="zh-CN"/>
              </w:rPr>
            </w:pPr>
            <w:r>
              <w:rPr>
                <w:rFonts w:hint="eastAsia" w:ascii="Times New Roman" w:hAnsi="Times New Roman" w:cs="Times New Roman"/>
                <w:bCs/>
                <w:color w:val="auto"/>
                <w:spacing w:val="0"/>
                <w:sz w:val="24"/>
                <w:szCs w:val="24"/>
                <w:lang w:val="en-US" w:eastAsia="zh-CN"/>
              </w:rPr>
              <w:t>③</w:t>
            </w:r>
            <w:r>
              <w:rPr>
                <w:rFonts w:hint="default" w:ascii="Times New Roman" w:hAnsi="Times New Roman" w:cs="Times New Roman"/>
                <w:bCs/>
                <w:color w:val="auto"/>
                <w:spacing w:val="0"/>
                <w:sz w:val="24"/>
                <w:szCs w:val="24"/>
                <w:lang w:val="en-US" w:eastAsia="zh-CN"/>
              </w:rPr>
              <w:t>对无法采取措施的作业场所，工作时操作人员</w:t>
            </w:r>
            <w:r>
              <w:rPr>
                <w:rFonts w:hint="eastAsia" w:ascii="Times New Roman" w:hAnsi="Times New Roman" w:cs="Times New Roman"/>
                <w:bCs/>
                <w:color w:val="auto"/>
                <w:spacing w:val="0"/>
                <w:sz w:val="24"/>
                <w:szCs w:val="24"/>
                <w:lang w:val="en-US" w:eastAsia="zh-CN"/>
              </w:rPr>
              <w:t>佩戴</w:t>
            </w:r>
            <w:r>
              <w:rPr>
                <w:rFonts w:hint="default" w:ascii="Times New Roman" w:hAnsi="Times New Roman" w:cs="Times New Roman"/>
                <w:bCs/>
                <w:color w:val="auto"/>
                <w:spacing w:val="0"/>
                <w:sz w:val="24"/>
                <w:szCs w:val="24"/>
                <w:lang w:val="en-US" w:eastAsia="zh-CN"/>
              </w:rPr>
              <w:t>耳塞、耳罩和头盔等个人防护用品。</w:t>
            </w:r>
          </w:p>
          <w:p w14:paraId="1A39C495">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pacing w:val="0"/>
                <w:sz w:val="24"/>
                <w:szCs w:val="24"/>
                <w:lang w:val="en-US" w:eastAsia="zh-CN"/>
              </w:rPr>
            </w:pPr>
            <w:r>
              <w:rPr>
                <w:rFonts w:hint="eastAsia" w:ascii="Times New Roman" w:hAnsi="Times New Roman" w:cs="Times New Roman"/>
                <w:bCs/>
                <w:color w:val="auto"/>
                <w:spacing w:val="0"/>
                <w:sz w:val="24"/>
                <w:szCs w:val="24"/>
                <w:lang w:val="en-US" w:eastAsia="zh-CN"/>
              </w:rPr>
              <w:t>④</w:t>
            </w:r>
            <w:r>
              <w:rPr>
                <w:rFonts w:hint="default" w:ascii="Times New Roman" w:hAnsi="Times New Roman" w:cs="Times New Roman"/>
                <w:bCs/>
                <w:color w:val="auto"/>
                <w:spacing w:val="0"/>
                <w:sz w:val="24"/>
                <w:szCs w:val="24"/>
                <w:lang w:val="en-US" w:eastAsia="zh-CN"/>
              </w:rPr>
              <w:t>加强设备的日常维护保养，防止出现因机器不正常运转造成噪声值异常升高的问题；对进出车辆加强管理，限制车速，禁鸣喇叭；</w:t>
            </w:r>
          </w:p>
          <w:p w14:paraId="34981096">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pacing w:val="0"/>
                <w:sz w:val="24"/>
                <w:szCs w:val="24"/>
                <w:lang w:val="en-US" w:eastAsia="zh-CN"/>
              </w:rPr>
            </w:pPr>
            <w:r>
              <w:rPr>
                <w:rFonts w:hint="eastAsia" w:ascii="Times New Roman" w:hAnsi="Times New Roman" w:cs="Times New Roman"/>
                <w:bCs/>
                <w:color w:val="auto"/>
                <w:spacing w:val="0"/>
                <w:sz w:val="24"/>
                <w:szCs w:val="24"/>
                <w:lang w:val="en-US" w:eastAsia="zh-CN"/>
              </w:rPr>
              <w:t>⑤</w:t>
            </w:r>
            <w:r>
              <w:rPr>
                <w:rFonts w:hint="default" w:ascii="Times New Roman" w:hAnsi="Times New Roman" w:cs="Times New Roman"/>
                <w:bCs/>
                <w:color w:val="auto"/>
                <w:spacing w:val="0"/>
                <w:sz w:val="24"/>
                <w:szCs w:val="24"/>
                <w:lang w:val="en-US" w:eastAsia="zh-CN"/>
              </w:rPr>
              <w:t>针对场区运输车辆所产生的交通噪声，采取限制超载、定期保养车辆、场区</w:t>
            </w:r>
            <w:r>
              <w:rPr>
                <w:rFonts w:hint="eastAsia" w:ascii="Times New Roman" w:hAnsi="Times New Roman" w:cs="Times New Roman"/>
                <w:bCs/>
                <w:color w:val="auto"/>
                <w:spacing w:val="0"/>
                <w:sz w:val="24"/>
                <w:szCs w:val="24"/>
                <w:lang w:val="en-US" w:eastAsia="zh-CN"/>
              </w:rPr>
              <w:t>禁</w:t>
            </w:r>
            <w:r>
              <w:rPr>
                <w:rFonts w:hint="default" w:ascii="Times New Roman" w:hAnsi="Times New Roman" w:cs="Times New Roman"/>
                <w:bCs/>
                <w:color w:val="auto"/>
                <w:spacing w:val="0"/>
                <w:sz w:val="24"/>
                <w:szCs w:val="24"/>
                <w:lang w:val="en-US" w:eastAsia="zh-CN"/>
              </w:rPr>
              <w:t>按喇叭等措施。</w:t>
            </w:r>
          </w:p>
          <w:p w14:paraId="239D435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bCs/>
                <w:color w:val="auto"/>
                <w:spacing w:val="0"/>
                <w:sz w:val="24"/>
                <w:szCs w:val="24"/>
                <w:lang w:val="en-US" w:eastAsia="zh-CN"/>
              </w:rPr>
            </w:pPr>
            <w:r>
              <w:rPr>
                <w:rFonts w:hint="eastAsia" w:ascii="Times New Roman" w:hAnsi="Times New Roman" w:cs="Times New Roman"/>
                <w:bCs/>
                <w:color w:val="auto"/>
                <w:spacing w:val="0"/>
                <w:sz w:val="24"/>
                <w:szCs w:val="24"/>
                <w:lang w:val="en-US" w:eastAsia="zh-CN"/>
              </w:rPr>
              <w:t>本项目车辆运输噪声相对外环境较开阔，周边声环境不敏感，不会给环境带来不利影响。机械设备噪声经距离衰减后，不会对附近区域声环境造成明显影响。</w:t>
            </w:r>
          </w:p>
          <w:p w14:paraId="01821B4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bCs/>
                <w:color w:val="auto"/>
                <w:spacing w:val="0"/>
                <w:sz w:val="24"/>
                <w:szCs w:val="24"/>
                <w:lang w:val="en-US" w:eastAsia="zh-CN"/>
              </w:rPr>
            </w:pPr>
            <w:r>
              <w:rPr>
                <w:rFonts w:hint="eastAsia" w:ascii="Times New Roman" w:hAnsi="Times New Roman" w:cs="Times New Roman"/>
                <w:bCs/>
                <w:color w:val="auto"/>
                <w:spacing w:val="0"/>
                <w:sz w:val="24"/>
                <w:szCs w:val="24"/>
                <w:lang w:val="en-US" w:eastAsia="zh-CN"/>
              </w:rPr>
              <w:t>综上分析可知，项目运营期噪声不会给声环境带来不良影响，其防治措施具有经济技术可行性。</w:t>
            </w:r>
          </w:p>
          <w:p w14:paraId="0AEDB995">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bCs/>
                <w:color w:val="auto"/>
                <w:spacing w:val="0"/>
                <w:sz w:val="24"/>
                <w:szCs w:val="24"/>
                <w:lang w:val="en-US" w:eastAsia="zh-CN"/>
              </w:rPr>
            </w:pPr>
            <w:r>
              <w:rPr>
                <w:rFonts w:hint="eastAsia" w:ascii="Times New Roman" w:hAnsi="Times New Roman" w:cs="Times New Roman"/>
                <w:b/>
                <w:bCs w:val="0"/>
                <w:color w:val="auto"/>
                <w:spacing w:val="0"/>
                <w:sz w:val="24"/>
                <w:szCs w:val="24"/>
                <w:lang w:val="en-US" w:eastAsia="zh-CN"/>
              </w:rPr>
              <w:t>3.3 监测计划</w:t>
            </w:r>
          </w:p>
          <w:p w14:paraId="7209ECE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bCs/>
                <w:color w:val="auto"/>
                <w:spacing w:val="0"/>
                <w:sz w:val="24"/>
                <w:szCs w:val="24"/>
                <w:lang w:val="en-US" w:eastAsia="zh-CN"/>
              </w:rPr>
            </w:pPr>
            <w:r>
              <w:rPr>
                <w:rFonts w:hint="eastAsia"/>
                <w:color w:val="auto"/>
                <w:sz w:val="24"/>
                <w:szCs w:val="24"/>
                <w:lang w:val="en-US" w:eastAsia="zh-CN"/>
              </w:rPr>
              <w:t>根据《排污单位自行监测技术指南 总则》（HJ819-2017），本项目</w:t>
            </w:r>
            <w:r>
              <w:rPr>
                <w:rFonts w:hint="eastAsia"/>
                <w:color w:val="auto"/>
                <w:sz w:val="24"/>
                <w:szCs w:val="24"/>
              </w:rPr>
              <w:t>运营期</w:t>
            </w:r>
            <w:r>
              <w:rPr>
                <w:rFonts w:hint="eastAsia"/>
                <w:color w:val="auto"/>
                <w:sz w:val="24"/>
                <w:szCs w:val="24"/>
                <w:lang w:val="en-US" w:eastAsia="zh-CN"/>
              </w:rPr>
              <w:t>噪声</w:t>
            </w:r>
            <w:r>
              <w:rPr>
                <w:rFonts w:hint="eastAsia"/>
                <w:color w:val="auto"/>
                <w:sz w:val="24"/>
                <w:szCs w:val="24"/>
              </w:rPr>
              <w:t>监测计划见下表。</w:t>
            </w:r>
          </w:p>
          <w:p w14:paraId="3FD4EE06">
            <w:pPr>
              <w:adjustRightInd w:val="0"/>
              <w:snapToGrid w:val="0"/>
              <w:spacing w:line="240" w:lineRule="auto"/>
              <w:jc w:val="center"/>
              <w:rPr>
                <w:b/>
                <w:bCs/>
                <w:color w:val="auto"/>
              </w:rPr>
            </w:pPr>
          </w:p>
          <w:p w14:paraId="427CE44B">
            <w:pPr>
              <w:adjustRightInd w:val="0"/>
              <w:snapToGrid w:val="0"/>
              <w:spacing w:line="240" w:lineRule="auto"/>
              <w:jc w:val="center"/>
              <w:rPr>
                <w:b/>
                <w:bCs/>
                <w:color w:val="auto"/>
              </w:rPr>
            </w:pPr>
            <w:r>
              <w:rPr>
                <w:b/>
                <w:bCs/>
                <w:color w:val="auto"/>
              </w:rPr>
              <w:t>表</w:t>
            </w:r>
            <w:r>
              <w:rPr>
                <w:rFonts w:hint="eastAsia"/>
                <w:b/>
                <w:bCs/>
                <w:color w:val="auto"/>
                <w:lang w:val="en-US" w:eastAsia="zh-CN"/>
              </w:rPr>
              <w:t xml:space="preserve">4-5   </w:t>
            </w:r>
            <w:r>
              <w:rPr>
                <w:b/>
                <w:bCs/>
                <w:color w:val="auto"/>
              </w:rPr>
              <w:t>项目营运期监测计划一览表</w:t>
            </w:r>
          </w:p>
          <w:tbl>
            <w:tblPr>
              <w:tblStyle w:val="27"/>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46"/>
              <w:gridCol w:w="2492"/>
              <w:gridCol w:w="2009"/>
              <w:gridCol w:w="2097"/>
            </w:tblGrid>
            <w:tr w14:paraId="7734D3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847" w:type="pct"/>
                  <w:tcBorders>
                    <w:bottom w:val="single" w:color="auto" w:sz="12" w:space="0"/>
                  </w:tcBorders>
                  <w:noWrap w:val="0"/>
                  <w:vAlign w:val="center"/>
                </w:tcPr>
                <w:p w14:paraId="5B55155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类别</w:t>
                  </w:r>
                </w:p>
              </w:tc>
              <w:tc>
                <w:tcPr>
                  <w:tcW w:w="1568" w:type="pct"/>
                  <w:tcBorders>
                    <w:bottom w:val="single" w:color="auto" w:sz="12" w:space="0"/>
                  </w:tcBorders>
                  <w:noWrap w:val="0"/>
                  <w:vAlign w:val="center"/>
                </w:tcPr>
                <w:p w14:paraId="595D8CAE">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监测点位</w:t>
                  </w:r>
                </w:p>
              </w:tc>
              <w:tc>
                <w:tcPr>
                  <w:tcW w:w="1264" w:type="pct"/>
                  <w:tcBorders>
                    <w:bottom w:val="single" w:color="auto" w:sz="12" w:space="0"/>
                  </w:tcBorders>
                  <w:noWrap w:val="0"/>
                  <w:vAlign w:val="center"/>
                </w:tcPr>
                <w:p w14:paraId="4FA77EBF">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监测因子</w:t>
                  </w:r>
                </w:p>
              </w:tc>
              <w:tc>
                <w:tcPr>
                  <w:tcW w:w="1319" w:type="pct"/>
                  <w:tcBorders>
                    <w:bottom w:val="single" w:color="auto" w:sz="12" w:space="0"/>
                  </w:tcBorders>
                  <w:noWrap w:val="0"/>
                  <w:vAlign w:val="center"/>
                </w:tcPr>
                <w:p w14:paraId="789374C3">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1"/>
                      <w:szCs w:val="21"/>
                      <w:highlight w:val="none"/>
                      <w:vertAlign w:val="baseline"/>
                      <w:lang w:val="en-US" w:eastAsia="zh-CN"/>
                    </w:rPr>
                  </w:pPr>
                  <w:r>
                    <w:rPr>
                      <w:rFonts w:hint="default" w:ascii="Times New Roman" w:hAnsi="Times New Roman" w:eastAsia="宋体" w:cs="Times New Roman"/>
                      <w:b/>
                      <w:bCs/>
                      <w:color w:val="auto"/>
                      <w:sz w:val="21"/>
                      <w:szCs w:val="21"/>
                      <w:highlight w:val="none"/>
                      <w:vertAlign w:val="baseline"/>
                      <w:lang w:val="en-US" w:eastAsia="zh-CN"/>
                    </w:rPr>
                    <w:t>监测频次</w:t>
                  </w:r>
                </w:p>
              </w:tc>
            </w:tr>
            <w:tr w14:paraId="6C4D91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847" w:type="pct"/>
                  <w:tcBorders>
                    <w:top w:val="single" w:color="auto" w:sz="12" w:space="0"/>
                  </w:tcBorders>
                  <w:noWrap w:val="0"/>
                  <w:vAlign w:val="center"/>
                </w:tcPr>
                <w:p w14:paraId="055F3DF0">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噪声</w:t>
                  </w:r>
                </w:p>
              </w:tc>
              <w:tc>
                <w:tcPr>
                  <w:tcW w:w="1568" w:type="pct"/>
                  <w:tcBorders>
                    <w:top w:val="single" w:color="auto" w:sz="12" w:space="0"/>
                  </w:tcBorders>
                  <w:noWrap w:val="0"/>
                  <w:vAlign w:val="center"/>
                </w:tcPr>
                <w:p w14:paraId="784C465D">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厂界四周</w:t>
                  </w:r>
                </w:p>
              </w:tc>
              <w:tc>
                <w:tcPr>
                  <w:tcW w:w="1264" w:type="pct"/>
                  <w:tcBorders>
                    <w:top w:val="single" w:color="auto" w:sz="12" w:space="0"/>
                  </w:tcBorders>
                  <w:noWrap w:val="0"/>
                  <w:vAlign w:val="center"/>
                </w:tcPr>
                <w:p w14:paraId="4457143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等效连续A声级</w:t>
                  </w:r>
                </w:p>
              </w:tc>
              <w:tc>
                <w:tcPr>
                  <w:tcW w:w="1319" w:type="pct"/>
                  <w:tcBorders>
                    <w:top w:val="single" w:color="auto" w:sz="12" w:space="0"/>
                  </w:tcBorders>
                  <w:noWrap w:val="0"/>
                  <w:vAlign w:val="center"/>
                </w:tcPr>
                <w:p w14:paraId="4590A02B">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eastAsia" w:ascii="Times New Roman" w:hAnsi="Times New Roman" w:eastAsia="宋体" w:cs="Times New Roman"/>
                      <w:color w:val="auto"/>
                      <w:sz w:val="21"/>
                      <w:szCs w:val="21"/>
                      <w:highlight w:val="none"/>
                      <w:vertAlign w:val="baseline"/>
                      <w:lang w:val="en-US" w:eastAsia="zh-CN"/>
                    </w:rPr>
                    <w:t>每季一次</w:t>
                  </w:r>
                </w:p>
              </w:tc>
            </w:tr>
          </w:tbl>
          <w:p w14:paraId="557C4C45">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bCs/>
                <w:color w:val="auto"/>
                <w:spacing w:val="0"/>
                <w:sz w:val="24"/>
                <w:szCs w:val="24"/>
                <w:lang w:val="en-US" w:eastAsia="zh-CN"/>
              </w:rPr>
            </w:pPr>
            <w:r>
              <w:rPr>
                <w:rFonts w:hint="eastAsia" w:ascii="Times New Roman" w:hAnsi="Times New Roman" w:cs="Times New Roman"/>
                <w:b/>
                <w:bCs w:val="0"/>
                <w:color w:val="auto"/>
                <w:spacing w:val="0"/>
                <w:sz w:val="24"/>
                <w:szCs w:val="24"/>
                <w:lang w:val="en-US" w:eastAsia="zh-CN"/>
              </w:rPr>
              <w:t>4 固体废物环境影响和保护措施</w:t>
            </w:r>
          </w:p>
          <w:p w14:paraId="306D0AF7">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pacing w:val="0"/>
                <w:sz w:val="24"/>
                <w:szCs w:val="24"/>
                <w:lang w:val="en-US" w:eastAsia="zh-CN"/>
              </w:rPr>
            </w:pPr>
            <w:r>
              <w:rPr>
                <w:rFonts w:hint="eastAsia" w:ascii="Times New Roman" w:hAnsi="Times New Roman" w:cs="Times New Roman"/>
                <w:bCs/>
                <w:color w:val="auto"/>
                <w:spacing w:val="0"/>
                <w:sz w:val="24"/>
                <w:szCs w:val="24"/>
                <w:lang w:val="en-US" w:eastAsia="zh-CN"/>
              </w:rPr>
              <w:t>本项目产生的固体废物主要为职工人员产生的生活垃圾、沉淀池产生的污泥、作业机械更换的</w:t>
            </w:r>
            <w:r>
              <w:rPr>
                <w:rFonts w:hint="eastAsia" w:cs="Times New Roman"/>
                <w:bCs/>
                <w:color w:val="auto"/>
                <w:spacing w:val="0"/>
                <w:sz w:val="24"/>
                <w:szCs w:val="24"/>
                <w:lang w:val="en-US" w:eastAsia="zh-CN"/>
              </w:rPr>
              <w:t>废机油</w:t>
            </w:r>
            <w:r>
              <w:rPr>
                <w:rFonts w:hint="eastAsia" w:ascii="Times New Roman" w:hAnsi="Times New Roman" w:cs="Times New Roman"/>
                <w:bCs/>
                <w:color w:val="auto"/>
                <w:spacing w:val="0"/>
                <w:sz w:val="24"/>
                <w:szCs w:val="24"/>
                <w:lang w:val="en-US" w:eastAsia="zh-CN"/>
              </w:rPr>
              <w:t>。</w:t>
            </w:r>
          </w:p>
          <w:p w14:paraId="6043613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pacing w:val="0"/>
                <w:sz w:val="24"/>
                <w:szCs w:val="24"/>
                <w:lang w:val="en-US" w:eastAsia="zh-CN"/>
              </w:rPr>
            </w:pPr>
            <w:r>
              <w:rPr>
                <w:rFonts w:hint="eastAsia" w:ascii="Times New Roman" w:hAnsi="Times New Roman" w:cs="Times New Roman"/>
                <w:bCs/>
                <w:color w:val="auto"/>
                <w:spacing w:val="0"/>
                <w:sz w:val="24"/>
                <w:szCs w:val="24"/>
                <w:lang w:val="en-US" w:eastAsia="zh-CN"/>
              </w:rPr>
              <w:t>（1）生活垃圾</w:t>
            </w:r>
          </w:p>
          <w:p w14:paraId="5387603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bCs/>
                <w:color w:val="auto"/>
                <w:spacing w:val="0"/>
                <w:sz w:val="24"/>
                <w:szCs w:val="24"/>
                <w:lang w:val="en-US" w:eastAsia="zh-CN"/>
              </w:rPr>
            </w:pPr>
            <w:r>
              <w:rPr>
                <w:rFonts w:hint="eastAsia" w:ascii="Times New Roman" w:hAnsi="Times New Roman" w:cs="Times New Roman"/>
                <w:bCs/>
                <w:color w:val="auto"/>
                <w:spacing w:val="0"/>
                <w:sz w:val="24"/>
                <w:szCs w:val="24"/>
                <w:lang w:val="en-US" w:eastAsia="zh-CN"/>
              </w:rPr>
              <w:t>本项目垃圾中转站年运营天数300天，劳动定员为10人，生活垃圾按0.5kg/人·天计，则项目生活垃圾产生量1.5t/a。项目产生的生活垃圾经收集后由环卫部门统一处理。</w:t>
            </w:r>
          </w:p>
          <w:p w14:paraId="4DD0CE4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pacing w:val="0"/>
                <w:sz w:val="24"/>
                <w:szCs w:val="24"/>
                <w:lang w:val="en-US" w:eastAsia="zh-CN"/>
              </w:rPr>
            </w:pPr>
            <w:r>
              <w:rPr>
                <w:rFonts w:hint="eastAsia" w:ascii="Times New Roman" w:hAnsi="Times New Roman" w:cs="Times New Roman"/>
                <w:bCs/>
                <w:color w:val="auto"/>
                <w:spacing w:val="0"/>
                <w:sz w:val="24"/>
                <w:szCs w:val="24"/>
                <w:lang w:val="en-US" w:eastAsia="zh-CN"/>
              </w:rPr>
              <w:t>（2）污泥</w:t>
            </w:r>
          </w:p>
          <w:p w14:paraId="28494FC7">
            <w:pPr>
              <w:keepNext w:val="0"/>
              <w:keepLines w:val="0"/>
              <w:pageBreakBefore w:val="0"/>
              <w:widowControl w:val="0"/>
              <w:kinsoku/>
              <w:wordWrap/>
              <w:overflowPunct/>
              <w:topLinePunct w:val="0"/>
              <w:autoSpaceDE/>
              <w:autoSpaceDN/>
              <w:bidi w:val="0"/>
              <w:adjustRightInd w:val="0"/>
              <w:snapToGrid w:val="0"/>
              <w:spacing w:line="360" w:lineRule="auto"/>
              <w:ind w:firstLine="504" w:firstLineChars="200"/>
              <w:jc w:val="both"/>
              <w:textAlignment w:val="auto"/>
              <w:rPr>
                <w:rFonts w:hint="default" w:ascii="Times New Roman" w:hAnsi="Times New Roman" w:cs="Times New Roman"/>
                <w:bCs/>
                <w:color w:val="auto"/>
                <w:spacing w:val="0"/>
                <w:sz w:val="24"/>
                <w:szCs w:val="24"/>
                <w:lang w:val="en-US" w:eastAsia="zh-CN"/>
              </w:rPr>
            </w:pPr>
            <w:r>
              <w:rPr>
                <w:rFonts w:hint="eastAsia" w:ascii="Times New Roman" w:hAnsi="Times New Roman" w:eastAsia="宋体" w:cs="Times New Roman"/>
                <w:b w:val="0"/>
                <w:bCs w:val="0"/>
                <w:color w:val="auto"/>
                <w:spacing w:val="6"/>
                <w:kern w:val="2"/>
                <w:sz w:val="24"/>
                <w:szCs w:val="24"/>
                <w:highlight w:val="none"/>
                <w:vertAlign w:val="baseline"/>
                <w:lang w:val="en-US" w:eastAsia="zh-CN" w:bidi="ar-SA"/>
              </w:rPr>
              <w:t>本项目沉淀池长时间使用会产生一定的污泥，根据建设单位提供的信息可知，污泥的产生量为0.5t/a，收集后送建筑垃圾填埋场处置。</w:t>
            </w:r>
          </w:p>
          <w:p w14:paraId="11B524A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bCs/>
                <w:color w:val="auto"/>
                <w:spacing w:val="0"/>
                <w:sz w:val="24"/>
                <w:szCs w:val="24"/>
                <w:lang w:val="en-US" w:eastAsia="zh-CN"/>
              </w:rPr>
            </w:pPr>
            <w:r>
              <w:rPr>
                <w:rFonts w:hint="eastAsia" w:ascii="Times New Roman" w:hAnsi="Times New Roman" w:cs="Times New Roman"/>
                <w:bCs/>
                <w:color w:val="auto"/>
                <w:spacing w:val="0"/>
                <w:sz w:val="24"/>
                <w:szCs w:val="24"/>
                <w:lang w:val="en-US" w:eastAsia="zh-CN"/>
              </w:rPr>
              <w:t>（3）</w:t>
            </w:r>
            <w:r>
              <w:rPr>
                <w:rFonts w:hint="eastAsia" w:cs="Times New Roman"/>
                <w:bCs/>
                <w:color w:val="auto"/>
                <w:spacing w:val="0"/>
                <w:sz w:val="24"/>
                <w:szCs w:val="24"/>
                <w:lang w:val="en-US" w:eastAsia="zh-CN"/>
              </w:rPr>
              <w:t>废机油</w:t>
            </w:r>
          </w:p>
          <w:p w14:paraId="734646A1">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Cs/>
                <w:color w:val="auto"/>
                <w:spacing w:val="0"/>
                <w:sz w:val="24"/>
                <w:szCs w:val="24"/>
                <w:lang w:val="en-US" w:eastAsia="zh-CN"/>
              </w:rPr>
            </w:pPr>
            <w:r>
              <w:rPr>
                <w:rFonts w:hint="default" w:ascii="Times New Roman" w:hAnsi="Times New Roman" w:cs="Times New Roman"/>
                <w:bCs/>
                <w:color w:val="auto"/>
                <w:spacing w:val="0"/>
                <w:sz w:val="24"/>
                <w:szCs w:val="24"/>
                <w:lang w:val="en-US" w:eastAsia="zh-CN"/>
              </w:rPr>
              <w:t>本项目</w:t>
            </w:r>
            <w:r>
              <w:rPr>
                <w:rFonts w:hint="eastAsia" w:ascii="Times New Roman" w:hAnsi="Times New Roman" w:cs="Times New Roman"/>
                <w:bCs/>
                <w:color w:val="auto"/>
                <w:spacing w:val="0"/>
                <w:sz w:val="24"/>
                <w:szCs w:val="24"/>
                <w:lang w:val="en-US" w:eastAsia="zh-CN"/>
              </w:rPr>
              <w:t>作业机械更换的</w:t>
            </w:r>
            <w:r>
              <w:rPr>
                <w:rFonts w:hint="eastAsia" w:cs="Times New Roman"/>
                <w:bCs/>
                <w:color w:val="auto"/>
                <w:spacing w:val="0"/>
                <w:sz w:val="24"/>
                <w:szCs w:val="24"/>
                <w:lang w:val="en-US" w:eastAsia="zh-CN"/>
              </w:rPr>
              <w:t>废机油</w:t>
            </w:r>
            <w:r>
              <w:rPr>
                <w:rFonts w:hint="default" w:ascii="Times New Roman" w:hAnsi="Times New Roman" w:cs="Times New Roman"/>
                <w:bCs/>
                <w:color w:val="auto"/>
                <w:spacing w:val="0"/>
                <w:sz w:val="24"/>
                <w:szCs w:val="24"/>
                <w:lang w:val="en-US" w:eastAsia="zh-CN"/>
              </w:rPr>
              <w:t>产生量为0.5t/a，暂存在危废</w:t>
            </w:r>
            <w:r>
              <w:rPr>
                <w:rFonts w:hint="eastAsia" w:ascii="Times New Roman" w:hAnsi="Times New Roman" w:cs="Times New Roman"/>
                <w:bCs/>
                <w:color w:val="auto"/>
                <w:spacing w:val="0"/>
                <w:sz w:val="24"/>
                <w:szCs w:val="24"/>
                <w:lang w:val="en-US" w:eastAsia="zh-CN"/>
              </w:rPr>
              <w:t>贮存点</w:t>
            </w:r>
            <w:r>
              <w:rPr>
                <w:rFonts w:hint="default" w:ascii="Times New Roman" w:hAnsi="Times New Roman" w:cs="Times New Roman"/>
                <w:bCs/>
                <w:color w:val="auto"/>
                <w:spacing w:val="0"/>
                <w:sz w:val="24"/>
                <w:szCs w:val="24"/>
                <w:lang w:val="en-US" w:eastAsia="zh-CN"/>
              </w:rPr>
              <w:t>，定期收集后交由有资质的单位处理。</w:t>
            </w:r>
          </w:p>
          <w:p w14:paraId="799EDC28">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bCs/>
                <w:color w:val="auto"/>
                <w:spacing w:val="0"/>
                <w:sz w:val="24"/>
                <w:szCs w:val="24"/>
                <w:lang w:val="en-US" w:eastAsia="zh-CN"/>
              </w:rPr>
            </w:pPr>
            <w:r>
              <w:rPr>
                <w:rFonts w:hint="eastAsia" w:ascii="Times New Roman" w:hAnsi="Times New Roman" w:cs="Times New Roman"/>
                <w:bCs/>
                <w:color w:val="auto"/>
                <w:spacing w:val="0"/>
                <w:sz w:val="24"/>
                <w:szCs w:val="24"/>
                <w:lang w:val="en-US" w:eastAsia="zh-CN"/>
              </w:rPr>
              <w:t>综上，本项目产生的各类固体废物均能得到妥善处置，对周围环境影响较小。</w:t>
            </w:r>
          </w:p>
          <w:p w14:paraId="5F370134">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bCs/>
                <w:color w:val="auto"/>
                <w:spacing w:val="0"/>
                <w:sz w:val="24"/>
                <w:szCs w:val="24"/>
                <w:lang w:val="en-US" w:eastAsia="zh-CN"/>
              </w:rPr>
            </w:pPr>
            <w:r>
              <w:rPr>
                <w:rFonts w:hint="eastAsia" w:ascii="Times New Roman" w:hAnsi="Times New Roman" w:cs="Times New Roman"/>
                <w:bCs/>
                <w:color w:val="auto"/>
                <w:spacing w:val="0"/>
                <w:sz w:val="24"/>
                <w:szCs w:val="24"/>
                <w:lang w:val="en-US" w:eastAsia="zh-CN"/>
              </w:rPr>
              <w:t>本项目固体废物产排情况见下表。</w:t>
            </w:r>
          </w:p>
          <w:p w14:paraId="5CA561B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4"/>
                <w:szCs w:val="24"/>
                <w:lang w:val="en-US" w:eastAsia="zh-CN"/>
              </w:rPr>
            </w:pPr>
            <w:r>
              <w:rPr>
                <w:rFonts w:hint="eastAsia" w:ascii="Times New Roman" w:hAnsi="Times New Roman" w:cs="Times New Roman"/>
                <w:b/>
                <w:bCs w:val="0"/>
                <w:color w:val="auto"/>
                <w:spacing w:val="0"/>
                <w:sz w:val="21"/>
                <w:szCs w:val="21"/>
                <w:lang w:val="en-US" w:eastAsia="zh-CN"/>
              </w:rPr>
              <w:t>表4-</w:t>
            </w:r>
            <w:r>
              <w:rPr>
                <w:rFonts w:hint="eastAsia" w:cs="Times New Roman"/>
                <w:b/>
                <w:bCs w:val="0"/>
                <w:color w:val="auto"/>
                <w:spacing w:val="0"/>
                <w:sz w:val="21"/>
                <w:szCs w:val="21"/>
                <w:lang w:val="en-US" w:eastAsia="zh-CN"/>
              </w:rPr>
              <w:t>6</w:t>
            </w:r>
            <w:r>
              <w:rPr>
                <w:rFonts w:hint="eastAsia" w:ascii="Times New Roman" w:hAnsi="Times New Roman" w:cs="Times New Roman"/>
                <w:b/>
                <w:bCs w:val="0"/>
                <w:color w:val="auto"/>
                <w:spacing w:val="0"/>
                <w:sz w:val="21"/>
                <w:szCs w:val="21"/>
                <w:lang w:val="en-US" w:eastAsia="zh-CN"/>
              </w:rPr>
              <w:t xml:space="preserve">   本项目固体废物产排污情况及处理措施一览表</w:t>
            </w:r>
          </w:p>
          <w:tbl>
            <w:tblPr>
              <w:tblStyle w:val="28"/>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81"/>
              <w:gridCol w:w="1387"/>
              <w:gridCol w:w="800"/>
              <w:gridCol w:w="730"/>
              <w:gridCol w:w="750"/>
              <w:gridCol w:w="831"/>
              <w:gridCol w:w="1246"/>
              <w:gridCol w:w="1342"/>
            </w:tblGrid>
            <w:tr w14:paraId="3FEF9C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81" w:type="dxa"/>
                  <w:tcBorders>
                    <w:bottom w:val="single" w:color="auto" w:sz="12" w:space="0"/>
                  </w:tcBorders>
                  <w:noWrap w:val="0"/>
                  <w:vAlign w:val="center"/>
                </w:tcPr>
                <w:p w14:paraId="58044DD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val="0"/>
                      <w:color w:val="auto"/>
                      <w:spacing w:val="0"/>
                      <w:sz w:val="21"/>
                      <w:szCs w:val="21"/>
                      <w:vertAlign w:val="baseline"/>
                      <w:lang w:val="en-US" w:eastAsia="zh-CN"/>
                    </w:rPr>
                  </w:pPr>
                  <w:r>
                    <w:rPr>
                      <w:rFonts w:hint="eastAsia" w:ascii="Times New Roman" w:hAnsi="Times New Roman" w:cs="Times New Roman"/>
                      <w:b/>
                      <w:bCs w:val="0"/>
                      <w:color w:val="auto"/>
                      <w:spacing w:val="0"/>
                      <w:sz w:val="21"/>
                      <w:szCs w:val="21"/>
                      <w:vertAlign w:val="baseline"/>
                      <w:lang w:val="en-US" w:eastAsia="zh-CN"/>
                    </w:rPr>
                    <w:t>固废名称</w:t>
                  </w:r>
                </w:p>
              </w:tc>
              <w:tc>
                <w:tcPr>
                  <w:tcW w:w="1387" w:type="dxa"/>
                  <w:tcBorders>
                    <w:bottom w:val="single" w:color="auto" w:sz="12" w:space="0"/>
                  </w:tcBorders>
                  <w:noWrap w:val="0"/>
                  <w:vAlign w:val="center"/>
                </w:tcPr>
                <w:p w14:paraId="59E57E5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val="0"/>
                      <w:color w:val="auto"/>
                      <w:spacing w:val="0"/>
                      <w:sz w:val="21"/>
                      <w:szCs w:val="21"/>
                      <w:vertAlign w:val="baseline"/>
                      <w:lang w:val="en-US" w:eastAsia="zh-CN"/>
                    </w:rPr>
                  </w:pPr>
                  <w:r>
                    <w:rPr>
                      <w:rFonts w:hint="eastAsia" w:ascii="Times New Roman" w:hAnsi="Times New Roman" w:cs="Times New Roman"/>
                      <w:b/>
                      <w:bCs w:val="0"/>
                      <w:color w:val="auto"/>
                      <w:spacing w:val="0"/>
                      <w:sz w:val="21"/>
                      <w:szCs w:val="21"/>
                      <w:vertAlign w:val="baseline"/>
                      <w:lang w:val="en-US" w:eastAsia="zh-CN"/>
                    </w:rPr>
                    <w:t>固废代码</w:t>
                  </w:r>
                </w:p>
              </w:tc>
              <w:tc>
                <w:tcPr>
                  <w:tcW w:w="800" w:type="dxa"/>
                  <w:tcBorders>
                    <w:bottom w:val="single" w:color="auto" w:sz="12" w:space="0"/>
                  </w:tcBorders>
                  <w:noWrap w:val="0"/>
                  <w:vAlign w:val="center"/>
                </w:tcPr>
                <w:p w14:paraId="5F70145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val="0"/>
                      <w:color w:val="auto"/>
                      <w:spacing w:val="0"/>
                      <w:sz w:val="21"/>
                      <w:szCs w:val="21"/>
                      <w:vertAlign w:val="baseline"/>
                      <w:lang w:val="en-US" w:eastAsia="zh-CN"/>
                    </w:rPr>
                  </w:pPr>
                  <w:r>
                    <w:rPr>
                      <w:rFonts w:hint="eastAsia" w:ascii="Times New Roman" w:hAnsi="Times New Roman" w:cs="Times New Roman"/>
                      <w:b/>
                      <w:bCs w:val="0"/>
                      <w:color w:val="auto"/>
                      <w:spacing w:val="0"/>
                      <w:sz w:val="21"/>
                      <w:szCs w:val="21"/>
                      <w:vertAlign w:val="baseline"/>
                      <w:lang w:val="en-US" w:eastAsia="zh-CN"/>
                    </w:rPr>
                    <w:t>固废属性</w:t>
                  </w:r>
                </w:p>
              </w:tc>
              <w:tc>
                <w:tcPr>
                  <w:tcW w:w="730" w:type="dxa"/>
                  <w:tcBorders>
                    <w:bottom w:val="single" w:color="auto" w:sz="12" w:space="0"/>
                  </w:tcBorders>
                  <w:noWrap w:val="0"/>
                  <w:vAlign w:val="center"/>
                </w:tcPr>
                <w:p w14:paraId="1473D89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val="0"/>
                      <w:color w:val="auto"/>
                      <w:spacing w:val="0"/>
                      <w:sz w:val="21"/>
                      <w:szCs w:val="21"/>
                      <w:vertAlign w:val="baseline"/>
                      <w:lang w:val="en-US" w:eastAsia="zh-CN"/>
                    </w:rPr>
                  </w:pPr>
                  <w:r>
                    <w:rPr>
                      <w:rFonts w:hint="eastAsia" w:ascii="Times New Roman" w:hAnsi="Times New Roman" w:cs="Times New Roman"/>
                      <w:b/>
                      <w:bCs w:val="0"/>
                      <w:color w:val="auto"/>
                      <w:spacing w:val="0"/>
                      <w:sz w:val="21"/>
                      <w:szCs w:val="21"/>
                      <w:vertAlign w:val="baseline"/>
                      <w:lang w:val="en-US" w:eastAsia="zh-CN"/>
                    </w:rPr>
                    <w:t>物理性状</w:t>
                  </w:r>
                </w:p>
              </w:tc>
              <w:tc>
                <w:tcPr>
                  <w:tcW w:w="750" w:type="dxa"/>
                  <w:tcBorders>
                    <w:bottom w:val="single" w:color="auto" w:sz="12" w:space="0"/>
                  </w:tcBorders>
                  <w:noWrap w:val="0"/>
                  <w:vAlign w:val="center"/>
                </w:tcPr>
                <w:p w14:paraId="3C7496A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val="0"/>
                      <w:color w:val="auto"/>
                      <w:spacing w:val="0"/>
                      <w:sz w:val="21"/>
                      <w:szCs w:val="21"/>
                      <w:vertAlign w:val="baseline"/>
                      <w:lang w:val="en-US" w:eastAsia="zh-CN"/>
                    </w:rPr>
                  </w:pPr>
                  <w:r>
                    <w:rPr>
                      <w:rFonts w:hint="eastAsia" w:ascii="Times New Roman" w:hAnsi="Times New Roman" w:cs="Times New Roman"/>
                      <w:b/>
                      <w:bCs w:val="0"/>
                      <w:color w:val="auto"/>
                      <w:spacing w:val="0"/>
                      <w:sz w:val="21"/>
                      <w:szCs w:val="21"/>
                      <w:vertAlign w:val="baseline"/>
                      <w:lang w:val="en-US" w:eastAsia="zh-CN"/>
                    </w:rPr>
                    <w:t>环境危险特性</w:t>
                  </w:r>
                </w:p>
              </w:tc>
              <w:tc>
                <w:tcPr>
                  <w:tcW w:w="831" w:type="dxa"/>
                  <w:tcBorders>
                    <w:bottom w:val="single" w:color="auto" w:sz="12" w:space="0"/>
                  </w:tcBorders>
                  <w:noWrap w:val="0"/>
                  <w:vAlign w:val="center"/>
                </w:tcPr>
                <w:p w14:paraId="463325E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val="0"/>
                      <w:color w:val="auto"/>
                      <w:spacing w:val="0"/>
                      <w:sz w:val="21"/>
                      <w:szCs w:val="21"/>
                      <w:vertAlign w:val="baseline"/>
                      <w:lang w:val="en-US" w:eastAsia="zh-CN"/>
                    </w:rPr>
                  </w:pPr>
                  <w:r>
                    <w:rPr>
                      <w:rFonts w:hint="eastAsia" w:ascii="Times New Roman" w:hAnsi="Times New Roman" w:cs="Times New Roman"/>
                      <w:b/>
                      <w:bCs w:val="0"/>
                      <w:color w:val="auto"/>
                      <w:spacing w:val="0"/>
                      <w:sz w:val="21"/>
                      <w:szCs w:val="21"/>
                      <w:vertAlign w:val="baseline"/>
                      <w:lang w:val="en-US" w:eastAsia="zh-CN"/>
                    </w:rPr>
                    <w:t>产生量（t/a）</w:t>
                  </w:r>
                </w:p>
              </w:tc>
              <w:tc>
                <w:tcPr>
                  <w:tcW w:w="1246" w:type="dxa"/>
                  <w:tcBorders>
                    <w:bottom w:val="single" w:color="auto" w:sz="12" w:space="0"/>
                  </w:tcBorders>
                  <w:noWrap w:val="0"/>
                  <w:vAlign w:val="center"/>
                </w:tcPr>
                <w:p w14:paraId="4320A03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val="0"/>
                      <w:color w:val="auto"/>
                      <w:spacing w:val="0"/>
                      <w:sz w:val="21"/>
                      <w:szCs w:val="21"/>
                      <w:vertAlign w:val="baseline"/>
                      <w:lang w:val="en-US" w:eastAsia="zh-CN"/>
                    </w:rPr>
                  </w:pPr>
                  <w:r>
                    <w:rPr>
                      <w:rFonts w:hint="eastAsia" w:ascii="Times New Roman" w:hAnsi="Times New Roman" w:cs="Times New Roman"/>
                      <w:b/>
                      <w:bCs w:val="0"/>
                      <w:color w:val="auto"/>
                      <w:spacing w:val="0"/>
                      <w:sz w:val="21"/>
                      <w:szCs w:val="21"/>
                      <w:vertAlign w:val="baseline"/>
                      <w:lang w:val="en-US" w:eastAsia="zh-CN"/>
                    </w:rPr>
                    <w:t>储存方式</w:t>
                  </w:r>
                </w:p>
              </w:tc>
              <w:tc>
                <w:tcPr>
                  <w:tcW w:w="1342" w:type="dxa"/>
                  <w:tcBorders>
                    <w:bottom w:val="single" w:color="auto" w:sz="12" w:space="0"/>
                  </w:tcBorders>
                  <w:noWrap w:val="0"/>
                  <w:vAlign w:val="center"/>
                </w:tcPr>
                <w:p w14:paraId="39A3F0E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val="0"/>
                      <w:color w:val="auto"/>
                      <w:spacing w:val="0"/>
                      <w:sz w:val="21"/>
                      <w:szCs w:val="21"/>
                      <w:vertAlign w:val="baseline"/>
                      <w:lang w:val="en-US" w:eastAsia="zh-CN"/>
                    </w:rPr>
                  </w:pPr>
                  <w:r>
                    <w:rPr>
                      <w:rFonts w:hint="eastAsia" w:ascii="Times New Roman" w:hAnsi="Times New Roman" w:cs="Times New Roman"/>
                      <w:b/>
                      <w:bCs w:val="0"/>
                      <w:color w:val="auto"/>
                      <w:spacing w:val="0"/>
                      <w:sz w:val="21"/>
                      <w:szCs w:val="21"/>
                      <w:vertAlign w:val="baseline"/>
                      <w:lang w:val="en-US" w:eastAsia="zh-CN"/>
                    </w:rPr>
                    <w:t>处置方式</w:t>
                  </w:r>
                </w:p>
              </w:tc>
            </w:tr>
            <w:tr w14:paraId="7905CE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81" w:type="dxa"/>
                  <w:tcBorders>
                    <w:top w:val="single" w:color="auto" w:sz="12" w:space="0"/>
                    <w:tl2br w:val="nil"/>
                    <w:tr2bl w:val="nil"/>
                  </w:tcBorders>
                  <w:noWrap w:val="0"/>
                  <w:vAlign w:val="center"/>
                </w:tcPr>
                <w:p w14:paraId="45C3DCB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生活垃圾</w:t>
                  </w:r>
                </w:p>
              </w:tc>
              <w:tc>
                <w:tcPr>
                  <w:tcW w:w="1387" w:type="dxa"/>
                  <w:tcBorders>
                    <w:top w:val="single" w:color="auto" w:sz="12" w:space="0"/>
                    <w:tl2br w:val="nil"/>
                    <w:tr2bl w:val="nil"/>
                  </w:tcBorders>
                  <w:noWrap w:val="0"/>
                  <w:vAlign w:val="center"/>
                </w:tcPr>
                <w:p w14:paraId="1DE3BE3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w:t>
                  </w:r>
                </w:p>
              </w:tc>
              <w:tc>
                <w:tcPr>
                  <w:tcW w:w="800" w:type="dxa"/>
                  <w:tcBorders>
                    <w:top w:val="single" w:color="auto" w:sz="12" w:space="0"/>
                    <w:tl2br w:val="nil"/>
                    <w:tr2bl w:val="nil"/>
                  </w:tcBorders>
                  <w:noWrap w:val="0"/>
                  <w:vAlign w:val="center"/>
                </w:tcPr>
                <w:p w14:paraId="0F3B360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生活垃圾</w:t>
                  </w:r>
                </w:p>
              </w:tc>
              <w:tc>
                <w:tcPr>
                  <w:tcW w:w="730" w:type="dxa"/>
                  <w:tcBorders>
                    <w:top w:val="single" w:color="auto" w:sz="12" w:space="0"/>
                    <w:tl2br w:val="nil"/>
                    <w:tr2bl w:val="nil"/>
                  </w:tcBorders>
                  <w:noWrap w:val="0"/>
                  <w:vAlign w:val="center"/>
                </w:tcPr>
                <w:p w14:paraId="53E6208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固态</w:t>
                  </w:r>
                </w:p>
              </w:tc>
              <w:tc>
                <w:tcPr>
                  <w:tcW w:w="750" w:type="dxa"/>
                  <w:tcBorders>
                    <w:top w:val="single" w:color="auto" w:sz="12" w:space="0"/>
                    <w:tl2br w:val="nil"/>
                    <w:tr2bl w:val="nil"/>
                  </w:tcBorders>
                  <w:noWrap w:val="0"/>
                  <w:vAlign w:val="center"/>
                </w:tcPr>
                <w:p w14:paraId="7EACA2A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w:t>
                  </w:r>
                </w:p>
              </w:tc>
              <w:tc>
                <w:tcPr>
                  <w:tcW w:w="831" w:type="dxa"/>
                  <w:tcBorders>
                    <w:top w:val="single" w:color="auto" w:sz="12" w:space="0"/>
                    <w:tl2br w:val="nil"/>
                    <w:tr2bl w:val="nil"/>
                  </w:tcBorders>
                  <w:noWrap w:val="0"/>
                  <w:vAlign w:val="center"/>
                </w:tcPr>
                <w:p w14:paraId="5C6011A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1.5</w:t>
                  </w:r>
                </w:p>
              </w:tc>
              <w:tc>
                <w:tcPr>
                  <w:tcW w:w="1246" w:type="dxa"/>
                  <w:tcBorders>
                    <w:top w:val="single" w:color="auto" w:sz="12" w:space="0"/>
                    <w:tl2br w:val="nil"/>
                    <w:tr2bl w:val="nil"/>
                  </w:tcBorders>
                  <w:noWrap w:val="0"/>
                  <w:vAlign w:val="center"/>
                </w:tcPr>
                <w:p w14:paraId="2CE6D5F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分类收集、暂存在垃圾桶内</w:t>
                  </w:r>
                </w:p>
              </w:tc>
              <w:tc>
                <w:tcPr>
                  <w:tcW w:w="1342" w:type="dxa"/>
                  <w:tcBorders>
                    <w:top w:val="single" w:color="auto" w:sz="12" w:space="0"/>
                    <w:tl2br w:val="nil"/>
                    <w:tr2bl w:val="nil"/>
                  </w:tcBorders>
                  <w:noWrap w:val="0"/>
                  <w:vAlign w:val="center"/>
                </w:tcPr>
                <w:p w14:paraId="1A9C2A8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收集后由环卫部门统一处理</w:t>
                  </w:r>
                </w:p>
              </w:tc>
            </w:tr>
            <w:tr w14:paraId="634729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81" w:type="dxa"/>
                  <w:tcBorders>
                    <w:tl2br w:val="nil"/>
                    <w:tr2bl w:val="nil"/>
                  </w:tcBorders>
                  <w:noWrap w:val="0"/>
                  <w:vAlign w:val="center"/>
                </w:tcPr>
                <w:p w14:paraId="2702D36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污泥</w:t>
                  </w:r>
                </w:p>
              </w:tc>
              <w:tc>
                <w:tcPr>
                  <w:tcW w:w="1387" w:type="dxa"/>
                  <w:tcBorders>
                    <w:tl2br w:val="nil"/>
                    <w:tr2bl w:val="nil"/>
                  </w:tcBorders>
                  <w:noWrap w:val="0"/>
                  <w:vAlign w:val="center"/>
                </w:tcPr>
                <w:p w14:paraId="280C84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900-099-S07</w:t>
                  </w:r>
                </w:p>
              </w:tc>
              <w:tc>
                <w:tcPr>
                  <w:tcW w:w="800" w:type="dxa"/>
                  <w:tcBorders>
                    <w:tl2br w:val="nil"/>
                    <w:tr2bl w:val="nil"/>
                  </w:tcBorders>
                  <w:noWrap w:val="0"/>
                  <w:vAlign w:val="center"/>
                </w:tcPr>
                <w:p w14:paraId="51BCB2D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一般工业固体废物</w:t>
                  </w:r>
                </w:p>
              </w:tc>
              <w:tc>
                <w:tcPr>
                  <w:tcW w:w="730" w:type="dxa"/>
                  <w:tcBorders>
                    <w:tl2br w:val="nil"/>
                    <w:tr2bl w:val="nil"/>
                  </w:tcBorders>
                  <w:noWrap w:val="0"/>
                  <w:vAlign w:val="center"/>
                </w:tcPr>
                <w:p w14:paraId="0C8FCA3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半固态</w:t>
                  </w:r>
                </w:p>
              </w:tc>
              <w:tc>
                <w:tcPr>
                  <w:tcW w:w="750" w:type="dxa"/>
                  <w:tcBorders>
                    <w:tl2br w:val="nil"/>
                    <w:tr2bl w:val="nil"/>
                  </w:tcBorders>
                  <w:noWrap w:val="0"/>
                  <w:vAlign w:val="center"/>
                </w:tcPr>
                <w:p w14:paraId="5394177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w:t>
                  </w:r>
                </w:p>
              </w:tc>
              <w:tc>
                <w:tcPr>
                  <w:tcW w:w="831" w:type="dxa"/>
                  <w:tcBorders>
                    <w:tl2br w:val="nil"/>
                    <w:tr2bl w:val="nil"/>
                  </w:tcBorders>
                  <w:noWrap w:val="0"/>
                  <w:vAlign w:val="center"/>
                </w:tcPr>
                <w:p w14:paraId="18EF6B7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0.5</w:t>
                  </w:r>
                </w:p>
              </w:tc>
              <w:tc>
                <w:tcPr>
                  <w:tcW w:w="1246" w:type="dxa"/>
                  <w:tcBorders>
                    <w:tl2br w:val="nil"/>
                    <w:tr2bl w:val="nil"/>
                  </w:tcBorders>
                  <w:noWrap w:val="0"/>
                  <w:vAlign w:val="center"/>
                </w:tcPr>
                <w:p w14:paraId="4D728EC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w:t>
                  </w:r>
                </w:p>
              </w:tc>
              <w:tc>
                <w:tcPr>
                  <w:tcW w:w="1342" w:type="dxa"/>
                  <w:tcBorders>
                    <w:tl2br w:val="nil"/>
                    <w:tr2bl w:val="nil"/>
                  </w:tcBorders>
                  <w:noWrap w:val="0"/>
                  <w:vAlign w:val="center"/>
                </w:tcPr>
                <w:p w14:paraId="453C0F4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default" w:ascii="Times New Roman" w:hAnsi="Times New Roman" w:cs="Times New Roman"/>
                      <w:bCs/>
                      <w:color w:val="auto"/>
                      <w:spacing w:val="0"/>
                      <w:sz w:val="21"/>
                      <w:szCs w:val="21"/>
                      <w:vertAlign w:val="baseline"/>
                      <w:lang w:val="en-US" w:eastAsia="zh-CN"/>
                    </w:rPr>
                    <w:t>定期清掏后运至</w:t>
                  </w:r>
                  <w:r>
                    <w:rPr>
                      <w:rFonts w:hint="eastAsia" w:ascii="Times New Roman" w:hAnsi="Times New Roman" w:cs="Times New Roman"/>
                      <w:bCs/>
                      <w:color w:val="auto"/>
                      <w:spacing w:val="0"/>
                      <w:sz w:val="21"/>
                      <w:szCs w:val="21"/>
                      <w:vertAlign w:val="baseline"/>
                      <w:lang w:val="en-US" w:eastAsia="zh-CN"/>
                    </w:rPr>
                    <w:t>建筑垃圾填埋场处置</w:t>
                  </w:r>
                </w:p>
              </w:tc>
            </w:tr>
            <w:tr w14:paraId="4D073D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81" w:type="dxa"/>
                  <w:tcBorders>
                    <w:tl2br w:val="nil"/>
                    <w:tr2bl w:val="nil"/>
                  </w:tcBorders>
                  <w:noWrap w:val="0"/>
                  <w:vAlign w:val="center"/>
                </w:tcPr>
                <w:p w14:paraId="1684BA1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cs="Times New Roman"/>
                      <w:bCs/>
                      <w:color w:val="auto"/>
                      <w:spacing w:val="0"/>
                      <w:sz w:val="21"/>
                      <w:szCs w:val="21"/>
                      <w:vertAlign w:val="baseline"/>
                      <w:lang w:val="en-US" w:eastAsia="zh-CN"/>
                    </w:rPr>
                    <w:t>废机油</w:t>
                  </w:r>
                </w:p>
              </w:tc>
              <w:tc>
                <w:tcPr>
                  <w:tcW w:w="1387" w:type="dxa"/>
                  <w:tcBorders>
                    <w:tl2br w:val="nil"/>
                    <w:tr2bl w:val="nil"/>
                  </w:tcBorders>
                  <w:noWrap w:val="0"/>
                  <w:vAlign w:val="center"/>
                </w:tcPr>
                <w:p w14:paraId="0168B02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bCs/>
                      <w:color w:val="auto"/>
                      <w:spacing w:val="0"/>
                      <w:sz w:val="21"/>
                      <w:szCs w:val="21"/>
                      <w:vertAlign w:val="baseline"/>
                      <w:lang w:val="en-US" w:eastAsia="zh-CN"/>
                    </w:rPr>
                  </w:pPr>
                  <w:r>
                    <w:rPr>
                      <w:rFonts w:hint="default" w:ascii="Times New Roman" w:hAnsi="Times New Roman" w:cs="Times New Roman"/>
                      <w:bCs/>
                      <w:color w:val="auto"/>
                      <w:spacing w:val="0"/>
                      <w:sz w:val="21"/>
                      <w:szCs w:val="21"/>
                      <w:vertAlign w:val="baseline"/>
                      <w:lang w:val="en-US" w:eastAsia="zh-CN"/>
                    </w:rPr>
                    <w:t>900-21</w:t>
                  </w:r>
                  <w:r>
                    <w:rPr>
                      <w:rFonts w:hint="eastAsia" w:ascii="Times New Roman" w:hAnsi="Times New Roman" w:cs="Times New Roman"/>
                      <w:bCs/>
                      <w:color w:val="auto"/>
                      <w:spacing w:val="0"/>
                      <w:sz w:val="21"/>
                      <w:szCs w:val="21"/>
                      <w:vertAlign w:val="baseline"/>
                      <w:lang w:val="en-US" w:eastAsia="zh-CN"/>
                    </w:rPr>
                    <w:t>7</w:t>
                  </w:r>
                  <w:r>
                    <w:rPr>
                      <w:rFonts w:hint="default" w:ascii="Times New Roman" w:hAnsi="Times New Roman" w:cs="Times New Roman"/>
                      <w:bCs/>
                      <w:color w:val="auto"/>
                      <w:spacing w:val="0"/>
                      <w:sz w:val="21"/>
                      <w:szCs w:val="21"/>
                      <w:vertAlign w:val="baseline"/>
                      <w:lang w:val="en-US" w:eastAsia="zh-CN"/>
                    </w:rPr>
                    <w:t>-08</w:t>
                  </w:r>
                </w:p>
              </w:tc>
              <w:tc>
                <w:tcPr>
                  <w:tcW w:w="800" w:type="dxa"/>
                  <w:tcBorders>
                    <w:tl2br w:val="nil"/>
                    <w:tr2bl w:val="nil"/>
                  </w:tcBorders>
                  <w:noWrap w:val="0"/>
                  <w:vAlign w:val="center"/>
                </w:tcPr>
                <w:p w14:paraId="333C002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危险废物</w:t>
                  </w:r>
                </w:p>
              </w:tc>
              <w:tc>
                <w:tcPr>
                  <w:tcW w:w="730" w:type="dxa"/>
                  <w:tcBorders>
                    <w:tl2br w:val="nil"/>
                    <w:tr2bl w:val="nil"/>
                  </w:tcBorders>
                  <w:noWrap w:val="0"/>
                  <w:vAlign w:val="center"/>
                </w:tcPr>
                <w:p w14:paraId="6FC9043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半固态</w:t>
                  </w:r>
                </w:p>
              </w:tc>
              <w:tc>
                <w:tcPr>
                  <w:tcW w:w="750" w:type="dxa"/>
                  <w:tcBorders>
                    <w:tl2br w:val="nil"/>
                    <w:tr2bl w:val="nil"/>
                  </w:tcBorders>
                  <w:noWrap w:val="0"/>
                  <w:vAlign w:val="center"/>
                </w:tcPr>
                <w:p w14:paraId="210C5E7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T、I</w:t>
                  </w:r>
                </w:p>
              </w:tc>
              <w:tc>
                <w:tcPr>
                  <w:tcW w:w="831" w:type="dxa"/>
                  <w:tcBorders>
                    <w:tl2br w:val="nil"/>
                    <w:tr2bl w:val="nil"/>
                  </w:tcBorders>
                  <w:noWrap w:val="0"/>
                  <w:vAlign w:val="center"/>
                </w:tcPr>
                <w:p w14:paraId="73A8461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0.5</w:t>
                  </w:r>
                </w:p>
              </w:tc>
              <w:tc>
                <w:tcPr>
                  <w:tcW w:w="1246" w:type="dxa"/>
                  <w:tcBorders>
                    <w:tl2br w:val="nil"/>
                    <w:tr2bl w:val="nil"/>
                  </w:tcBorders>
                  <w:noWrap w:val="0"/>
                  <w:vAlign w:val="center"/>
                </w:tcPr>
                <w:p w14:paraId="37B3FEF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暂存在危废贮存点</w:t>
                  </w:r>
                </w:p>
              </w:tc>
              <w:tc>
                <w:tcPr>
                  <w:tcW w:w="1342" w:type="dxa"/>
                  <w:tcBorders>
                    <w:tl2br w:val="nil"/>
                    <w:tr2bl w:val="nil"/>
                  </w:tcBorders>
                  <w:noWrap w:val="0"/>
                  <w:vAlign w:val="center"/>
                </w:tcPr>
                <w:p w14:paraId="46BDF57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定期委托有资质单位处置</w:t>
                  </w:r>
                </w:p>
              </w:tc>
            </w:tr>
          </w:tbl>
          <w:p w14:paraId="7348EF61">
            <w:pPr>
              <w:keepNext w:val="0"/>
              <w:keepLines w:val="0"/>
              <w:widowControl w:val="0"/>
              <w:suppressLineNumbers w:val="0"/>
              <w:spacing w:before="0" w:beforeLines="0" w:beforeAutospacing="0" w:after="0" w:afterLines="0" w:afterAutospacing="0" w:line="360" w:lineRule="auto"/>
              <w:ind w:left="0" w:leftChars="0" w:right="0" w:firstLine="480" w:firstLineChars="200"/>
              <w:jc w:val="both"/>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（4）危险废物管理要求</w:t>
            </w:r>
          </w:p>
          <w:p w14:paraId="1F8E0776">
            <w:pPr>
              <w:keepNext w:val="0"/>
              <w:keepLines w:val="0"/>
              <w:widowControl w:val="0"/>
              <w:suppressLineNumbers w:val="0"/>
              <w:spacing w:before="0" w:beforeLines="0" w:beforeAutospacing="0" w:after="0" w:afterLines="0" w:afterAutospacing="0" w:line="360" w:lineRule="auto"/>
              <w:ind w:left="0" w:leftChars="0" w:right="0" w:firstLine="480" w:firstLineChars="200"/>
              <w:jc w:val="both"/>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①收集</w:t>
            </w:r>
          </w:p>
          <w:p w14:paraId="026A9497">
            <w:pPr>
              <w:keepNext w:val="0"/>
              <w:keepLines w:val="0"/>
              <w:widowControl w:val="0"/>
              <w:suppressLineNumbers w:val="0"/>
              <w:spacing w:before="0" w:beforeLines="0" w:beforeAutospacing="0" w:after="0" w:afterLines="0" w:afterAutospacing="0" w:line="360" w:lineRule="auto"/>
              <w:ind w:left="0" w:leftChars="0" w:right="0" w:firstLine="480" w:firstLineChars="200"/>
              <w:jc w:val="both"/>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根据《危险废物收集 贮存 运输技术规范》（HJ2025-2012）中相关规定，本项目在危险废物产生源头应做好分类工作，并在危险废物收集、贮存、运输时按腐蚀性、毒性、易燃性、反应性和感染性等危险特性对废物进行分类、包装并设置相应的标志及标签。如遇贮存危废容器破裂，应及时清理危废并更换贮存容器。</w:t>
            </w:r>
          </w:p>
          <w:p w14:paraId="1C088D47">
            <w:pPr>
              <w:keepNext w:val="0"/>
              <w:keepLines w:val="0"/>
              <w:widowControl w:val="0"/>
              <w:suppressLineNumbers w:val="0"/>
              <w:spacing w:before="0" w:beforeLines="0" w:beforeAutospacing="0" w:after="0" w:afterLines="0" w:afterAutospacing="0" w:line="360" w:lineRule="auto"/>
              <w:ind w:left="0" w:leftChars="0" w:right="0"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②贮存</w:t>
            </w:r>
          </w:p>
          <w:p w14:paraId="7C56ECC7">
            <w:pPr>
              <w:keepNext w:val="0"/>
              <w:keepLines w:val="0"/>
              <w:widowControl w:val="0"/>
              <w:suppressLineNumbers w:val="0"/>
              <w:spacing w:before="0" w:beforeLines="0" w:beforeAutospacing="0" w:after="0" w:afterLines="0" w:afterAutospacing="0" w:line="360" w:lineRule="auto"/>
              <w:ind w:left="0" w:leftChars="0" w:right="0" w:firstLine="480" w:firstLineChars="200"/>
              <w:jc w:val="both"/>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本项目危废暂存于危险废物贮存点内，根据《危险废物贮存污染控制标准》（GB18597-2023）的要求，本项目危险废物贮存点应满足以下要求：</w:t>
            </w:r>
          </w:p>
          <w:p w14:paraId="6CBAA6CB">
            <w:pPr>
              <w:keepNext w:val="0"/>
              <w:keepLines w:val="0"/>
              <w:widowControl w:val="0"/>
              <w:suppressLineNumbers w:val="0"/>
              <w:spacing w:before="0" w:beforeLines="0" w:beforeAutospacing="0" w:after="0" w:afterLines="0" w:afterAutospacing="0" w:line="360" w:lineRule="auto"/>
              <w:ind w:left="0" w:leftChars="0" w:right="0" w:firstLine="480" w:firstLineChars="200"/>
              <w:jc w:val="both"/>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a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m厚黏土层（渗透系数不大于10</w:t>
            </w:r>
            <w:r>
              <w:rPr>
                <w:rFonts w:hint="eastAsia" w:ascii="Times New Roman" w:hAnsi="Times New Roman" w:eastAsia="宋体" w:cs="Times New Roman"/>
                <w:color w:val="auto"/>
                <w:kern w:val="2"/>
                <w:sz w:val="24"/>
                <w:szCs w:val="24"/>
                <w:highlight w:val="none"/>
                <w:vertAlign w:val="superscript"/>
                <w:lang w:val="en-US" w:eastAsia="zh-CN" w:bidi="ar-SA"/>
              </w:rPr>
              <w:t>-7</w:t>
            </w:r>
            <w:r>
              <w:rPr>
                <w:rFonts w:hint="eastAsia" w:ascii="Times New Roman" w:hAnsi="Times New Roman" w:eastAsia="宋体" w:cs="Times New Roman"/>
                <w:color w:val="auto"/>
                <w:kern w:val="2"/>
                <w:sz w:val="24"/>
                <w:szCs w:val="24"/>
                <w:highlight w:val="none"/>
                <w:lang w:val="en-US" w:eastAsia="zh-CN" w:bidi="ar-SA"/>
              </w:rPr>
              <w:t>cm/s），或至少2mm厚高密度聚乙烯膜等人工防渗材料（渗透系数不大于10</w:t>
            </w:r>
            <w:r>
              <w:rPr>
                <w:rFonts w:hint="eastAsia" w:ascii="Times New Roman" w:hAnsi="Times New Roman" w:eastAsia="宋体" w:cs="Times New Roman"/>
                <w:color w:val="auto"/>
                <w:kern w:val="2"/>
                <w:sz w:val="24"/>
                <w:szCs w:val="24"/>
                <w:highlight w:val="none"/>
                <w:vertAlign w:val="superscript"/>
                <w:lang w:val="en-US" w:eastAsia="zh-CN" w:bidi="ar-SA"/>
              </w:rPr>
              <w:t>-10</w:t>
            </w:r>
            <w:r>
              <w:rPr>
                <w:rFonts w:hint="eastAsia" w:ascii="Times New Roman" w:hAnsi="Times New Roman" w:eastAsia="宋体" w:cs="Times New Roman"/>
                <w:color w:val="auto"/>
                <w:kern w:val="2"/>
                <w:sz w:val="24"/>
                <w:szCs w:val="24"/>
                <w:highlight w:val="none"/>
                <w:lang w:val="en-US" w:eastAsia="zh-CN" w:bidi="ar-SA"/>
              </w:rPr>
              <w:t>cm/s），或其他防渗性能等效的材料。</w:t>
            </w:r>
          </w:p>
          <w:p w14:paraId="4FC529EA">
            <w:pPr>
              <w:keepNext w:val="0"/>
              <w:keepLines w:val="0"/>
              <w:widowControl w:val="0"/>
              <w:suppressLineNumbers w:val="0"/>
              <w:spacing w:before="0" w:beforeLines="0" w:beforeAutospacing="0" w:after="0" w:afterLines="0" w:afterAutospacing="0" w:line="360" w:lineRule="auto"/>
              <w:ind w:left="0" w:leftChars="0" w:right="0" w:firstLine="480" w:firstLineChars="200"/>
              <w:jc w:val="both"/>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b地面、墙面裙脚、堵截泄漏的围堰、接触危险废物的隔板和墙体等应采用坚固的材料建造，表面无裂缝。</w:t>
            </w:r>
          </w:p>
          <w:p w14:paraId="0267C590">
            <w:pPr>
              <w:keepNext w:val="0"/>
              <w:keepLines w:val="0"/>
              <w:widowControl w:val="0"/>
              <w:suppressLineNumbers w:val="0"/>
              <w:spacing w:before="0" w:beforeLines="0" w:beforeAutospacing="0" w:after="0" w:afterLines="0" w:afterAutospacing="0" w:line="360" w:lineRule="auto"/>
              <w:ind w:left="0" w:leftChars="0" w:right="0" w:firstLine="480" w:firstLineChars="200"/>
              <w:jc w:val="both"/>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c采取双人双锁管理制度，防止无关人员进入。</w:t>
            </w:r>
          </w:p>
          <w:p w14:paraId="09DDD3CA">
            <w:pPr>
              <w:keepNext w:val="0"/>
              <w:keepLines w:val="0"/>
              <w:widowControl w:val="0"/>
              <w:suppressLineNumbers w:val="0"/>
              <w:spacing w:before="0" w:beforeLines="0" w:beforeAutospacing="0" w:after="0" w:afterLines="0" w:afterAutospacing="0" w:line="360" w:lineRule="auto"/>
              <w:ind w:left="0" w:leftChars="0" w:right="0" w:firstLine="480" w:firstLineChars="200"/>
              <w:jc w:val="both"/>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③转运</w:t>
            </w:r>
          </w:p>
          <w:p w14:paraId="2C9C9D1F">
            <w:pPr>
              <w:keepNext w:val="0"/>
              <w:keepLines w:val="0"/>
              <w:widowControl w:val="0"/>
              <w:suppressLineNumbers w:val="0"/>
              <w:spacing w:before="0" w:beforeLines="0" w:beforeAutospacing="0" w:after="0" w:afterLines="0" w:afterAutospacing="0" w:line="360" w:lineRule="auto"/>
              <w:ind w:left="0" w:leftChars="0" w:right="0" w:firstLine="480" w:firstLineChars="200"/>
              <w:jc w:val="both"/>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本项目委托具备危险废物运输资质的公司承担危险废物收运任务，采用专用危险废物运输车辆进行密闭运输，运输路线尽量避开人口密集区、饮用水源保护区等环境敏感区。</w:t>
            </w:r>
          </w:p>
          <w:p w14:paraId="2CD7A4A7">
            <w:pPr>
              <w:keepNext w:val="0"/>
              <w:keepLines w:val="0"/>
              <w:widowControl w:val="0"/>
              <w:suppressLineNumbers w:val="0"/>
              <w:spacing w:before="0" w:beforeLines="0" w:beforeAutospacing="0" w:after="0" w:afterLines="0" w:afterAutospacing="0" w:line="360" w:lineRule="auto"/>
              <w:ind w:left="0" w:leftChars="0" w:right="0" w:firstLine="480" w:firstLineChars="200"/>
              <w:jc w:val="both"/>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④危险废物贮存点环境管理要求</w:t>
            </w:r>
          </w:p>
          <w:p w14:paraId="13FFB7CE">
            <w:pPr>
              <w:keepNext w:val="0"/>
              <w:keepLines w:val="0"/>
              <w:widowControl w:val="0"/>
              <w:suppressLineNumbers w:val="0"/>
              <w:spacing w:before="0" w:beforeLines="0" w:beforeAutospacing="0" w:after="0" w:afterLines="0" w:afterAutospacing="0" w:line="360" w:lineRule="auto"/>
              <w:ind w:left="0" w:leftChars="0" w:right="0"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a 贮存点应具有固定的区域边界，并应采取与其他区域进行隔离的措施。</w:t>
            </w:r>
          </w:p>
          <w:p w14:paraId="7B2DD683">
            <w:pPr>
              <w:keepNext w:val="0"/>
              <w:keepLines w:val="0"/>
              <w:widowControl w:val="0"/>
              <w:suppressLineNumbers w:val="0"/>
              <w:spacing w:before="0" w:beforeLines="0" w:beforeAutospacing="0" w:after="0" w:afterLines="0" w:afterAutospacing="0" w:line="360" w:lineRule="auto"/>
              <w:ind w:left="0" w:leftChars="0" w:right="0"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b</w:t>
            </w:r>
            <w:r>
              <w:rPr>
                <w:rFonts w:hint="default" w:ascii="Times New Roman" w:hAnsi="Times New Roman" w:eastAsia="宋体" w:cs="Times New Roman"/>
                <w:color w:val="auto"/>
                <w:kern w:val="2"/>
                <w:sz w:val="24"/>
                <w:szCs w:val="24"/>
                <w:highlight w:val="none"/>
                <w:lang w:val="en-US" w:eastAsia="zh-CN" w:bidi="ar-SA"/>
              </w:rPr>
              <w:t xml:space="preserve"> 贮存点应采取防风、防雨、防晒和防止危险废物流失、扬散等措施。</w:t>
            </w:r>
          </w:p>
          <w:p w14:paraId="3AA92000">
            <w:pPr>
              <w:keepNext w:val="0"/>
              <w:keepLines w:val="0"/>
              <w:widowControl w:val="0"/>
              <w:suppressLineNumbers w:val="0"/>
              <w:spacing w:before="0" w:beforeLines="0" w:beforeAutospacing="0" w:after="0" w:afterLines="0" w:afterAutospacing="0" w:line="360" w:lineRule="auto"/>
              <w:ind w:left="0" w:leftChars="0" w:right="0"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c</w:t>
            </w:r>
            <w:r>
              <w:rPr>
                <w:rFonts w:hint="default" w:ascii="Times New Roman" w:hAnsi="Times New Roman" w:eastAsia="宋体" w:cs="Times New Roman"/>
                <w:color w:val="auto"/>
                <w:kern w:val="2"/>
                <w:sz w:val="24"/>
                <w:szCs w:val="24"/>
                <w:highlight w:val="none"/>
                <w:lang w:val="en-US" w:eastAsia="zh-CN" w:bidi="ar-SA"/>
              </w:rPr>
              <w:t>贮存点贮存的危险废物应置于容器或包装物中，不应直接散堆。</w:t>
            </w:r>
          </w:p>
          <w:p w14:paraId="29002004">
            <w:pPr>
              <w:keepNext w:val="0"/>
              <w:keepLines w:val="0"/>
              <w:widowControl w:val="0"/>
              <w:suppressLineNumbers w:val="0"/>
              <w:spacing w:before="0" w:beforeLines="0" w:beforeAutospacing="0" w:after="0" w:afterLines="0" w:afterAutospacing="0" w:line="360" w:lineRule="auto"/>
              <w:ind w:left="0" w:leftChars="0" w:right="0"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d</w:t>
            </w:r>
            <w:r>
              <w:rPr>
                <w:rFonts w:hint="default" w:ascii="Times New Roman" w:hAnsi="Times New Roman" w:eastAsia="宋体" w:cs="Times New Roman"/>
                <w:color w:val="auto"/>
                <w:kern w:val="2"/>
                <w:sz w:val="24"/>
                <w:szCs w:val="24"/>
                <w:highlight w:val="none"/>
                <w:lang w:val="en-US" w:eastAsia="zh-CN" w:bidi="ar-SA"/>
              </w:rPr>
              <w:t xml:space="preserve"> 贮存点应根据危险废物的形态、物理化学性质、包装形式等，采取防渗、防漏等污染防治措施或采用具有相应功能的装置。</w:t>
            </w:r>
          </w:p>
          <w:p w14:paraId="28327CC5">
            <w:pPr>
              <w:keepNext w:val="0"/>
              <w:keepLines w:val="0"/>
              <w:widowControl w:val="0"/>
              <w:suppressLineNumbers w:val="0"/>
              <w:spacing w:before="0" w:beforeLines="0" w:beforeAutospacing="0" w:after="0" w:afterLines="0" w:afterAutospacing="0" w:line="360" w:lineRule="auto"/>
              <w:ind w:left="0" w:leftChars="0" w:right="0" w:firstLine="480" w:firstLineChars="200"/>
              <w:jc w:val="both"/>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e</w:t>
            </w:r>
            <w:r>
              <w:rPr>
                <w:rFonts w:hint="default" w:ascii="Times New Roman" w:hAnsi="Times New Roman" w:eastAsia="宋体" w:cs="Times New Roman"/>
                <w:color w:val="auto"/>
                <w:kern w:val="2"/>
                <w:sz w:val="24"/>
                <w:szCs w:val="24"/>
                <w:highlight w:val="none"/>
                <w:lang w:val="en-US" w:eastAsia="zh-CN" w:bidi="ar-SA"/>
              </w:rPr>
              <w:t xml:space="preserve"> 贮存点应及时清运贮存的危险废物，实时贮存量不应超过3吨。</w:t>
            </w:r>
          </w:p>
          <w:p w14:paraId="50985E88">
            <w:pPr>
              <w:keepNext w:val="0"/>
              <w:keepLines w:val="0"/>
              <w:widowControl w:val="0"/>
              <w:suppressLineNumbers w:val="0"/>
              <w:spacing w:before="0" w:beforeLines="0" w:beforeAutospacing="0" w:after="0" w:afterLines="0" w:afterAutospacing="0" w:line="360" w:lineRule="auto"/>
              <w:ind w:left="0" w:leftChars="0" w:right="0" w:firstLine="480" w:firstLineChars="200"/>
              <w:jc w:val="both"/>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⑤危险废物管理计划和管理台账</w:t>
            </w:r>
          </w:p>
          <w:p w14:paraId="293A93FD">
            <w:pPr>
              <w:keepNext w:val="0"/>
              <w:keepLines w:val="0"/>
              <w:widowControl w:val="0"/>
              <w:suppressLineNumbers w:val="0"/>
              <w:spacing w:before="0" w:beforeLines="0" w:beforeAutospacing="0" w:after="0" w:afterLines="0" w:afterAutospacing="0" w:line="360" w:lineRule="auto"/>
              <w:ind w:left="0" w:leftChars="0" w:right="0" w:firstLine="480" w:firstLineChars="200"/>
              <w:jc w:val="both"/>
              <w:rPr>
                <w:rFonts w:hint="eastAsia" w:ascii="Times New Roman" w:hAnsi="Times New Roman" w:cs="Times New Roman"/>
                <w:b/>
                <w:bCs w:val="0"/>
                <w:color w:val="auto"/>
                <w:spacing w:val="0"/>
                <w:sz w:val="24"/>
                <w:szCs w:val="24"/>
                <w:lang w:val="en-US" w:eastAsia="zh-CN"/>
              </w:rPr>
            </w:pPr>
            <w:r>
              <w:rPr>
                <w:rFonts w:hint="eastAsia" w:ascii="Times New Roman" w:hAnsi="Times New Roman" w:eastAsia="宋体" w:cs="Times New Roman"/>
                <w:color w:val="auto"/>
                <w:kern w:val="2"/>
                <w:sz w:val="24"/>
                <w:szCs w:val="24"/>
                <w:highlight w:val="none"/>
                <w:lang w:val="en-US" w:eastAsia="zh-CN" w:bidi="ar-SA"/>
              </w:rPr>
              <w:t>根据《危险废物管理计划和管理台账制定技术导则》（HJ1259-2022），要求建设单位制定危险废物管理计划，内容应当包括减少危险废物产生量和降低危险废物危害性的措施以及危险废物贮存、利用、处置措施；建立危险废物管理台账，如实记录危险废物的种类、产生量、流向、贮存、利用、处置等有关信息；通过国家危险废物信息管理系统向所在地生态环境主管部门备案危险废物管理计划，申报危险废物有关资料。</w:t>
            </w:r>
          </w:p>
          <w:p w14:paraId="5FDB65D8">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bCs/>
                <w:color w:val="auto"/>
                <w:spacing w:val="0"/>
                <w:sz w:val="24"/>
                <w:szCs w:val="24"/>
                <w:lang w:val="en-US" w:eastAsia="zh-CN"/>
              </w:rPr>
            </w:pPr>
            <w:r>
              <w:rPr>
                <w:rFonts w:hint="eastAsia" w:ascii="Times New Roman" w:hAnsi="Times New Roman" w:cs="Times New Roman"/>
                <w:b/>
                <w:bCs w:val="0"/>
                <w:color w:val="auto"/>
                <w:spacing w:val="0"/>
                <w:sz w:val="24"/>
                <w:szCs w:val="24"/>
                <w:lang w:val="en-US" w:eastAsia="zh-CN"/>
              </w:rPr>
              <w:t>5 地下水、土壤影响和保护措施</w:t>
            </w:r>
          </w:p>
          <w:p w14:paraId="06B096BF">
            <w:pPr>
              <w:spacing w:line="360" w:lineRule="auto"/>
              <w:ind w:firstLine="480" w:firstLineChars="200"/>
              <w:rPr>
                <w:color w:val="auto"/>
                <w:sz w:val="24"/>
                <w:shd w:val="clear" w:color="auto" w:fill="FFFFFF"/>
              </w:rPr>
            </w:pPr>
            <w:bookmarkStart w:id="4" w:name="_Toc27261"/>
            <w:r>
              <w:rPr>
                <w:color w:val="auto"/>
                <w:sz w:val="24"/>
                <w:shd w:val="clear" w:color="auto" w:fill="FFFFFF"/>
              </w:rPr>
              <w:t>本项目运营期间</w:t>
            </w:r>
            <w:r>
              <w:rPr>
                <w:rFonts w:hint="eastAsia"/>
                <w:color w:val="auto"/>
                <w:sz w:val="24"/>
                <w:shd w:val="clear" w:color="auto" w:fill="FFFFFF"/>
                <w:lang w:val="en-US" w:eastAsia="zh-CN"/>
              </w:rPr>
              <w:t>洗车废水和调配场收集的雨水</w:t>
            </w:r>
            <w:r>
              <w:rPr>
                <w:color w:val="auto"/>
                <w:sz w:val="24"/>
                <w:shd w:val="clear" w:color="auto" w:fill="FFFFFF"/>
              </w:rPr>
              <w:t>排入</w:t>
            </w:r>
            <w:r>
              <w:rPr>
                <w:rFonts w:hint="eastAsia"/>
                <w:color w:val="auto"/>
                <w:sz w:val="24"/>
                <w:shd w:val="clear" w:color="auto" w:fill="FFFFFF"/>
              </w:rPr>
              <w:t>化</w:t>
            </w:r>
            <w:r>
              <w:rPr>
                <w:rFonts w:hint="eastAsia"/>
                <w:color w:val="auto"/>
                <w:sz w:val="24"/>
                <w:shd w:val="clear" w:color="auto" w:fill="FFFFFF"/>
                <w:lang w:val="en-US" w:eastAsia="zh-CN"/>
              </w:rPr>
              <w:t>沉淀池处理后回用</w:t>
            </w:r>
            <w:r>
              <w:rPr>
                <w:rFonts w:hint="eastAsia"/>
                <w:color w:val="auto"/>
                <w:sz w:val="24"/>
                <w:shd w:val="clear" w:color="auto" w:fill="FFFFFF"/>
              </w:rPr>
              <w:t>；</w:t>
            </w:r>
            <w:r>
              <w:rPr>
                <w:rFonts w:hint="eastAsia"/>
                <w:color w:val="auto"/>
                <w:sz w:val="24"/>
                <w:shd w:val="clear" w:color="auto" w:fill="FFFFFF"/>
                <w:lang w:val="en-US" w:eastAsia="zh-CN"/>
              </w:rPr>
              <w:t>废机油</w:t>
            </w:r>
            <w:r>
              <w:rPr>
                <w:rFonts w:hint="eastAsia"/>
                <w:color w:val="auto"/>
                <w:sz w:val="24"/>
                <w:shd w:val="clear" w:color="auto" w:fill="FFFFFF"/>
              </w:rPr>
              <w:t>暂存在危险废物贮存点内，定期交由有资质的单位清运处置。</w:t>
            </w:r>
            <w:r>
              <w:rPr>
                <w:color w:val="auto"/>
                <w:sz w:val="24"/>
                <w:shd w:val="clear" w:color="auto" w:fill="FFFFFF"/>
              </w:rPr>
              <w:t>项目产排污与地下水、土壤不产生联系，正常工况无地下水、土壤污染途径</w:t>
            </w:r>
            <w:r>
              <w:rPr>
                <w:rFonts w:hint="eastAsia"/>
                <w:color w:val="auto"/>
                <w:sz w:val="24"/>
                <w:shd w:val="clear" w:color="auto" w:fill="FFFFFF"/>
              </w:rPr>
              <w:t>，</w:t>
            </w:r>
            <w:r>
              <w:rPr>
                <w:color w:val="auto"/>
                <w:sz w:val="24"/>
                <w:shd w:val="clear" w:color="auto" w:fill="FFFFFF"/>
              </w:rPr>
              <w:t>不会对地下水、土壤环境质量造成</w:t>
            </w:r>
            <w:r>
              <w:rPr>
                <w:rFonts w:hint="eastAsia"/>
                <w:color w:val="auto"/>
                <w:sz w:val="24"/>
                <w:shd w:val="clear" w:color="auto" w:fill="FFFFFF"/>
              </w:rPr>
              <w:t>明显</w:t>
            </w:r>
            <w:r>
              <w:rPr>
                <w:color w:val="auto"/>
                <w:sz w:val="24"/>
                <w:shd w:val="clear" w:color="auto" w:fill="FFFFFF"/>
              </w:rPr>
              <w:t>不利影响。</w:t>
            </w:r>
            <w:r>
              <w:rPr>
                <w:rFonts w:ascii="宋体" w:hAnsi="宋体" w:eastAsia="宋体" w:cs="宋体"/>
                <w:color w:val="auto"/>
                <w:sz w:val="24"/>
                <w:szCs w:val="24"/>
              </w:rPr>
              <w:t>但在设施破损等非正常工况条件下，存在污染物下渗污染土壤及地下水的潜在环境风险，具体污染途径识别如下：</w:t>
            </w:r>
          </w:p>
          <w:p w14:paraId="386E698D">
            <w:pPr>
              <w:spacing w:line="360" w:lineRule="auto"/>
              <w:ind w:firstLine="480" w:firstLineChars="200"/>
              <w:rPr>
                <w:rFonts w:hint="eastAsia"/>
                <w:color w:val="auto"/>
                <w:sz w:val="24"/>
                <w:shd w:val="clear" w:color="auto" w:fill="FFFFFF"/>
              </w:rPr>
            </w:pPr>
            <w:r>
              <w:rPr>
                <w:rFonts w:hint="eastAsia"/>
                <w:color w:val="auto"/>
                <w:sz w:val="24"/>
                <w:shd w:val="clear" w:color="auto" w:fill="FFFFFF"/>
              </w:rPr>
              <w:t>1、污染途径</w:t>
            </w:r>
          </w:p>
          <w:p w14:paraId="791F6AE4">
            <w:pPr>
              <w:spacing w:line="360" w:lineRule="auto"/>
              <w:ind w:firstLine="480" w:firstLineChars="200"/>
              <w:rPr>
                <w:rFonts w:hint="eastAsia"/>
                <w:color w:val="auto"/>
                <w:sz w:val="24"/>
                <w:shd w:val="clear" w:color="auto" w:fill="FFFFFF"/>
              </w:rPr>
            </w:pPr>
            <w:r>
              <w:rPr>
                <w:rFonts w:hint="eastAsia"/>
                <w:color w:val="auto"/>
                <w:sz w:val="24"/>
                <w:shd w:val="clear" w:color="auto" w:fill="FFFFFF"/>
              </w:rPr>
              <w:t>本项目非正常工况下玻璃钢化粪池破损，导致</w:t>
            </w:r>
            <w:r>
              <w:rPr>
                <w:rFonts w:hint="eastAsia"/>
                <w:color w:val="auto"/>
                <w:sz w:val="24"/>
                <w:shd w:val="clear" w:color="auto" w:fill="FFFFFF"/>
                <w:lang w:val="en-US" w:eastAsia="zh-CN"/>
              </w:rPr>
              <w:t>废水</w:t>
            </w:r>
            <w:r>
              <w:rPr>
                <w:rFonts w:hint="eastAsia"/>
                <w:color w:val="auto"/>
                <w:sz w:val="24"/>
                <w:shd w:val="clear" w:color="auto" w:fill="FFFFFF"/>
              </w:rPr>
              <w:t>渗入地下，污染地下水及土壤环境；</w:t>
            </w:r>
            <w:r>
              <w:rPr>
                <w:rFonts w:hint="eastAsia"/>
                <w:color w:val="auto"/>
                <w:sz w:val="24"/>
                <w:shd w:val="clear" w:color="auto" w:fill="FFFFFF"/>
                <w:lang w:val="en-US" w:eastAsia="zh-CN"/>
              </w:rPr>
              <w:t>废机油</w:t>
            </w:r>
            <w:r>
              <w:rPr>
                <w:rFonts w:hint="eastAsia"/>
                <w:color w:val="auto"/>
                <w:sz w:val="24"/>
                <w:shd w:val="clear" w:color="auto" w:fill="FFFFFF"/>
              </w:rPr>
              <w:t>桶破损导致</w:t>
            </w:r>
            <w:r>
              <w:rPr>
                <w:rFonts w:hint="eastAsia"/>
                <w:color w:val="auto"/>
                <w:sz w:val="24"/>
                <w:shd w:val="clear" w:color="auto" w:fill="FFFFFF"/>
                <w:lang w:eastAsia="zh-CN"/>
              </w:rPr>
              <w:t>废机油</w:t>
            </w:r>
            <w:r>
              <w:rPr>
                <w:rFonts w:hint="eastAsia"/>
                <w:color w:val="auto"/>
                <w:sz w:val="24"/>
                <w:shd w:val="clear" w:color="auto" w:fill="FFFFFF"/>
              </w:rPr>
              <w:t>泄漏，同时危险废物贮存点防渗层破损，泄漏的</w:t>
            </w:r>
            <w:r>
              <w:rPr>
                <w:rFonts w:hint="eastAsia"/>
                <w:color w:val="auto"/>
                <w:sz w:val="24"/>
                <w:shd w:val="clear" w:color="auto" w:fill="FFFFFF"/>
                <w:lang w:eastAsia="zh-CN"/>
              </w:rPr>
              <w:t>废机油</w:t>
            </w:r>
            <w:r>
              <w:rPr>
                <w:rFonts w:hint="eastAsia"/>
                <w:color w:val="auto"/>
                <w:sz w:val="24"/>
                <w:shd w:val="clear" w:color="auto" w:fill="FFFFFF"/>
              </w:rPr>
              <w:t>渗入土壤，污染地下水及土壤环境。</w:t>
            </w:r>
          </w:p>
          <w:p w14:paraId="1C6D2F01">
            <w:pPr>
              <w:spacing w:line="360" w:lineRule="auto"/>
              <w:ind w:firstLine="480" w:firstLineChars="200"/>
              <w:rPr>
                <w:rFonts w:hint="eastAsia"/>
                <w:color w:val="auto"/>
                <w:sz w:val="24"/>
                <w:shd w:val="clear" w:color="auto" w:fill="FFFFFF"/>
              </w:rPr>
            </w:pPr>
            <w:r>
              <w:rPr>
                <w:rFonts w:hint="eastAsia"/>
                <w:color w:val="auto"/>
                <w:sz w:val="24"/>
                <w:shd w:val="clear" w:color="auto" w:fill="FFFFFF"/>
              </w:rPr>
              <w:t>2、防控措施</w:t>
            </w:r>
          </w:p>
          <w:p w14:paraId="6ABB35BB">
            <w:pPr>
              <w:spacing w:line="360" w:lineRule="auto"/>
              <w:ind w:firstLine="480" w:firstLineChars="200"/>
              <w:rPr>
                <w:color w:val="auto"/>
                <w:sz w:val="24"/>
              </w:rPr>
            </w:pPr>
            <w:r>
              <w:rPr>
                <w:rFonts w:cs="宋体"/>
                <w:color w:val="auto"/>
                <w:sz w:val="24"/>
              </w:rPr>
              <w:t>地下水、土壤污染防护措施主要以防止污染物下渗进入土壤和浅层地下水，因此，防护措施以场地防渗为主。根据本项目所在区域水文地质情况及项目的特点，项目厂区应实行分区防渗</w:t>
            </w:r>
            <w:r>
              <w:rPr>
                <w:rFonts w:hint="eastAsia" w:cs="宋体"/>
                <w:color w:val="auto"/>
                <w:sz w:val="24"/>
              </w:rPr>
              <w:t>，</w:t>
            </w:r>
            <w:r>
              <w:rPr>
                <w:rFonts w:cs="宋体"/>
                <w:color w:val="auto"/>
                <w:sz w:val="24"/>
              </w:rPr>
              <w:t>按不同影响程度将厂区划分为</w:t>
            </w:r>
            <w:r>
              <w:rPr>
                <w:rFonts w:hint="eastAsia" w:cs="宋体"/>
                <w:color w:val="auto"/>
                <w:sz w:val="24"/>
              </w:rPr>
              <w:t>重点防渗区、</w:t>
            </w:r>
            <w:r>
              <w:rPr>
                <w:rFonts w:cs="宋体"/>
                <w:color w:val="auto"/>
                <w:sz w:val="24"/>
              </w:rPr>
              <w:t>一般防渗区和简单防渗区。</w:t>
            </w:r>
          </w:p>
          <w:p w14:paraId="28EE68B7">
            <w:pPr>
              <w:spacing w:line="360" w:lineRule="auto"/>
              <w:ind w:firstLine="480" w:firstLineChars="200"/>
              <w:jc w:val="left"/>
              <w:rPr>
                <w:color w:val="auto"/>
                <w:sz w:val="24"/>
                <w:szCs w:val="22"/>
              </w:rPr>
            </w:pPr>
            <w:r>
              <w:rPr>
                <w:rFonts w:hint="eastAsia"/>
                <w:color w:val="auto"/>
                <w:sz w:val="24"/>
                <w:szCs w:val="22"/>
              </w:rPr>
              <w:t>地下水污染防渗分区见表4-</w:t>
            </w:r>
            <w:r>
              <w:rPr>
                <w:rFonts w:hint="eastAsia"/>
                <w:color w:val="auto"/>
                <w:sz w:val="24"/>
                <w:szCs w:val="22"/>
                <w:lang w:val="en-US" w:eastAsia="zh-CN"/>
              </w:rPr>
              <w:t>7</w:t>
            </w:r>
            <w:r>
              <w:rPr>
                <w:rFonts w:hint="eastAsia"/>
                <w:color w:val="auto"/>
                <w:sz w:val="24"/>
                <w:szCs w:val="22"/>
              </w:rPr>
              <w:t>。</w:t>
            </w:r>
          </w:p>
          <w:p w14:paraId="1DC32F90">
            <w:pPr>
              <w:widowControl/>
              <w:jc w:val="center"/>
              <w:rPr>
                <w:rFonts w:hint="eastAsia"/>
                <w:b/>
                <w:color w:val="auto"/>
                <w:kern w:val="0"/>
                <w:szCs w:val="21"/>
                <w:lang w:bidi="ar"/>
              </w:rPr>
            </w:pPr>
          </w:p>
          <w:p w14:paraId="2CF37E2E">
            <w:pPr>
              <w:widowControl/>
              <w:jc w:val="center"/>
              <w:rPr>
                <w:rFonts w:hint="eastAsia"/>
                <w:b/>
                <w:color w:val="auto"/>
                <w:kern w:val="0"/>
                <w:szCs w:val="21"/>
                <w:lang w:bidi="ar"/>
              </w:rPr>
            </w:pPr>
            <w:r>
              <w:rPr>
                <w:rFonts w:hint="eastAsia"/>
                <w:b/>
                <w:color w:val="auto"/>
                <w:kern w:val="0"/>
                <w:szCs w:val="21"/>
                <w:lang w:bidi="ar"/>
              </w:rPr>
              <w:t>表4-</w:t>
            </w:r>
            <w:r>
              <w:rPr>
                <w:rFonts w:hint="eastAsia"/>
                <w:b/>
                <w:color w:val="auto"/>
                <w:kern w:val="0"/>
                <w:szCs w:val="21"/>
                <w:lang w:val="en-US" w:eastAsia="zh-CN" w:bidi="ar"/>
              </w:rPr>
              <w:t>7</w:t>
            </w:r>
            <w:r>
              <w:rPr>
                <w:rFonts w:hint="eastAsia"/>
                <w:b/>
                <w:color w:val="auto"/>
                <w:kern w:val="0"/>
                <w:szCs w:val="21"/>
                <w:lang w:bidi="ar"/>
              </w:rPr>
              <w:t xml:space="preserve">   地下水污染防渗分区参照表</w:t>
            </w:r>
          </w:p>
          <w:tbl>
            <w:tblPr>
              <w:tblStyle w:val="27"/>
              <w:tblW w:w="4996"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346"/>
              <w:gridCol w:w="1390"/>
              <w:gridCol w:w="1141"/>
              <w:gridCol w:w="1794"/>
              <w:gridCol w:w="2269"/>
            </w:tblGrid>
            <w:tr w14:paraId="3EDFAC8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848" w:type="pct"/>
                  <w:tcBorders>
                    <w:bottom w:val="single" w:color="000000" w:sz="12" w:space="0"/>
                  </w:tcBorders>
                  <w:noWrap w:val="0"/>
                  <w:vAlign w:val="center"/>
                </w:tcPr>
                <w:p w14:paraId="7E241223">
                  <w:pPr>
                    <w:autoSpaceDE w:val="0"/>
                    <w:autoSpaceDN w:val="0"/>
                    <w:adjustRightInd w:val="0"/>
                    <w:jc w:val="center"/>
                    <w:rPr>
                      <w:b/>
                      <w:bCs/>
                      <w:color w:val="auto"/>
                      <w:szCs w:val="20"/>
                    </w:rPr>
                  </w:pPr>
                  <w:r>
                    <w:rPr>
                      <w:rFonts w:hint="eastAsia"/>
                      <w:b/>
                      <w:bCs/>
                      <w:color w:val="auto"/>
                      <w:szCs w:val="20"/>
                    </w:rPr>
                    <w:t>防渗区域</w:t>
                  </w:r>
                </w:p>
              </w:tc>
              <w:tc>
                <w:tcPr>
                  <w:tcW w:w="875" w:type="pct"/>
                  <w:tcBorders>
                    <w:bottom w:val="single" w:color="000000" w:sz="12" w:space="0"/>
                  </w:tcBorders>
                  <w:noWrap w:val="0"/>
                  <w:vAlign w:val="center"/>
                </w:tcPr>
                <w:p w14:paraId="37FC49C4">
                  <w:pPr>
                    <w:autoSpaceDE w:val="0"/>
                    <w:autoSpaceDN w:val="0"/>
                    <w:adjustRightInd w:val="0"/>
                    <w:jc w:val="center"/>
                    <w:rPr>
                      <w:b/>
                      <w:bCs/>
                      <w:color w:val="auto"/>
                      <w:szCs w:val="20"/>
                    </w:rPr>
                  </w:pPr>
                  <w:r>
                    <w:rPr>
                      <w:rFonts w:hint="eastAsia"/>
                      <w:b/>
                      <w:bCs/>
                      <w:color w:val="auto"/>
                      <w:szCs w:val="20"/>
                    </w:rPr>
                    <w:t>天然包气带防污性能</w:t>
                  </w:r>
                </w:p>
              </w:tc>
              <w:tc>
                <w:tcPr>
                  <w:tcW w:w="718" w:type="pct"/>
                  <w:tcBorders>
                    <w:bottom w:val="single" w:color="000000" w:sz="12" w:space="0"/>
                  </w:tcBorders>
                  <w:noWrap w:val="0"/>
                  <w:vAlign w:val="center"/>
                </w:tcPr>
                <w:p w14:paraId="2D46537C">
                  <w:pPr>
                    <w:autoSpaceDE w:val="0"/>
                    <w:autoSpaceDN w:val="0"/>
                    <w:adjustRightInd w:val="0"/>
                    <w:jc w:val="center"/>
                    <w:rPr>
                      <w:b/>
                      <w:bCs/>
                      <w:color w:val="auto"/>
                      <w:szCs w:val="20"/>
                    </w:rPr>
                  </w:pPr>
                  <w:r>
                    <w:rPr>
                      <w:rFonts w:hint="eastAsia"/>
                      <w:b/>
                      <w:bCs/>
                      <w:color w:val="auto"/>
                      <w:szCs w:val="20"/>
                    </w:rPr>
                    <w:t>污染控制难易程度</w:t>
                  </w:r>
                </w:p>
              </w:tc>
              <w:tc>
                <w:tcPr>
                  <w:tcW w:w="1129" w:type="pct"/>
                  <w:tcBorders>
                    <w:bottom w:val="single" w:color="000000" w:sz="12" w:space="0"/>
                  </w:tcBorders>
                  <w:noWrap w:val="0"/>
                  <w:vAlign w:val="center"/>
                </w:tcPr>
                <w:p w14:paraId="458876EF">
                  <w:pPr>
                    <w:autoSpaceDE w:val="0"/>
                    <w:autoSpaceDN w:val="0"/>
                    <w:adjustRightInd w:val="0"/>
                    <w:jc w:val="center"/>
                    <w:rPr>
                      <w:b/>
                      <w:bCs/>
                      <w:color w:val="auto"/>
                      <w:szCs w:val="20"/>
                    </w:rPr>
                  </w:pPr>
                  <w:r>
                    <w:rPr>
                      <w:rFonts w:hint="eastAsia"/>
                      <w:b/>
                      <w:bCs/>
                      <w:color w:val="auto"/>
                      <w:szCs w:val="20"/>
                    </w:rPr>
                    <w:t>污染物类型</w:t>
                  </w:r>
                </w:p>
              </w:tc>
              <w:tc>
                <w:tcPr>
                  <w:tcW w:w="1428" w:type="pct"/>
                  <w:tcBorders>
                    <w:bottom w:val="single" w:color="000000" w:sz="12" w:space="0"/>
                  </w:tcBorders>
                  <w:noWrap w:val="0"/>
                  <w:vAlign w:val="center"/>
                </w:tcPr>
                <w:p w14:paraId="4CFBFF3A">
                  <w:pPr>
                    <w:autoSpaceDE w:val="0"/>
                    <w:autoSpaceDN w:val="0"/>
                    <w:adjustRightInd w:val="0"/>
                    <w:jc w:val="center"/>
                    <w:rPr>
                      <w:b/>
                      <w:bCs/>
                      <w:color w:val="auto"/>
                      <w:szCs w:val="20"/>
                    </w:rPr>
                  </w:pPr>
                  <w:r>
                    <w:rPr>
                      <w:rFonts w:hint="eastAsia"/>
                      <w:b/>
                      <w:bCs/>
                      <w:color w:val="auto"/>
                      <w:szCs w:val="20"/>
                    </w:rPr>
                    <w:t>防渗技术要求</w:t>
                  </w:r>
                </w:p>
              </w:tc>
            </w:tr>
            <w:tr w14:paraId="18F8B58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37" w:hRule="atLeast"/>
                <w:jc w:val="center"/>
              </w:trPr>
              <w:tc>
                <w:tcPr>
                  <w:tcW w:w="848" w:type="pct"/>
                  <w:vMerge w:val="restart"/>
                  <w:tcBorders>
                    <w:top w:val="single" w:color="000000" w:sz="12" w:space="0"/>
                  </w:tcBorders>
                  <w:noWrap w:val="0"/>
                  <w:vAlign w:val="center"/>
                </w:tcPr>
                <w:p w14:paraId="48749293">
                  <w:pPr>
                    <w:autoSpaceDE w:val="0"/>
                    <w:autoSpaceDN w:val="0"/>
                    <w:adjustRightInd w:val="0"/>
                    <w:jc w:val="center"/>
                    <w:rPr>
                      <w:color w:val="auto"/>
                      <w:szCs w:val="20"/>
                    </w:rPr>
                  </w:pPr>
                  <w:r>
                    <w:rPr>
                      <w:rFonts w:hint="eastAsia"/>
                      <w:color w:val="auto"/>
                      <w:szCs w:val="20"/>
                    </w:rPr>
                    <w:t>重点防渗区</w:t>
                  </w:r>
                </w:p>
              </w:tc>
              <w:tc>
                <w:tcPr>
                  <w:tcW w:w="875" w:type="pct"/>
                  <w:tcBorders>
                    <w:top w:val="single" w:color="000000" w:sz="12" w:space="0"/>
                  </w:tcBorders>
                  <w:noWrap w:val="0"/>
                  <w:vAlign w:val="center"/>
                </w:tcPr>
                <w:p w14:paraId="0E13C91F">
                  <w:pPr>
                    <w:autoSpaceDE w:val="0"/>
                    <w:autoSpaceDN w:val="0"/>
                    <w:adjustRightInd w:val="0"/>
                    <w:jc w:val="center"/>
                    <w:rPr>
                      <w:color w:val="auto"/>
                      <w:szCs w:val="20"/>
                    </w:rPr>
                  </w:pPr>
                  <w:r>
                    <w:rPr>
                      <w:rFonts w:hint="eastAsia"/>
                      <w:color w:val="auto"/>
                      <w:szCs w:val="20"/>
                    </w:rPr>
                    <w:t>弱</w:t>
                  </w:r>
                </w:p>
              </w:tc>
              <w:tc>
                <w:tcPr>
                  <w:tcW w:w="718" w:type="pct"/>
                  <w:tcBorders>
                    <w:top w:val="single" w:color="000000" w:sz="12" w:space="0"/>
                  </w:tcBorders>
                  <w:noWrap w:val="0"/>
                  <w:vAlign w:val="center"/>
                </w:tcPr>
                <w:p w14:paraId="41506473">
                  <w:pPr>
                    <w:autoSpaceDE w:val="0"/>
                    <w:autoSpaceDN w:val="0"/>
                    <w:adjustRightInd w:val="0"/>
                    <w:jc w:val="center"/>
                    <w:rPr>
                      <w:color w:val="auto"/>
                      <w:szCs w:val="20"/>
                    </w:rPr>
                  </w:pPr>
                  <w:r>
                    <w:rPr>
                      <w:rFonts w:hint="eastAsia"/>
                      <w:color w:val="auto"/>
                      <w:szCs w:val="20"/>
                    </w:rPr>
                    <w:t>难</w:t>
                  </w:r>
                </w:p>
              </w:tc>
              <w:tc>
                <w:tcPr>
                  <w:tcW w:w="1129" w:type="pct"/>
                  <w:vMerge w:val="restart"/>
                  <w:tcBorders>
                    <w:top w:val="single" w:color="000000" w:sz="12" w:space="0"/>
                  </w:tcBorders>
                  <w:noWrap w:val="0"/>
                  <w:vAlign w:val="center"/>
                </w:tcPr>
                <w:p w14:paraId="791471A7">
                  <w:pPr>
                    <w:autoSpaceDE w:val="0"/>
                    <w:autoSpaceDN w:val="0"/>
                    <w:adjustRightInd w:val="0"/>
                    <w:jc w:val="center"/>
                    <w:rPr>
                      <w:color w:val="auto"/>
                      <w:szCs w:val="20"/>
                    </w:rPr>
                  </w:pPr>
                  <w:r>
                    <w:rPr>
                      <w:rFonts w:hint="eastAsia"/>
                      <w:color w:val="auto"/>
                      <w:szCs w:val="20"/>
                    </w:rPr>
                    <w:t>重金属、持久性有机物</w:t>
                  </w:r>
                </w:p>
              </w:tc>
              <w:tc>
                <w:tcPr>
                  <w:tcW w:w="1428" w:type="pct"/>
                  <w:vMerge w:val="restart"/>
                  <w:tcBorders>
                    <w:top w:val="single" w:color="000000" w:sz="12" w:space="0"/>
                  </w:tcBorders>
                  <w:noWrap w:val="0"/>
                  <w:vAlign w:val="center"/>
                </w:tcPr>
                <w:p w14:paraId="7596F321">
                  <w:pPr>
                    <w:wordWrap w:val="0"/>
                    <w:autoSpaceDE w:val="0"/>
                    <w:autoSpaceDN w:val="0"/>
                    <w:adjustRightInd w:val="0"/>
                    <w:rPr>
                      <w:color w:val="auto"/>
                      <w:szCs w:val="20"/>
                    </w:rPr>
                  </w:pPr>
                  <w:r>
                    <w:rPr>
                      <w:rFonts w:hint="eastAsia" w:cs="宋体"/>
                      <w:color w:val="auto"/>
                      <w:szCs w:val="21"/>
                    </w:rPr>
                    <w:t>等效黏土防渗层Mb≥6.0m，K≤1.0</w:t>
                  </w:r>
                  <w:r>
                    <w:rPr>
                      <w:rFonts w:cs="宋体"/>
                      <w:color w:val="auto"/>
                      <w:szCs w:val="21"/>
                    </w:rPr>
                    <w:t>×</w:t>
                  </w:r>
                  <w:r>
                    <w:rPr>
                      <w:rFonts w:hint="eastAsia" w:cs="宋体"/>
                      <w:color w:val="auto"/>
                      <w:szCs w:val="21"/>
                    </w:rPr>
                    <w:t>10</w:t>
                  </w:r>
                  <w:r>
                    <w:rPr>
                      <w:rFonts w:hint="eastAsia" w:cs="宋体"/>
                      <w:color w:val="auto"/>
                      <w:szCs w:val="21"/>
                      <w:vertAlign w:val="superscript"/>
                    </w:rPr>
                    <w:t>-7</w:t>
                  </w:r>
                  <w:r>
                    <w:rPr>
                      <w:rFonts w:hint="eastAsia" w:cs="宋体"/>
                      <w:color w:val="auto"/>
                      <w:szCs w:val="21"/>
                    </w:rPr>
                    <w:t>cm/s；或参照GB18598</w:t>
                  </w:r>
                </w:p>
              </w:tc>
            </w:tr>
            <w:tr w14:paraId="006300E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67" w:hRule="atLeast"/>
                <w:jc w:val="center"/>
              </w:trPr>
              <w:tc>
                <w:tcPr>
                  <w:tcW w:w="848" w:type="pct"/>
                  <w:vMerge w:val="continue"/>
                  <w:noWrap w:val="0"/>
                  <w:vAlign w:val="center"/>
                </w:tcPr>
                <w:p w14:paraId="6896C00F">
                  <w:pPr>
                    <w:autoSpaceDE w:val="0"/>
                    <w:autoSpaceDN w:val="0"/>
                    <w:adjustRightInd w:val="0"/>
                    <w:jc w:val="center"/>
                    <w:rPr>
                      <w:color w:val="auto"/>
                      <w:szCs w:val="20"/>
                    </w:rPr>
                  </w:pPr>
                </w:p>
              </w:tc>
              <w:tc>
                <w:tcPr>
                  <w:tcW w:w="875" w:type="pct"/>
                  <w:noWrap w:val="0"/>
                  <w:vAlign w:val="center"/>
                </w:tcPr>
                <w:p w14:paraId="60D6B9E7">
                  <w:pPr>
                    <w:autoSpaceDE w:val="0"/>
                    <w:autoSpaceDN w:val="0"/>
                    <w:adjustRightInd w:val="0"/>
                    <w:jc w:val="center"/>
                    <w:rPr>
                      <w:color w:val="auto"/>
                      <w:szCs w:val="20"/>
                    </w:rPr>
                  </w:pPr>
                  <w:r>
                    <w:rPr>
                      <w:rFonts w:hint="eastAsia"/>
                      <w:color w:val="auto"/>
                      <w:szCs w:val="20"/>
                    </w:rPr>
                    <w:t>中-强</w:t>
                  </w:r>
                </w:p>
              </w:tc>
              <w:tc>
                <w:tcPr>
                  <w:tcW w:w="718" w:type="pct"/>
                  <w:noWrap w:val="0"/>
                  <w:vAlign w:val="center"/>
                </w:tcPr>
                <w:p w14:paraId="7FB21376">
                  <w:pPr>
                    <w:autoSpaceDE w:val="0"/>
                    <w:autoSpaceDN w:val="0"/>
                    <w:adjustRightInd w:val="0"/>
                    <w:jc w:val="center"/>
                    <w:rPr>
                      <w:color w:val="auto"/>
                      <w:szCs w:val="20"/>
                    </w:rPr>
                  </w:pPr>
                  <w:r>
                    <w:rPr>
                      <w:rFonts w:hint="eastAsia"/>
                      <w:color w:val="auto"/>
                      <w:szCs w:val="20"/>
                    </w:rPr>
                    <w:t>难</w:t>
                  </w:r>
                </w:p>
              </w:tc>
              <w:tc>
                <w:tcPr>
                  <w:tcW w:w="1129" w:type="pct"/>
                  <w:vMerge w:val="continue"/>
                  <w:noWrap w:val="0"/>
                  <w:vAlign w:val="center"/>
                </w:tcPr>
                <w:p w14:paraId="29E3D1E8">
                  <w:pPr>
                    <w:autoSpaceDE w:val="0"/>
                    <w:autoSpaceDN w:val="0"/>
                    <w:adjustRightInd w:val="0"/>
                    <w:jc w:val="center"/>
                    <w:rPr>
                      <w:color w:val="auto"/>
                      <w:szCs w:val="20"/>
                    </w:rPr>
                  </w:pPr>
                </w:p>
              </w:tc>
              <w:tc>
                <w:tcPr>
                  <w:tcW w:w="1428" w:type="pct"/>
                  <w:vMerge w:val="continue"/>
                  <w:noWrap w:val="0"/>
                  <w:vAlign w:val="center"/>
                </w:tcPr>
                <w:p w14:paraId="47E58A2B">
                  <w:pPr>
                    <w:wordWrap w:val="0"/>
                    <w:autoSpaceDE w:val="0"/>
                    <w:autoSpaceDN w:val="0"/>
                    <w:adjustRightInd w:val="0"/>
                    <w:rPr>
                      <w:color w:val="auto"/>
                      <w:szCs w:val="20"/>
                    </w:rPr>
                  </w:pPr>
                </w:p>
              </w:tc>
            </w:tr>
            <w:tr w14:paraId="07FBA54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848" w:type="pct"/>
                  <w:vMerge w:val="continue"/>
                  <w:noWrap w:val="0"/>
                  <w:vAlign w:val="center"/>
                </w:tcPr>
                <w:p w14:paraId="5E648B5F">
                  <w:pPr>
                    <w:autoSpaceDE w:val="0"/>
                    <w:autoSpaceDN w:val="0"/>
                    <w:adjustRightInd w:val="0"/>
                    <w:jc w:val="center"/>
                    <w:rPr>
                      <w:color w:val="auto"/>
                      <w:szCs w:val="20"/>
                    </w:rPr>
                  </w:pPr>
                </w:p>
              </w:tc>
              <w:tc>
                <w:tcPr>
                  <w:tcW w:w="875" w:type="pct"/>
                  <w:noWrap w:val="0"/>
                  <w:vAlign w:val="center"/>
                </w:tcPr>
                <w:p w14:paraId="7B2D5BF9">
                  <w:pPr>
                    <w:autoSpaceDE w:val="0"/>
                    <w:autoSpaceDN w:val="0"/>
                    <w:adjustRightInd w:val="0"/>
                    <w:jc w:val="center"/>
                    <w:rPr>
                      <w:color w:val="auto"/>
                      <w:szCs w:val="20"/>
                    </w:rPr>
                  </w:pPr>
                  <w:r>
                    <w:rPr>
                      <w:rFonts w:hint="eastAsia"/>
                      <w:color w:val="auto"/>
                      <w:szCs w:val="20"/>
                    </w:rPr>
                    <w:t>弱</w:t>
                  </w:r>
                </w:p>
              </w:tc>
              <w:tc>
                <w:tcPr>
                  <w:tcW w:w="718" w:type="pct"/>
                  <w:noWrap w:val="0"/>
                  <w:vAlign w:val="center"/>
                </w:tcPr>
                <w:p w14:paraId="71B194E8">
                  <w:pPr>
                    <w:autoSpaceDE w:val="0"/>
                    <w:autoSpaceDN w:val="0"/>
                    <w:adjustRightInd w:val="0"/>
                    <w:jc w:val="center"/>
                    <w:rPr>
                      <w:color w:val="auto"/>
                      <w:szCs w:val="20"/>
                    </w:rPr>
                  </w:pPr>
                  <w:r>
                    <w:rPr>
                      <w:rFonts w:hint="eastAsia"/>
                      <w:color w:val="auto"/>
                      <w:szCs w:val="20"/>
                    </w:rPr>
                    <w:t>易</w:t>
                  </w:r>
                </w:p>
              </w:tc>
              <w:tc>
                <w:tcPr>
                  <w:tcW w:w="1129" w:type="pct"/>
                  <w:vMerge w:val="continue"/>
                  <w:noWrap w:val="0"/>
                  <w:vAlign w:val="center"/>
                </w:tcPr>
                <w:p w14:paraId="1ACB146E">
                  <w:pPr>
                    <w:autoSpaceDE w:val="0"/>
                    <w:autoSpaceDN w:val="0"/>
                    <w:adjustRightInd w:val="0"/>
                    <w:jc w:val="center"/>
                    <w:rPr>
                      <w:color w:val="auto"/>
                      <w:szCs w:val="20"/>
                    </w:rPr>
                  </w:pPr>
                </w:p>
              </w:tc>
              <w:tc>
                <w:tcPr>
                  <w:tcW w:w="1428" w:type="pct"/>
                  <w:vMerge w:val="continue"/>
                  <w:noWrap w:val="0"/>
                  <w:vAlign w:val="center"/>
                </w:tcPr>
                <w:p w14:paraId="2F4E149F">
                  <w:pPr>
                    <w:wordWrap w:val="0"/>
                    <w:autoSpaceDE w:val="0"/>
                    <w:autoSpaceDN w:val="0"/>
                    <w:adjustRightInd w:val="0"/>
                    <w:rPr>
                      <w:color w:val="auto"/>
                      <w:szCs w:val="20"/>
                    </w:rPr>
                  </w:pPr>
                </w:p>
              </w:tc>
            </w:tr>
            <w:tr w14:paraId="4915546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848" w:type="pct"/>
                  <w:vMerge w:val="restart"/>
                  <w:noWrap w:val="0"/>
                  <w:vAlign w:val="center"/>
                </w:tcPr>
                <w:p w14:paraId="78CC94BD">
                  <w:pPr>
                    <w:autoSpaceDE w:val="0"/>
                    <w:autoSpaceDN w:val="0"/>
                    <w:adjustRightInd w:val="0"/>
                    <w:jc w:val="center"/>
                    <w:rPr>
                      <w:color w:val="auto"/>
                      <w:szCs w:val="20"/>
                    </w:rPr>
                  </w:pPr>
                  <w:r>
                    <w:rPr>
                      <w:rFonts w:hint="eastAsia"/>
                      <w:color w:val="auto"/>
                      <w:szCs w:val="20"/>
                    </w:rPr>
                    <w:t>一般防渗区</w:t>
                  </w:r>
                </w:p>
              </w:tc>
              <w:tc>
                <w:tcPr>
                  <w:tcW w:w="875" w:type="pct"/>
                  <w:noWrap w:val="0"/>
                  <w:vAlign w:val="center"/>
                </w:tcPr>
                <w:p w14:paraId="5DA7EE45">
                  <w:pPr>
                    <w:autoSpaceDE w:val="0"/>
                    <w:autoSpaceDN w:val="0"/>
                    <w:adjustRightInd w:val="0"/>
                    <w:jc w:val="center"/>
                    <w:rPr>
                      <w:color w:val="auto"/>
                      <w:szCs w:val="20"/>
                    </w:rPr>
                  </w:pPr>
                  <w:r>
                    <w:rPr>
                      <w:rFonts w:hint="eastAsia"/>
                      <w:color w:val="auto"/>
                      <w:szCs w:val="20"/>
                    </w:rPr>
                    <w:t>弱</w:t>
                  </w:r>
                </w:p>
              </w:tc>
              <w:tc>
                <w:tcPr>
                  <w:tcW w:w="718" w:type="pct"/>
                  <w:noWrap w:val="0"/>
                  <w:vAlign w:val="center"/>
                </w:tcPr>
                <w:p w14:paraId="13852CEE">
                  <w:pPr>
                    <w:autoSpaceDE w:val="0"/>
                    <w:autoSpaceDN w:val="0"/>
                    <w:adjustRightInd w:val="0"/>
                    <w:jc w:val="center"/>
                    <w:rPr>
                      <w:color w:val="auto"/>
                      <w:szCs w:val="20"/>
                    </w:rPr>
                  </w:pPr>
                  <w:r>
                    <w:rPr>
                      <w:rFonts w:hint="eastAsia"/>
                      <w:color w:val="auto"/>
                      <w:szCs w:val="20"/>
                    </w:rPr>
                    <w:t>易-难</w:t>
                  </w:r>
                </w:p>
              </w:tc>
              <w:tc>
                <w:tcPr>
                  <w:tcW w:w="1129" w:type="pct"/>
                  <w:vMerge w:val="restart"/>
                  <w:noWrap w:val="0"/>
                  <w:vAlign w:val="center"/>
                </w:tcPr>
                <w:p w14:paraId="160A731B">
                  <w:pPr>
                    <w:autoSpaceDE w:val="0"/>
                    <w:autoSpaceDN w:val="0"/>
                    <w:adjustRightInd w:val="0"/>
                    <w:jc w:val="center"/>
                    <w:rPr>
                      <w:color w:val="auto"/>
                      <w:szCs w:val="20"/>
                    </w:rPr>
                  </w:pPr>
                  <w:r>
                    <w:rPr>
                      <w:rFonts w:hint="eastAsia"/>
                      <w:color w:val="auto"/>
                      <w:szCs w:val="20"/>
                    </w:rPr>
                    <w:t>其他类型</w:t>
                  </w:r>
                </w:p>
              </w:tc>
              <w:tc>
                <w:tcPr>
                  <w:tcW w:w="1428" w:type="pct"/>
                  <w:vMerge w:val="restart"/>
                  <w:noWrap w:val="0"/>
                  <w:vAlign w:val="center"/>
                </w:tcPr>
                <w:p w14:paraId="70A0027B">
                  <w:pPr>
                    <w:wordWrap w:val="0"/>
                    <w:autoSpaceDE w:val="0"/>
                    <w:autoSpaceDN w:val="0"/>
                    <w:adjustRightInd w:val="0"/>
                    <w:rPr>
                      <w:color w:val="auto"/>
                      <w:szCs w:val="20"/>
                    </w:rPr>
                  </w:pPr>
                  <w:r>
                    <w:rPr>
                      <w:rFonts w:hint="eastAsia" w:cs="宋体"/>
                      <w:color w:val="auto"/>
                      <w:szCs w:val="21"/>
                    </w:rPr>
                    <w:t>等效黏土防渗层Mb≥1.5m，K≤1.0</w:t>
                  </w:r>
                  <w:r>
                    <w:rPr>
                      <w:rFonts w:cs="宋体"/>
                      <w:color w:val="auto"/>
                      <w:szCs w:val="21"/>
                    </w:rPr>
                    <w:t>×</w:t>
                  </w:r>
                  <w:r>
                    <w:rPr>
                      <w:rFonts w:hint="eastAsia" w:cs="宋体"/>
                      <w:color w:val="auto"/>
                      <w:szCs w:val="21"/>
                    </w:rPr>
                    <w:t>10</w:t>
                  </w:r>
                  <w:r>
                    <w:rPr>
                      <w:rFonts w:hint="eastAsia" w:cs="宋体"/>
                      <w:color w:val="auto"/>
                      <w:szCs w:val="21"/>
                      <w:vertAlign w:val="superscript"/>
                    </w:rPr>
                    <w:t>-7</w:t>
                  </w:r>
                  <w:r>
                    <w:rPr>
                      <w:rFonts w:hint="eastAsia" w:cs="宋体"/>
                      <w:color w:val="auto"/>
                      <w:szCs w:val="21"/>
                    </w:rPr>
                    <w:t>cm/s，或参照GB18598</w:t>
                  </w:r>
                </w:p>
              </w:tc>
            </w:tr>
            <w:tr w14:paraId="08D8B54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848" w:type="pct"/>
                  <w:vMerge w:val="continue"/>
                  <w:noWrap w:val="0"/>
                  <w:vAlign w:val="center"/>
                </w:tcPr>
                <w:p w14:paraId="78AC06D7">
                  <w:pPr>
                    <w:autoSpaceDE w:val="0"/>
                    <w:autoSpaceDN w:val="0"/>
                    <w:adjustRightInd w:val="0"/>
                    <w:jc w:val="center"/>
                    <w:rPr>
                      <w:color w:val="auto"/>
                      <w:szCs w:val="20"/>
                    </w:rPr>
                  </w:pPr>
                </w:p>
              </w:tc>
              <w:tc>
                <w:tcPr>
                  <w:tcW w:w="875" w:type="pct"/>
                  <w:noWrap w:val="0"/>
                  <w:vAlign w:val="center"/>
                </w:tcPr>
                <w:p w14:paraId="6C2B3C9E">
                  <w:pPr>
                    <w:autoSpaceDE w:val="0"/>
                    <w:autoSpaceDN w:val="0"/>
                    <w:adjustRightInd w:val="0"/>
                    <w:jc w:val="center"/>
                    <w:rPr>
                      <w:color w:val="auto"/>
                      <w:szCs w:val="20"/>
                    </w:rPr>
                  </w:pPr>
                  <w:r>
                    <w:rPr>
                      <w:rFonts w:hint="eastAsia"/>
                      <w:color w:val="auto"/>
                      <w:szCs w:val="20"/>
                    </w:rPr>
                    <w:t>中-强</w:t>
                  </w:r>
                </w:p>
              </w:tc>
              <w:tc>
                <w:tcPr>
                  <w:tcW w:w="718" w:type="pct"/>
                  <w:noWrap w:val="0"/>
                  <w:vAlign w:val="center"/>
                </w:tcPr>
                <w:p w14:paraId="7E770C26">
                  <w:pPr>
                    <w:autoSpaceDE w:val="0"/>
                    <w:autoSpaceDN w:val="0"/>
                    <w:adjustRightInd w:val="0"/>
                    <w:jc w:val="center"/>
                    <w:rPr>
                      <w:color w:val="auto"/>
                      <w:szCs w:val="20"/>
                    </w:rPr>
                  </w:pPr>
                  <w:r>
                    <w:rPr>
                      <w:rFonts w:hint="eastAsia"/>
                      <w:color w:val="auto"/>
                      <w:szCs w:val="20"/>
                    </w:rPr>
                    <w:t>难</w:t>
                  </w:r>
                </w:p>
              </w:tc>
              <w:tc>
                <w:tcPr>
                  <w:tcW w:w="1129" w:type="pct"/>
                  <w:vMerge w:val="continue"/>
                  <w:noWrap w:val="0"/>
                  <w:vAlign w:val="center"/>
                </w:tcPr>
                <w:p w14:paraId="1A0A0DA1">
                  <w:pPr>
                    <w:autoSpaceDE w:val="0"/>
                    <w:autoSpaceDN w:val="0"/>
                    <w:adjustRightInd w:val="0"/>
                    <w:jc w:val="center"/>
                    <w:rPr>
                      <w:color w:val="auto"/>
                      <w:szCs w:val="20"/>
                    </w:rPr>
                  </w:pPr>
                </w:p>
              </w:tc>
              <w:tc>
                <w:tcPr>
                  <w:tcW w:w="1428" w:type="pct"/>
                  <w:vMerge w:val="continue"/>
                  <w:noWrap w:val="0"/>
                  <w:vAlign w:val="center"/>
                </w:tcPr>
                <w:p w14:paraId="7108B807">
                  <w:pPr>
                    <w:wordWrap w:val="0"/>
                    <w:autoSpaceDE w:val="0"/>
                    <w:autoSpaceDN w:val="0"/>
                    <w:adjustRightInd w:val="0"/>
                    <w:rPr>
                      <w:color w:val="auto"/>
                      <w:szCs w:val="20"/>
                    </w:rPr>
                  </w:pPr>
                </w:p>
              </w:tc>
            </w:tr>
            <w:tr w14:paraId="5140372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848" w:type="pct"/>
                  <w:vMerge w:val="continue"/>
                  <w:noWrap w:val="0"/>
                  <w:vAlign w:val="center"/>
                </w:tcPr>
                <w:p w14:paraId="71501E57">
                  <w:pPr>
                    <w:autoSpaceDE w:val="0"/>
                    <w:autoSpaceDN w:val="0"/>
                    <w:adjustRightInd w:val="0"/>
                    <w:jc w:val="center"/>
                    <w:rPr>
                      <w:color w:val="auto"/>
                      <w:szCs w:val="20"/>
                    </w:rPr>
                  </w:pPr>
                </w:p>
              </w:tc>
              <w:tc>
                <w:tcPr>
                  <w:tcW w:w="875" w:type="pct"/>
                  <w:noWrap w:val="0"/>
                  <w:vAlign w:val="center"/>
                </w:tcPr>
                <w:p w14:paraId="2FE1AD32">
                  <w:pPr>
                    <w:autoSpaceDE w:val="0"/>
                    <w:autoSpaceDN w:val="0"/>
                    <w:adjustRightInd w:val="0"/>
                    <w:jc w:val="center"/>
                    <w:rPr>
                      <w:color w:val="auto"/>
                      <w:szCs w:val="20"/>
                    </w:rPr>
                  </w:pPr>
                  <w:r>
                    <w:rPr>
                      <w:rFonts w:hint="eastAsia"/>
                      <w:color w:val="auto"/>
                      <w:szCs w:val="20"/>
                    </w:rPr>
                    <w:t>中</w:t>
                  </w:r>
                </w:p>
              </w:tc>
              <w:tc>
                <w:tcPr>
                  <w:tcW w:w="718" w:type="pct"/>
                  <w:noWrap w:val="0"/>
                  <w:vAlign w:val="center"/>
                </w:tcPr>
                <w:p w14:paraId="7FDDF83F">
                  <w:pPr>
                    <w:autoSpaceDE w:val="0"/>
                    <w:autoSpaceDN w:val="0"/>
                    <w:adjustRightInd w:val="0"/>
                    <w:jc w:val="center"/>
                    <w:rPr>
                      <w:color w:val="auto"/>
                      <w:szCs w:val="20"/>
                    </w:rPr>
                  </w:pPr>
                  <w:r>
                    <w:rPr>
                      <w:rFonts w:hint="eastAsia"/>
                      <w:color w:val="auto"/>
                      <w:szCs w:val="20"/>
                    </w:rPr>
                    <w:t>易</w:t>
                  </w:r>
                </w:p>
              </w:tc>
              <w:tc>
                <w:tcPr>
                  <w:tcW w:w="1129" w:type="pct"/>
                  <w:vMerge w:val="restart"/>
                  <w:noWrap w:val="0"/>
                  <w:vAlign w:val="center"/>
                </w:tcPr>
                <w:p w14:paraId="5B4FB0EE">
                  <w:pPr>
                    <w:autoSpaceDE w:val="0"/>
                    <w:autoSpaceDN w:val="0"/>
                    <w:adjustRightInd w:val="0"/>
                    <w:jc w:val="center"/>
                    <w:rPr>
                      <w:color w:val="auto"/>
                      <w:szCs w:val="20"/>
                    </w:rPr>
                  </w:pPr>
                  <w:r>
                    <w:rPr>
                      <w:rFonts w:hint="eastAsia"/>
                      <w:color w:val="auto"/>
                      <w:szCs w:val="20"/>
                    </w:rPr>
                    <w:t>重金属、持久性有机物</w:t>
                  </w:r>
                </w:p>
              </w:tc>
              <w:tc>
                <w:tcPr>
                  <w:tcW w:w="1428" w:type="pct"/>
                  <w:vMerge w:val="continue"/>
                  <w:noWrap w:val="0"/>
                  <w:vAlign w:val="center"/>
                </w:tcPr>
                <w:p w14:paraId="1F311DFD">
                  <w:pPr>
                    <w:wordWrap w:val="0"/>
                    <w:autoSpaceDE w:val="0"/>
                    <w:autoSpaceDN w:val="0"/>
                    <w:adjustRightInd w:val="0"/>
                    <w:rPr>
                      <w:color w:val="auto"/>
                      <w:szCs w:val="20"/>
                    </w:rPr>
                  </w:pPr>
                </w:p>
              </w:tc>
            </w:tr>
            <w:tr w14:paraId="6369ACB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848" w:type="pct"/>
                  <w:vMerge w:val="continue"/>
                  <w:noWrap w:val="0"/>
                  <w:vAlign w:val="center"/>
                </w:tcPr>
                <w:p w14:paraId="5048C4EB">
                  <w:pPr>
                    <w:autoSpaceDE w:val="0"/>
                    <w:autoSpaceDN w:val="0"/>
                    <w:adjustRightInd w:val="0"/>
                    <w:jc w:val="center"/>
                    <w:rPr>
                      <w:color w:val="auto"/>
                      <w:szCs w:val="20"/>
                    </w:rPr>
                  </w:pPr>
                </w:p>
              </w:tc>
              <w:tc>
                <w:tcPr>
                  <w:tcW w:w="875" w:type="pct"/>
                  <w:noWrap w:val="0"/>
                  <w:vAlign w:val="center"/>
                </w:tcPr>
                <w:p w14:paraId="37E60CFE">
                  <w:pPr>
                    <w:autoSpaceDE w:val="0"/>
                    <w:autoSpaceDN w:val="0"/>
                    <w:adjustRightInd w:val="0"/>
                    <w:jc w:val="center"/>
                    <w:rPr>
                      <w:color w:val="auto"/>
                      <w:szCs w:val="20"/>
                    </w:rPr>
                  </w:pPr>
                  <w:r>
                    <w:rPr>
                      <w:rFonts w:hint="eastAsia"/>
                      <w:color w:val="auto"/>
                      <w:szCs w:val="20"/>
                    </w:rPr>
                    <w:t>强</w:t>
                  </w:r>
                </w:p>
              </w:tc>
              <w:tc>
                <w:tcPr>
                  <w:tcW w:w="718" w:type="pct"/>
                  <w:noWrap w:val="0"/>
                  <w:vAlign w:val="center"/>
                </w:tcPr>
                <w:p w14:paraId="0886297C">
                  <w:pPr>
                    <w:autoSpaceDE w:val="0"/>
                    <w:autoSpaceDN w:val="0"/>
                    <w:adjustRightInd w:val="0"/>
                    <w:jc w:val="center"/>
                    <w:rPr>
                      <w:color w:val="auto"/>
                      <w:szCs w:val="20"/>
                    </w:rPr>
                  </w:pPr>
                  <w:r>
                    <w:rPr>
                      <w:rFonts w:hint="eastAsia"/>
                      <w:color w:val="auto"/>
                      <w:szCs w:val="20"/>
                    </w:rPr>
                    <w:t>易</w:t>
                  </w:r>
                </w:p>
              </w:tc>
              <w:tc>
                <w:tcPr>
                  <w:tcW w:w="1129" w:type="pct"/>
                  <w:vMerge w:val="continue"/>
                  <w:noWrap w:val="0"/>
                  <w:vAlign w:val="center"/>
                </w:tcPr>
                <w:p w14:paraId="1852FAFA">
                  <w:pPr>
                    <w:autoSpaceDE w:val="0"/>
                    <w:autoSpaceDN w:val="0"/>
                    <w:adjustRightInd w:val="0"/>
                    <w:jc w:val="center"/>
                    <w:rPr>
                      <w:color w:val="auto"/>
                      <w:szCs w:val="20"/>
                    </w:rPr>
                  </w:pPr>
                </w:p>
              </w:tc>
              <w:tc>
                <w:tcPr>
                  <w:tcW w:w="1428" w:type="pct"/>
                  <w:vMerge w:val="continue"/>
                  <w:noWrap w:val="0"/>
                  <w:vAlign w:val="center"/>
                </w:tcPr>
                <w:p w14:paraId="703A1483">
                  <w:pPr>
                    <w:wordWrap w:val="0"/>
                    <w:autoSpaceDE w:val="0"/>
                    <w:autoSpaceDN w:val="0"/>
                    <w:adjustRightInd w:val="0"/>
                    <w:rPr>
                      <w:color w:val="auto"/>
                      <w:szCs w:val="20"/>
                    </w:rPr>
                  </w:pPr>
                </w:p>
              </w:tc>
            </w:tr>
            <w:tr w14:paraId="586B413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848" w:type="pct"/>
                  <w:noWrap w:val="0"/>
                  <w:vAlign w:val="center"/>
                </w:tcPr>
                <w:p w14:paraId="6C2AE1DA">
                  <w:pPr>
                    <w:autoSpaceDE w:val="0"/>
                    <w:autoSpaceDN w:val="0"/>
                    <w:adjustRightInd w:val="0"/>
                    <w:jc w:val="center"/>
                    <w:rPr>
                      <w:color w:val="auto"/>
                      <w:szCs w:val="20"/>
                    </w:rPr>
                  </w:pPr>
                  <w:r>
                    <w:rPr>
                      <w:rFonts w:hint="eastAsia"/>
                      <w:color w:val="auto"/>
                      <w:szCs w:val="20"/>
                    </w:rPr>
                    <w:t>简单防渗区</w:t>
                  </w:r>
                </w:p>
              </w:tc>
              <w:tc>
                <w:tcPr>
                  <w:tcW w:w="875" w:type="pct"/>
                  <w:noWrap w:val="0"/>
                  <w:vAlign w:val="center"/>
                </w:tcPr>
                <w:p w14:paraId="5F813056">
                  <w:pPr>
                    <w:autoSpaceDE w:val="0"/>
                    <w:autoSpaceDN w:val="0"/>
                    <w:adjustRightInd w:val="0"/>
                    <w:jc w:val="center"/>
                    <w:rPr>
                      <w:color w:val="auto"/>
                      <w:szCs w:val="20"/>
                    </w:rPr>
                  </w:pPr>
                  <w:r>
                    <w:rPr>
                      <w:rFonts w:hint="eastAsia"/>
                      <w:color w:val="auto"/>
                      <w:szCs w:val="20"/>
                    </w:rPr>
                    <w:t>中-强</w:t>
                  </w:r>
                </w:p>
              </w:tc>
              <w:tc>
                <w:tcPr>
                  <w:tcW w:w="718" w:type="pct"/>
                  <w:noWrap w:val="0"/>
                  <w:vAlign w:val="center"/>
                </w:tcPr>
                <w:p w14:paraId="3EF92826">
                  <w:pPr>
                    <w:autoSpaceDE w:val="0"/>
                    <w:autoSpaceDN w:val="0"/>
                    <w:adjustRightInd w:val="0"/>
                    <w:jc w:val="center"/>
                    <w:rPr>
                      <w:color w:val="auto"/>
                      <w:szCs w:val="20"/>
                    </w:rPr>
                  </w:pPr>
                  <w:r>
                    <w:rPr>
                      <w:rFonts w:hint="eastAsia"/>
                      <w:color w:val="auto"/>
                      <w:szCs w:val="20"/>
                    </w:rPr>
                    <w:t>易</w:t>
                  </w:r>
                </w:p>
              </w:tc>
              <w:tc>
                <w:tcPr>
                  <w:tcW w:w="1129" w:type="pct"/>
                  <w:noWrap w:val="0"/>
                  <w:vAlign w:val="center"/>
                </w:tcPr>
                <w:p w14:paraId="10662C96">
                  <w:pPr>
                    <w:autoSpaceDE w:val="0"/>
                    <w:autoSpaceDN w:val="0"/>
                    <w:adjustRightInd w:val="0"/>
                    <w:jc w:val="center"/>
                    <w:rPr>
                      <w:color w:val="auto"/>
                      <w:szCs w:val="20"/>
                    </w:rPr>
                  </w:pPr>
                  <w:r>
                    <w:rPr>
                      <w:rFonts w:hint="eastAsia"/>
                      <w:color w:val="auto"/>
                      <w:szCs w:val="20"/>
                    </w:rPr>
                    <w:t>其他类型</w:t>
                  </w:r>
                </w:p>
              </w:tc>
              <w:tc>
                <w:tcPr>
                  <w:tcW w:w="1428" w:type="pct"/>
                  <w:noWrap w:val="0"/>
                  <w:vAlign w:val="center"/>
                </w:tcPr>
                <w:p w14:paraId="0C9E445B">
                  <w:pPr>
                    <w:wordWrap w:val="0"/>
                    <w:autoSpaceDE w:val="0"/>
                    <w:autoSpaceDN w:val="0"/>
                    <w:adjustRightInd w:val="0"/>
                    <w:rPr>
                      <w:color w:val="auto"/>
                      <w:szCs w:val="20"/>
                    </w:rPr>
                  </w:pPr>
                  <w:r>
                    <w:rPr>
                      <w:rFonts w:hint="eastAsia"/>
                      <w:color w:val="auto"/>
                      <w:szCs w:val="20"/>
                    </w:rPr>
                    <w:t>一般地面硬化</w:t>
                  </w:r>
                </w:p>
              </w:tc>
            </w:tr>
          </w:tbl>
          <w:p w14:paraId="416AA830">
            <w:pPr>
              <w:spacing w:line="360" w:lineRule="auto"/>
              <w:ind w:firstLine="480" w:firstLineChars="200"/>
              <w:rPr>
                <w:rFonts w:cs="宋体"/>
                <w:color w:val="auto"/>
                <w:sz w:val="24"/>
              </w:rPr>
            </w:pPr>
            <w:r>
              <w:rPr>
                <w:rFonts w:hint="eastAsia"/>
                <w:color w:val="auto"/>
                <w:sz w:val="24"/>
                <w:szCs w:val="32"/>
              </w:rPr>
              <w:t>根据表4-</w:t>
            </w:r>
            <w:r>
              <w:rPr>
                <w:rFonts w:hint="eastAsia"/>
                <w:color w:val="auto"/>
                <w:sz w:val="24"/>
                <w:szCs w:val="32"/>
                <w:lang w:val="en-US" w:eastAsia="zh-CN"/>
              </w:rPr>
              <w:t>7</w:t>
            </w:r>
            <w:r>
              <w:rPr>
                <w:rFonts w:hint="eastAsia"/>
                <w:color w:val="auto"/>
                <w:sz w:val="24"/>
                <w:szCs w:val="32"/>
              </w:rPr>
              <w:t>地下水防渗区划分依据，本项目</w:t>
            </w:r>
            <w:r>
              <w:rPr>
                <w:rFonts w:hint="eastAsia"/>
                <w:color w:val="auto"/>
                <w:sz w:val="24"/>
                <w:szCs w:val="32"/>
                <w:lang w:val="en-US" w:eastAsia="zh-CN"/>
              </w:rPr>
              <w:t>废机油</w:t>
            </w:r>
            <w:r>
              <w:rPr>
                <w:rFonts w:hint="eastAsia"/>
                <w:color w:val="auto"/>
                <w:sz w:val="24"/>
                <w:szCs w:val="32"/>
              </w:rPr>
              <w:t>主要污染物为石油烃，污染物类型属于“持久性有机物”；</w:t>
            </w:r>
            <w:r>
              <w:rPr>
                <w:rFonts w:hint="eastAsia"/>
                <w:color w:val="auto"/>
                <w:sz w:val="24"/>
              </w:rPr>
              <w:t>本项目废水中主要污染物为</w:t>
            </w:r>
            <w:r>
              <w:rPr>
                <w:rFonts w:hint="eastAsia"/>
                <w:color w:val="auto"/>
                <w:sz w:val="24"/>
                <w:lang w:val="en-US" w:eastAsia="zh-CN"/>
              </w:rPr>
              <w:t>SS、</w:t>
            </w:r>
            <w:r>
              <w:rPr>
                <w:rFonts w:hint="eastAsia"/>
                <w:color w:val="auto"/>
                <w:sz w:val="24"/>
              </w:rPr>
              <w:t>COD、NH</w:t>
            </w:r>
            <w:r>
              <w:rPr>
                <w:rFonts w:hint="eastAsia"/>
                <w:color w:val="auto"/>
                <w:sz w:val="24"/>
                <w:vertAlign w:val="subscript"/>
              </w:rPr>
              <w:t>3</w:t>
            </w:r>
            <w:r>
              <w:rPr>
                <w:rFonts w:hint="eastAsia"/>
                <w:color w:val="auto"/>
                <w:sz w:val="24"/>
              </w:rPr>
              <w:t>-N，污染物类型属于“其他类型”，因此将本项目危险废物贮存点划分为“重点防渗区”，沉淀池分为“一般防渗区”；其他区域划分为“简单防渗区”。</w:t>
            </w:r>
          </w:p>
          <w:p w14:paraId="5BA21F52">
            <w:pPr>
              <w:keepNext/>
              <w:keepLines/>
              <w:spacing w:line="360" w:lineRule="auto"/>
              <w:ind w:firstLine="480" w:firstLineChars="200"/>
              <w:outlineLvl w:val="2"/>
              <w:rPr>
                <w:rFonts w:hint="eastAsia"/>
                <w:b/>
                <w:color w:val="auto"/>
                <w:szCs w:val="21"/>
                <w:lang w:bidi="ar"/>
              </w:rPr>
            </w:pPr>
            <w:r>
              <w:rPr>
                <w:rFonts w:hint="eastAsia"/>
                <w:color w:val="auto"/>
                <w:sz w:val="24"/>
                <w:szCs w:val="32"/>
              </w:rPr>
              <w:t>本项目地下水分区防渗要求见表4-</w:t>
            </w:r>
            <w:r>
              <w:rPr>
                <w:rFonts w:hint="eastAsia"/>
                <w:color w:val="auto"/>
                <w:sz w:val="24"/>
                <w:szCs w:val="32"/>
                <w:lang w:val="en-US" w:eastAsia="zh-CN"/>
              </w:rPr>
              <w:t>8</w:t>
            </w:r>
            <w:r>
              <w:rPr>
                <w:rFonts w:hint="eastAsia"/>
                <w:color w:val="auto"/>
                <w:sz w:val="24"/>
                <w:szCs w:val="32"/>
              </w:rPr>
              <w:t>。</w:t>
            </w:r>
          </w:p>
          <w:p w14:paraId="63EB52E1">
            <w:pPr>
              <w:widowControl/>
              <w:jc w:val="center"/>
              <w:rPr>
                <w:rFonts w:hint="eastAsia"/>
                <w:b/>
                <w:color w:val="auto"/>
                <w:kern w:val="0"/>
                <w:szCs w:val="21"/>
                <w:lang w:bidi="ar"/>
              </w:rPr>
            </w:pPr>
            <w:r>
              <w:rPr>
                <w:rFonts w:hint="eastAsia"/>
                <w:b/>
                <w:color w:val="auto"/>
                <w:kern w:val="0"/>
                <w:szCs w:val="21"/>
                <w:lang w:bidi="ar"/>
              </w:rPr>
              <w:t>表4-</w:t>
            </w:r>
            <w:r>
              <w:rPr>
                <w:rFonts w:hint="eastAsia"/>
                <w:b/>
                <w:color w:val="auto"/>
                <w:kern w:val="0"/>
                <w:szCs w:val="21"/>
                <w:lang w:val="en-US" w:eastAsia="zh-CN" w:bidi="ar"/>
              </w:rPr>
              <w:t>8</w:t>
            </w:r>
            <w:r>
              <w:rPr>
                <w:rFonts w:hint="eastAsia"/>
                <w:b/>
                <w:color w:val="auto"/>
                <w:kern w:val="0"/>
                <w:szCs w:val="21"/>
                <w:lang w:bidi="ar"/>
              </w:rPr>
              <w:t xml:space="preserve"> </w:t>
            </w:r>
            <w:r>
              <w:rPr>
                <w:rFonts w:hint="eastAsia"/>
                <w:b/>
                <w:color w:val="auto"/>
                <w:kern w:val="0"/>
                <w:szCs w:val="21"/>
                <w:lang w:val="en-US" w:eastAsia="zh-CN" w:bidi="ar"/>
              </w:rPr>
              <w:t xml:space="preserve"> </w:t>
            </w:r>
            <w:r>
              <w:rPr>
                <w:rFonts w:hint="eastAsia"/>
                <w:b/>
                <w:color w:val="auto"/>
                <w:kern w:val="0"/>
                <w:szCs w:val="21"/>
                <w:lang w:bidi="ar"/>
              </w:rPr>
              <w:t xml:space="preserve"> 项目区域防渗要求</w:t>
            </w:r>
          </w:p>
          <w:tbl>
            <w:tblPr>
              <w:tblStyle w:val="27"/>
              <w:tblW w:w="5000"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141"/>
              <w:gridCol w:w="1665"/>
              <w:gridCol w:w="1666"/>
              <w:gridCol w:w="3474"/>
            </w:tblGrid>
            <w:tr w14:paraId="0783ED2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718" w:type="pct"/>
                  <w:tcBorders>
                    <w:bottom w:val="single" w:color="000000" w:sz="12" w:space="0"/>
                  </w:tcBorders>
                  <w:noWrap w:val="0"/>
                  <w:vAlign w:val="center"/>
                </w:tcPr>
                <w:p w14:paraId="6DF6AF61">
                  <w:pPr>
                    <w:autoSpaceDE w:val="0"/>
                    <w:autoSpaceDN w:val="0"/>
                    <w:adjustRightInd w:val="0"/>
                    <w:jc w:val="center"/>
                    <w:rPr>
                      <w:b/>
                      <w:bCs/>
                      <w:color w:val="auto"/>
                      <w:szCs w:val="20"/>
                    </w:rPr>
                  </w:pPr>
                  <w:r>
                    <w:rPr>
                      <w:rFonts w:hint="eastAsia"/>
                      <w:b/>
                      <w:bCs/>
                      <w:color w:val="auto"/>
                      <w:szCs w:val="20"/>
                    </w:rPr>
                    <w:t>序号</w:t>
                  </w:r>
                </w:p>
              </w:tc>
              <w:tc>
                <w:tcPr>
                  <w:tcW w:w="1047" w:type="pct"/>
                  <w:tcBorders>
                    <w:bottom w:val="single" w:color="000000" w:sz="12" w:space="0"/>
                  </w:tcBorders>
                  <w:noWrap w:val="0"/>
                  <w:vAlign w:val="center"/>
                </w:tcPr>
                <w:p w14:paraId="414DD572">
                  <w:pPr>
                    <w:autoSpaceDE w:val="0"/>
                    <w:autoSpaceDN w:val="0"/>
                    <w:adjustRightInd w:val="0"/>
                    <w:jc w:val="center"/>
                    <w:rPr>
                      <w:rFonts w:hint="eastAsia"/>
                      <w:b/>
                      <w:bCs/>
                      <w:color w:val="auto"/>
                      <w:szCs w:val="20"/>
                    </w:rPr>
                  </w:pPr>
                  <w:r>
                    <w:rPr>
                      <w:rFonts w:hint="eastAsia"/>
                      <w:b/>
                      <w:bCs/>
                      <w:color w:val="auto"/>
                      <w:szCs w:val="20"/>
                    </w:rPr>
                    <w:t>防渗分区</w:t>
                  </w:r>
                </w:p>
              </w:tc>
              <w:tc>
                <w:tcPr>
                  <w:tcW w:w="1048" w:type="pct"/>
                  <w:tcBorders>
                    <w:bottom w:val="single" w:color="000000" w:sz="12" w:space="0"/>
                  </w:tcBorders>
                  <w:noWrap w:val="0"/>
                  <w:vAlign w:val="center"/>
                </w:tcPr>
                <w:p w14:paraId="039547A7">
                  <w:pPr>
                    <w:autoSpaceDE w:val="0"/>
                    <w:autoSpaceDN w:val="0"/>
                    <w:adjustRightInd w:val="0"/>
                    <w:jc w:val="center"/>
                    <w:rPr>
                      <w:rFonts w:hint="eastAsia"/>
                      <w:b/>
                      <w:bCs/>
                      <w:color w:val="auto"/>
                      <w:szCs w:val="20"/>
                    </w:rPr>
                  </w:pPr>
                  <w:r>
                    <w:rPr>
                      <w:rFonts w:hint="eastAsia"/>
                      <w:b/>
                      <w:bCs/>
                      <w:color w:val="auto"/>
                      <w:szCs w:val="20"/>
                    </w:rPr>
                    <w:t>具体范围</w:t>
                  </w:r>
                </w:p>
              </w:tc>
              <w:tc>
                <w:tcPr>
                  <w:tcW w:w="2185" w:type="pct"/>
                  <w:tcBorders>
                    <w:bottom w:val="single" w:color="000000" w:sz="12" w:space="0"/>
                  </w:tcBorders>
                  <w:noWrap w:val="0"/>
                  <w:vAlign w:val="center"/>
                </w:tcPr>
                <w:p w14:paraId="7DDEA807">
                  <w:pPr>
                    <w:autoSpaceDE w:val="0"/>
                    <w:autoSpaceDN w:val="0"/>
                    <w:adjustRightInd w:val="0"/>
                    <w:jc w:val="center"/>
                    <w:rPr>
                      <w:b/>
                      <w:bCs/>
                      <w:color w:val="auto"/>
                      <w:szCs w:val="20"/>
                    </w:rPr>
                  </w:pPr>
                  <w:r>
                    <w:rPr>
                      <w:rFonts w:hint="eastAsia"/>
                      <w:b/>
                      <w:bCs/>
                      <w:color w:val="auto"/>
                      <w:szCs w:val="20"/>
                    </w:rPr>
                    <w:t>应该达到的防渗等级要求</w:t>
                  </w:r>
                </w:p>
              </w:tc>
            </w:tr>
            <w:tr w14:paraId="53DBF6A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718" w:type="pct"/>
                  <w:tcBorders>
                    <w:top w:val="single" w:color="000000" w:sz="12" w:space="0"/>
                  </w:tcBorders>
                  <w:noWrap w:val="0"/>
                  <w:vAlign w:val="center"/>
                </w:tcPr>
                <w:p w14:paraId="040A13F6">
                  <w:pPr>
                    <w:autoSpaceDE w:val="0"/>
                    <w:autoSpaceDN w:val="0"/>
                    <w:adjustRightInd w:val="0"/>
                    <w:jc w:val="center"/>
                    <w:rPr>
                      <w:color w:val="auto"/>
                      <w:szCs w:val="20"/>
                    </w:rPr>
                  </w:pPr>
                  <w:r>
                    <w:rPr>
                      <w:rFonts w:hint="eastAsia"/>
                      <w:color w:val="auto"/>
                      <w:szCs w:val="20"/>
                    </w:rPr>
                    <w:t>1</w:t>
                  </w:r>
                </w:p>
              </w:tc>
              <w:tc>
                <w:tcPr>
                  <w:tcW w:w="1047" w:type="pct"/>
                  <w:tcBorders>
                    <w:top w:val="single" w:color="000000" w:sz="12" w:space="0"/>
                  </w:tcBorders>
                  <w:noWrap w:val="0"/>
                  <w:vAlign w:val="center"/>
                </w:tcPr>
                <w:p w14:paraId="282396EC">
                  <w:pPr>
                    <w:autoSpaceDE w:val="0"/>
                    <w:autoSpaceDN w:val="0"/>
                    <w:adjustRightInd w:val="0"/>
                    <w:jc w:val="center"/>
                    <w:rPr>
                      <w:color w:val="auto"/>
                      <w:szCs w:val="20"/>
                    </w:rPr>
                  </w:pPr>
                  <w:r>
                    <w:rPr>
                      <w:rFonts w:hint="eastAsia"/>
                      <w:color w:val="auto"/>
                      <w:szCs w:val="20"/>
                    </w:rPr>
                    <w:t>重点防渗区</w:t>
                  </w:r>
                </w:p>
              </w:tc>
              <w:tc>
                <w:tcPr>
                  <w:tcW w:w="1675" w:type="dxa"/>
                  <w:tcBorders>
                    <w:top w:val="single" w:color="000000" w:sz="12" w:space="0"/>
                  </w:tcBorders>
                  <w:noWrap w:val="0"/>
                  <w:vAlign w:val="center"/>
                </w:tcPr>
                <w:p w14:paraId="0E027D61">
                  <w:pPr>
                    <w:autoSpaceDE w:val="0"/>
                    <w:autoSpaceDN w:val="0"/>
                    <w:adjustRightInd w:val="0"/>
                    <w:jc w:val="center"/>
                    <w:rPr>
                      <w:rFonts w:hint="eastAsia"/>
                      <w:color w:val="auto"/>
                      <w:szCs w:val="20"/>
                    </w:rPr>
                  </w:pPr>
                  <w:r>
                    <w:rPr>
                      <w:rFonts w:hint="eastAsia"/>
                      <w:color w:val="auto"/>
                      <w:szCs w:val="20"/>
                    </w:rPr>
                    <w:t>危险废物贮存点</w:t>
                  </w:r>
                </w:p>
              </w:tc>
              <w:tc>
                <w:tcPr>
                  <w:tcW w:w="2185" w:type="pct"/>
                  <w:tcBorders>
                    <w:top w:val="single" w:color="000000" w:sz="12" w:space="0"/>
                  </w:tcBorders>
                  <w:noWrap w:val="0"/>
                  <w:vAlign w:val="center"/>
                </w:tcPr>
                <w:p w14:paraId="6B6C974A">
                  <w:pPr>
                    <w:ind w:left="-63" w:leftChars="-30" w:right="-63" w:rightChars="-30"/>
                    <w:rPr>
                      <w:rFonts w:hint="eastAsia"/>
                      <w:color w:val="auto"/>
                      <w:szCs w:val="20"/>
                    </w:rPr>
                  </w:pPr>
                  <w:r>
                    <w:rPr>
                      <w:rFonts w:hint="eastAsia"/>
                      <w:color w:val="auto"/>
                      <w:szCs w:val="21"/>
                    </w:rPr>
                    <w:t>危险废物贮存点地面</w:t>
                  </w:r>
                  <w:r>
                    <w:rPr>
                      <w:color w:val="auto"/>
                      <w:szCs w:val="21"/>
                    </w:rPr>
                    <w:t>防渗材料可采用抗渗混凝土、高密度聚乙烯膜</w:t>
                  </w:r>
                  <w:r>
                    <w:rPr>
                      <w:rFonts w:hint="eastAsia"/>
                      <w:color w:val="auto"/>
                      <w:szCs w:val="21"/>
                    </w:rPr>
                    <w:t>等</w:t>
                  </w:r>
                  <w:r>
                    <w:rPr>
                      <w:color w:val="auto"/>
                      <w:szCs w:val="21"/>
                    </w:rPr>
                    <w:t>材料</w:t>
                  </w:r>
                  <w:r>
                    <w:rPr>
                      <w:rFonts w:hint="eastAsia"/>
                      <w:color w:val="auto"/>
                      <w:szCs w:val="21"/>
                    </w:rPr>
                    <w:t>，同时</w:t>
                  </w:r>
                  <w:r>
                    <w:rPr>
                      <w:color w:val="auto"/>
                      <w:szCs w:val="21"/>
                    </w:rPr>
                    <w:t>应进行基础防渗，防渗层为至少 1 m 厚黏土层（渗透系数不大于10</w:t>
                  </w:r>
                  <w:r>
                    <w:rPr>
                      <w:color w:val="auto"/>
                      <w:szCs w:val="21"/>
                      <w:vertAlign w:val="superscript"/>
                    </w:rPr>
                    <w:t>-7</w:t>
                  </w:r>
                  <w:r>
                    <w:rPr>
                      <w:color w:val="auto"/>
                      <w:szCs w:val="21"/>
                    </w:rPr>
                    <w:t xml:space="preserve"> cm/s），或至少2 mm 厚高密度聚乙烯膜等人工防渗材料（渗透系数不大于 10</w:t>
                  </w:r>
                  <w:r>
                    <w:rPr>
                      <w:color w:val="auto"/>
                      <w:szCs w:val="21"/>
                      <w:vertAlign w:val="superscript"/>
                    </w:rPr>
                    <w:t>-10</w:t>
                  </w:r>
                  <w:r>
                    <w:rPr>
                      <w:color w:val="auto"/>
                      <w:szCs w:val="21"/>
                    </w:rPr>
                    <w:t xml:space="preserve"> cm/s）。</w:t>
                  </w:r>
                </w:p>
              </w:tc>
            </w:tr>
            <w:tr w14:paraId="5879DCF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jc w:val="center"/>
              </w:trPr>
              <w:tc>
                <w:tcPr>
                  <w:tcW w:w="718" w:type="pct"/>
                  <w:noWrap w:val="0"/>
                  <w:vAlign w:val="center"/>
                </w:tcPr>
                <w:p w14:paraId="413B049B">
                  <w:pPr>
                    <w:autoSpaceDE w:val="0"/>
                    <w:autoSpaceDN w:val="0"/>
                    <w:adjustRightInd w:val="0"/>
                    <w:jc w:val="center"/>
                    <w:rPr>
                      <w:rFonts w:hint="eastAsia"/>
                      <w:color w:val="auto"/>
                      <w:szCs w:val="20"/>
                    </w:rPr>
                  </w:pPr>
                  <w:r>
                    <w:rPr>
                      <w:rFonts w:hint="eastAsia"/>
                      <w:color w:val="auto"/>
                      <w:szCs w:val="20"/>
                    </w:rPr>
                    <w:t>2</w:t>
                  </w:r>
                </w:p>
              </w:tc>
              <w:tc>
                <w:tcPr>
                  <w:tcW w:w="1047" w:type="pct"/>
                  <w:noWrap w:val="0"/>
                  <w:vAlign w:val="center"/>
                </w:tcPr>
                <w:p w14:paraId="6FE2C4AD">
                  <w:pPr>
                    <w:autoSpaceDE w:val="0"/>
                    <w:autoSpaceDN w:val="0"/>
                    <w:adjustRightInd w:val="0"/>
                    <w:jc w:val="center"/>
                    <w:rPr>
                      <w:color w:val="auto"/>
                      <w:szCs w:val="20"/>
                    </w:rPr>
                  </w:pPr>
                  <w:r>
                    <w:rPr>
                      <w:rFonts w:hint="eastAsia"/>
                      <w:color w:val="auto"/>
                      <w:szCs w:val="20"/>
                    </w:rPr>
                    <w:t>一般防渗区</w:t>
                  </w:r>
                </w:p>
              </w:tc>
              <w:tc>
                <w:tcPr>
                  <w:tcW w:w="1675" w:type="dxa"/>
                  <w:noWrap w:val="0"/>
                  <w:vAlign w:val="center"/>
                </w:tcPr>
                <w:p w14:paraId="370FEC6F">
                  <w:pPr>
                    <w:autoSpaceDE w:val="0"/>
                    <w:autoSpaceDN w:val="0"/>
                    <w:adjustRightInd w:val="0"/>
                    <w:jc w:val="center"/>
                    <w:rPr>
                      <w:color w:val="auto"/>
                      <w:szCs w:val="20"/>
                    </w:rPr>
                  </w:pPr>
                  <w:r>
                    <w:rPr>
                      <w:rFonts w:hint="eastAsia"/>
                      <w:color w:val="auto"/>
                      <w:szCs w:val="20"/>
                    </w:rPr>
                    <w:t>灰渣库、化粪池、脱硫沉淀池</w:t>
                  </w:r>
                </w:p>
              </w:tc>
              <w:tc>
                <w:tcPr>
                  <w:tcW w:w="2185" w:type="pct"/>
                  <w:noWrap w:val="0"/>
                  <w:vAlign w:val="center"/>
                </w:tcPr>
                <w:p w14:paraId="24B8CA20">
                  <w:pPr>
                    <w:ind w:left="-63" w:leftChars="-30" w:right="-63" w:rightChars="-30"/>
                    <w:rPr>
                      <w:color w:val="auto"/>
                      <w:szCs w:val="20"/>
                    </w:rPr>
                  </w:pPr>
                  <w:r>
                    <w:rPr>
                      <w:color w:val="auto"/>
                      <w:szCs w:val="21"/>
                    </w:rPr>
                    <w:t>防渗性能应</w:t>
                  </w:r>
                  <w:r>
                    <w:rPr>
                      <w:rFonts w:hint="eastAsia"/>
                      <w:color w:val="auto"/>
                      <w:szCs w:val="21"/>
                    </w:rPr>
                    <w:t>不</w:t>
                  </w:r>
                  <w:r>
                    <w:rPr>
                      <w:color w:val="auto"/>
                      <w:szCs w:val="21"/>
                    </w:rPr>
                    <w:t>低于1.5m厚</w:t>
                  </w:r>
                  <w:r>
                    <w:rPr>
                      <w:rFonts w:hint="eastAsia"/>
                      <w:color w:val="auto"/>
                      <w:szCs w:val="21"/>
                    </w:rPr>
                    <w:t>，</w:t>
                  </w:r>
                  <w:r>
                    <w:rPr>
                      <w:color w:val="auto"/>
                      <w:szCs w:val="21"/>
                    </w:rPr>
                    <w:t>渗透系数10</w:t>
                  </w:r>
                  <w:r>
                    <w:rPr>
                      <w:color w:val="auto"/>
                      <w:szCs w:val="21"/>
                      <w:vertAlign w:val="superscript"/>
                    </w:rPr>
                    <w:t>-7</w:t>
                  </w:r>
                  <w:r>
                    <w:rPr>
                      <w:color w:val="auto"/>
                      <w:szCs w:val="21"/>
                    </w:rPr>
                    <w:t>cm/s的黏土层的防渗性能。</w:t>
                  </w:r>
                </w:p>
              </w:tc>
            </w:tr>
            <w:tr w14:paraId="0B1F300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73" w:hRule="atLeast"/>
                <w:jc w:val="center"/>
              </w:trPr>
              <w:tc>
                <w:tcPr>
                  <w:tcW w:w="718" w:type="pct"/>
                  <w:noWrap w:val="0"/>
                  <w:vAlign w:val="center"/>
                </w:tcPr>
                <w:p w14:paraId="4EA06E98">
                  <w:pPr>
                    <w:autoSpaceDE w:val="0"/>
                    <w:autoSpaceDN w:val="0"/>
                    <w:adjustRightInd w:val="0"/>
                    <w:jc w:val="center"/>
                    <w:rPr>
                      <w:rFonts w:hint="eastAsia"/>
                      <w:color w:val="auto"/>
                      <w:szCs w:val="20"/>
                    </w:rPr>
                  </w:pPr>
                  <w:r>
                    <w:rPr>
                      <w:rFonts w:hint="eastAsia"/>
                      <w:color w:val="auto"/>
                      <w:szCs w:val="20"/>
                    </w:rPr>
                    <w:t>3</w:t>
                  </w:r>
                </w:p>
              </w:tc>
              <w:tc>
                <w:tcPr>
                  <w:tcW w:w="1047" w:type="pct"/>
                  <w:noWrap w:val="0"/>
                  <w:vAlign w:val="center"/>
                </w:tcPr>
                <w:p w14:paraId="75C9D58D">
                  <w:pPr>
                    <w:autoSpaceDE w:val="0"/>
                    <w:autoSpaceDN w:val="0"/>
                    <w:adjustRightInd w:val="0"/>
                    <w:jc w:val="center"/>
                    <w:rPr>
                      <w:color w:val="auto"/>
                      <w:szCs w:val="20"/>
                    </w:rPr>
                  </w:pPr>
                  <w:r>
                    <w:rPr>
                      <w:rFonts w:hint="eastAsia"/>
                      <w:color w:val="auto"/>
                      <w:szCs w:val="20"/>
                    </w:rPr>
                    <w:t>简单防渗区</w:t>
                  </w:r>
                </w:p>
              </w:tc>
              <w:tc>
                <w:tcPr>
                  <w:tcW w:w="1675" w:type="dxa"/>
                  <w:noWrap w:val="0"/>
                  <w:vAlign w:val="center"/>
                </w:tcPr>
                <w:p w14:paraId="1484F075">
                  <w:pPr>
                    <w:autoSpaceDE w:val="0"/>
                    <w:autoSpaceDN w:val="0"/>
                    <w:adjustRightInd w:val="0"/>
                    <w:jc w:val="center"/>
                    <w:rPr>
                      <w:rFonts w:hint="eastAsia"/>
                      <w:color w:val="auto"/>
                      <w:szCs w:val="20"/>
                    </w:rPr>
                  </w:pPr>
                  <w:r>
                    <w:rPr>
                      <w:rFonts w:hint="eastAsia"/>
                      <w:color w:val="auto"/>
                      <w:szCs w:val="20"/>
                    </w:rPr>
                    <w:t>其他区域</w:t>
                  </w:r>
                </w:p>
              </w:tc>
              <w:tc>
                <w:tcPr>
                  <w:tcW w:w="2185" w:type="pct"/>
                  <w:noWrap w:val="0"/>
                  <w:vAlign w:val="center"/>
                </w:tcPr>
                <w:p w14:paraId="41B75A03">
                  <w:pPr>
                    <w:widowControl/>
                    <w:jc w:val="center"/>
                    <w:rPr>
                      <w:color w:val="auto"/>
                      <w:szCs w:val="20"/>
                    </w:rPr>
                  </w:pPr>
                  <w:r>
                    <w:rPr>
                      <w:rFonts w:hint="eastAsia"/>
                      <w:color w:val="auto"/>
                      <w:szCs w:val="20"/>
                    </w:rPr>
                    <w:t>一般地面硬化</w:t>
                  </w:r>
                </w:p>
              </w:tc>
            </w:tr>
          </w:tbl>
          <w:p w14:paraId="0CE9F22B">
            <w:pPr>
              <w:spacing w:line="360" w:lineRule="auto"/>
              <w:ind w:firstLine="480" w:firstLineChars="200"/>
              <w:rPr>
                <w:color w:val="auto"/>
                <w:sz w:val="24"/>
              </w:rPr>
            </w:pPr>
            <w:r>
              <w:rPr>
                <w:rFonts w:hint="eastAsia"/>
                <w:color w:val="auto"/>
                <w:sz w:val="24"/>
                <w:szCs w:val="32"/>
              </w:rPr>
              <w:t>通过采取以上措施，本项目对可能产生地下水、土壤环境影响的各项途径均进行有效地预防，在确保各项防渗措施得以落实，并加强维护和厂区环境管理的前提下，可以有效地控制危险废物贮存点、污水发生渗漏，避免污染地下水和土壤。因此，该项目不会对区域地下水和土壤环境产生明显影响。</w:t>
            </w:r>
          </w:p>
          <w:bookmarkEnd w:id="4"/>
          <w:p w14:paraId="2F0E3306">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default" w:ascii="Times New Roman" w:hAnsi="Times New Roman" w:eastAsia="宋体" w:cs="Times New Roman"/>
                <w:b/>
                <w:bCs/>
                <w:color w:val="auto"/>
                <w:sz w:val="24"/>
                <w:szCs w:val="32"/>
                <w:lang w:val="en-US" w:eastAsia="zh-CN"/>
              </w:rPr>
            </w:pPr>
            <w:r>
              <w:rPr>
                <w:rFonts w:hint="eastAsia" w:ascii="Times New Roman" w:hAnsi="Times New Roman" w:eastAsia="宋体" w:cs="Times New Roman"/>
                <w:b/>
                <w:bCs/>
                <w:color w:val="auto"/>
                <w:sz w:val="24"/>
                <w:szCs w:val="32"/>
                <w:lang w:val="en-US" w:eastAsia="zh-CN"/>
              </w:rPr>
              <w:t>6 生态影响减缓措施</w:t>
            </w:r>
          </w:p>
          <w:p w14:paraId="5E0E0D7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default" w:ascii="Times New Roman" w:hAnsi="Times New Roman" w:eastAsia="宋体" w:cs="Times New Roman"/>
                <w:b/>
                <w:bCs/>
                <w:color w:val="auto"/>
                <w:sz w:val="24"/>
                <w:szCs w:val="32"/>
                <w:lang w:val="en-US" w:eastAsia="zh-CN"/>
              </w:rPr>
            </w:pPr>
            <w:r>
              <w:rPr>
                <w:rFonts w:ascii="宋体" w:hAnsi="宋体" w:eastAsia="宋体" w:cs="宋体"/>
                <w:color w:val="auto"/>
                <w:sz w:val="24"/>
                <w:szCs w:val="24"/>
              </w:rPr>
              <w:t>运营期建筑垃圾堆存、装卸作业产生无组织扬尘，颗粒物存在向南侧农田沉降的潜在风险。项目采取硬质围挡、分区喷淋抑尘、大风天气停止装卸作业等管控手段，降低扬尘扩散量；场区南侧建设乔灌搭配的绿化隔离带，阻隔颗粒物远距离扩散，减轻粉尘在农作物表面的沉降附着。在</w:t>
            </w:r>
            <w:r>
              <w:rPr>
                <w:rFonts w:hint="eastAsia" w:ascii="宋体" w:hAnsi="宋体" w:eastAsia="宋体" w:cs="宋体"/>
                <w:color w:val="auto"/>
                <w:sz w:val="24"/>
                <w:szCs w:val="24"/>
                <w:lang w:val="en-US" w:eastAsia="zh-CN"/>
              </w:rPr>
              <w:t>落实本环评提出的</w:t>
            </w:r>
            <w:r>
              <w:rPr>
                <w:rFonts w:ascii="宋体" w:hAnsi="宋体" w:eastAsia="宋体" w:cs="宋体"/>
                <w:color w:val="auto"/>
                <w:sz w:val="24"/>
                <w:szCs w:val="24"/>
              </w:rPr>
              <w:t>生态防护措施落实前提下，项目运营不会对南侧耕地质量及农作物生长造成显著不利影响。</w:t>
            </w:r>
          </w:p>
          <w:p w14:paraId="35FC4C45">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ascii="Times New Roman" w:hAnsi="Times New Roman" w:eastAsia="宋体" w:cs="Times New Roman"/>
                <w:b/>
                <w:bCs/>
                <w:color w:val="auto"/>
                <w:sz w:val="24"/>
                <w:szCs w:val="32"/>
                <w:lang w:val="en-US" w:eastAsia="zh-CN"/>
              </w:rPr>
            </w:pPr>
            <w:r>
              <w:rPr>
                <w:rFonts w:hint="eastAsia" w:ascii="Times New Roman" w:hAnsi="Times New Roman" w:eastAsia="宋体" w:cs="Times New Roman"/>
                <w:b/>
                <w:bCs/>
                <w:color w:val="auto"/>
                <w:sz w:val="24"/>
                <w:szCs w:val="32"/>
                <w:lang w:val="en-US" w:eastAsia="zh-CN"/>
              </w:rPr>
              <w:t>7环境风险</w:t>
            </w:r>
          </w:p>
          <w:p w14:paraId="68A8CC2F">
            <w:pPr>
              <w:pStyle w:val="9"/>
              <w:spacing w:before="0" w:beforeLines="0" w:after="0" w:afterLines="0"/>
              <w:ind w:firstLine="480"/>
              <w:rPr>
                <w:color w:val="auto"/>
                <w:lang w:val="zh-CN"/>
              </w:rPr>
            </w:pPr>
            <w:r>
              <w:rPr>
                <w:rFonts w:hint="eastAsia"/>
                <w:color w:val="auto"/>
                <w:lang w:eastAsia="zh-CN"/>
              </w:rPr>
              <w:t>（</w:t>
            </w:r>
            <w:r>
              <w:rPr>
                <w:rFonts w:hint="eastAsia"/>
                <w:color w:val="auto"/>
                <w:lang w:val="en-US" w:eastAsia="zh-CN"/>
              </w:rPr>
              <w:t>1</w:t>
            </w:r>
            <w:r>
              <w:rPr>
                <w:rFonts w:hint="eastAsia"/>
                <w:color w:val="auto"/>
                <w:lang w:eastAsia="zh-CN"/>
              </w:rPr>
              <w:t>）</w:t>
            </w:r>
            <w:r>
              <w:rPr>
                <w:color w:val="auto"/>
                <w:lang w:val="zh-CN"/>
              </w:rPr>
              <w:t>风险源及分布情况</w:t>
            </w:r>
          </w:p>
          <w:p w14:paraId="0C3D68E5">
            <w:pPr>
              <w:spacing w:line="360" w:lineRule="auto"/>
              <w:ind w:firstLine="480" w:firstLineChars="200"/>
              <w:rPr>
                <w:color w:val="auto"/>
                <w:sz w:val="24"/>
                <w:shd w:val="clear" w:color="auto" w:fill="FFFFFF"/>
              </w:rPr>
            </w:pPr>
            <w:r>
              <w:rPr>
                <w:color w:val="auto"/>
                <w:sz w:val="24"/>
                <w:shd w:val="clear" w:color="auto" w:fill="FFFFFF"/>
              </w:rPr>
              <w:t>根据项目原辅材料及产品情况，对照《建设项目环境风险评价技术导则》</w:t>
            </w:r>
            <w:r>
              <w:rPr>
                <w:rFonts w:hint="eastAsia"/>
                <w:color w:val="auto"/>
                <w:sz w:val="24"/>
                <w:shd w:val="clear" w:color="auto" w:fill="FFFFFF"/>
              </w:rPr>
              <w:t>（</w:t>
            </w:r>
            <w:r>
              <w:rPr>
                <w:color w:val="auto"/>
                <w:sz w:val="24"/>
                <w:shd w:val="clear" w:color="auto" w:fill="FFFFFF"/>
              </w:rPr>
              <w:t>HJ169-2018</w:t>
            </w:r>
            <w:r>
              <w:rPr>
                <w:rFonts w:hint="eastAsia"/>
                <w:color w:val="auto"/>
                <w:sz w:val="24"/>
                <w:shd w:val="clear" w:color="auto" w:fill="FFFFFF"/>
              </w:rPr>
              <w:t>）</w:t>
            </w:r>
            <w:r>
              <w:rPr>
                <w:color w:val="auto"/>
                <w:sz w:val="24"/>
                <w:shd w:val="clear" w:color="auto" w:fill="FFFFFF"/>
              </w:rPr>
              <w:t>附录B，</w:t>
            </w:r>
            <w:r>
              <w:rPr>
                <w:rFonts w:hint="eastAsia"/>
                <w:color w:val="auto"/>
                <w:sz w:val="24"/>
                <w:shd w:val="clear" w:color="auto" w:fill="FFFFFF"/>
              </w:rPr>
              <w:t>本</w:t>
            </w:r>
            <w:r>
              <w:rPr>
                <w:color w:val="auto"/>
                <w:sz w:val="24"/>
                <w:shd w:val="clear" w:color="auto" w:fill="FFFFFF"/>
              </w:rPr>
              <w:t>项目涉及</w:t>
            </w:r>
            <w:r>
              <w:rPr>
                <w:rFonts w:hint="eastAsia"/>
                <w:color w:val="auto"/>
                <w:sz w:val="24"/>
                <w:shd w:val="clear" w:color="auto" w:fill="FFFFFF"/>
              </w:rPr>
              <w:t>的环境</w:t>
            </w:r>
            <w:r>
              <w:rPr>
                <w:color w:val="auto"/>
                <w:sz w:val="24"/>
                <w:shd w:val="clear" w:color="auto" w:fill="FFFFFF"/>
              </w:rPr>
              <w:t>风险物质</w:t>
            </w:r>
            <w:r>
              <w:rPr>
                <w:rFonts w:hint="eastAsia"/>
                <w:color w:val="auto"/>
                <w:sz w:val="24"/>
                <w:shd w:val="clear" w:color="auto" w:fill="FFFFFF"/>
              </w:rPr>
              <w:t>主要为</w:t>
            </w:r>
            <w:r>
              <w:rPr>
                <w:rFonts w:hint="eastAsia"/>
                <w:color w:val="auto"/>
                <w:sz w:val="24"/>
                <w:shd w:val="clear" w:color="auto" w:fill="FFFFFF"/>
                <w:lang w:val="en-US" w:eastAsia="zh-CN"/>
              </w:rPr>
              <w:t>废机油</w:t>
            </w:r>
            <w:r>
              <w:rPr>
                <w:color w:val="auto"/>
                <w:sz w:val="24"/>
                <w:shd w:val="clear" w:color="auto" w:fill="FFFFFF"/>
              </w:rPr>
              <w:t>。</w:t>
            </w:r>
          </w:p>
          <w:p w14:paraId="4A4433CE">
            <w:pPr>
              <w:spacing w:line="360" w:lineRule="auto"/>
              <w:ind w:firstLine="480" w:firstLineChars="200"/>
              <w:rPr>
                <w:rFonts w:hint="eastAsia"/>
                <w:color w:val="auto"/>
                <w:sz w:val="24"/>
                <w:shd w:val="clear" w:color="auto" w:fill="FFFFFF"/>
              </w:rPr>
            </w:pPr>
            <w:r>
              <w:rPr>
                <w:rFonts w:hint="eastAsia"/>
                <w:color w:val="auto"/>
                <w:sz w:val="24"/>
                <w:shd w:val="clear" w:color="auto" w:fill="FFFFFF"/>
                <w:lang w:eastAsia="zh-CN"/>
              </w:rPr>
              <w:t>废机油</w:t>
            </w:r>
            <w:r>
              <w:rPr>
                <w:rFonts w:hint="eastAsia"/>
                <w:color w:val="auto"/>
                <w:sz w:val="24"/>
                <w:shd w:val="clear" w:color="auto" w:fill="FFFFFF"/>
              </w:rPr>
              <w:t>理化性质见表4-</w:t>
            </w:r>
            <w:r>
              <w:rPr>
                <w:rFonts w:hint="eastAsia"/>
                <w:color w:val="auto"/>
                <w:sz w:val="24"/>
                <w:shd w:val="clear" w:color="auto" w:fill="FFFFFF"/>
                <w:lang w:val="en-US" w:eastAsia="zh-CN"/>
              </w:rPr>
              <w:t>9</w:t>
            </w:r>
            <w:r>
              <w:rPr>
                <w:rFonts w:hint="eastAsia"/>
                <w:color w:val="auto"/>
                <w:sz w:val="24"/>
                <w:shd w:val="clear" w:color="auto" w:fill="FFFFFF"/>
              </w:rPr>
              <w:t>。</w:t>
            </w:r>
          </w:p>
          <w:p w14:paraId="4275EE33">
            <w:pPr>
              <w:widowControl/>
              <w:jc w:val="center"/>
              <w:rPr>
                <w:rFonts w:hint="eastAsia"/>
                <w:b/>
                <w:color w:val="auto"/>
                <w:kern w:val="0"/>
                <w:szCs w:val="21"/>
                <w:lang w:bidi="ar"/>
              </w:rPr>
            </w:pPr>
            <w:r>
              <w:rPr>
                <w:rFonts w:hint="eastAsia"/>
                <w:b/>
                <w:color w:val="auto"/>
                <w:kern w:val="0"/>
                <w:szCs w:val="21"/>
                <w:lang w:bidi="ar"/>
              </w:rPr>
              <w:t>表4-</w:t>
            </w:r>
            <w:r>
              <w:rPr>
                <w:rFonts w:hint="eastAsia"/>
                <w:b/>
                <w:color w:val="auto"/>
                <w:kern w:val="0"/>
                <w:szCs w:val="21"/>
                <w:lang w:val="en-US" w:eastAsia="zh-CN" w:bidi="ar"/>
              </w:rPr>
              <w:t>9</w:t>
            </w:r>
            <w:r>
              <w:rPr>
                <w:rFonts w:hint="eastAsia"/>
                <w:b/>
                <w:color w:val="auto"/>
                <w:kern w:val="0"/>
                <w:szCs w:val="21"/>
                <w:lang w:bidi="ar"/>
              </w:rPr>
              <w:t xml:space="preserve">  </w:t>
            </w:r>
            <w:r>
              <w:rPr>
                <w:rFonts w:hint="eastAsia"/>
                <w:b/>
                <w:color w:val="auto"/>
                <w:kern w:val="0"/>
                <w:szCs w:val="21"/>
                <w:lang w:val="en-US" w:eastAsia="zh-CN" w:bidi="ar"/>
              </w:rPr>
              <w:t xml:space="preserve"> </w:t>
            </w:r>
            <w:r>
              <w:rPr>
                <w:rFonts w:hint="eastAsia"/>
                <w:b/>
                <w:color w:val="auto"/>
                <w:kern w:val="0"/>
                <w:szCs w:val="21"/>
                <w:lang w:eastAsia="zh-CN" w:bidi="ar"/>
              </w:rPr>
              <w:t>废机油</w:t>
            </w:r>
            <w:r>
              <w:rPr>
                <w:rFonts w:hint="eastAsia"/>
                <w:b/>
                <w:color w:val="auto"/>
                <w:kern w:val="0"/>
                <w:szCs w:val="21"/>
                <w:lang w:bidi="ar"/>
              </w:rPr>
              <w:t>理化性质表</w:t>
            </w:r>
          </w:p>
          <w:tbl>
            <w:tblPr>
              <w:tblStyle w:val="2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35"/>
              <w:gridCol w:w="2805"/>
              <w:gridCol w:w="3606"/>
            </w:tblGrid>
            <w:tr w14:paraId="6B4D37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42" w:type="dxa"/>
                  <w:tcBorders>
                    <w:bottom w:val="single" w:color="auto" w:sz="12" w:space="0"/>
                  </w:tcBorders>
                  <w:noWrap w:val="0"/>
                  <w:vAlign w:val="center"/>
                </w:tcPr>
                <w:p w14:paraId="175081C3">
                  <w:pPr>
                    <w:jc w:val="center"/>
                    <w:rPr>
                      <w:rFonts w:hint="eastAsia"/>
                      <w:b/>
                      <w:bCs/>
                      <w:color w:val="auto"/>
                      <w:szCs w:val="21"/>
                      <w:lang w:val="zh-CN" w:bidi="zh-CN"/>
                    </w:rPr>
                  </w:pPr>
                  <w:r>
                    <w:rPr>
                      <w:rFonts w:hint="eastAsia"/>
                      <w:b/>
                      <w:bCs/>
                      <w:color w:val="auto"/>
                      <w:szCs w:val="21"/>
                      <w:lang w:val="zh-CN" w:bidi="zh-CN"/>
                    </w:rPr>
                    <w:t>物质名称</w:t>
                  </w:r>
                </w:p>
              </w:tc>
              <w:tc>
                <w:tcPr>
                  <w:tcW w:w="6445" w:type="dxa"/>
                  <w:gridSpan w:val="2"/>
                  <w:tcBorders>
                    <w:bottom w:val="single" w:color="auto" w:sz="12" w:space="0"/>
                  </w:tcBorders>
                  <w:noWrap w:val="0"/>
                  <w:vAlign w:val="center"/>
                </w:tcPr>
                <w:p w14:paraId="0A005FB6">
                  <w:pPr>
                    <w:jc w:val="center"/>
                    <w:rPr>
                      <w:rFonts w:hint="eastAsia"/>
                      <w:b/>
                      <w:bCs/>
                      <w:color w:val="auto"/>
                      <w:szCs w:val="21"/>
                      <w:lang w:val="zh-CN" w:bidi="zh-CN"/>
                    </w:rPr>
                  </w:pPr>
                  <w:r>
                    <w:rPr>
                      <w:rFonts w:hint="eastAsia"/>
                      <w:b/>
                      <w:bCs/>
                      <w:color w:val="auto"/>
                      <w:szCs w:val="21"/>
                      <w:lang w:val="zh-CN" w:bidi="zh-CN"/>
                    </w:rPr>
                    <w:t>废机油</w:t>
                  </w:r>
                </w:p>
              </w:tc>
            </w:tr>
            <w:tr w14:paraId="11FC9C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42" w:type="dxa"/>
                  <w:vMerge w:val="restart"/>
                  <w:tcBorders>
                    <w:top w:val="single" w:color="auto" w:sz="12" w:space="0"/>
                  </w:tcBorders>
                  <w:noWrap w:val="0"/>
                  <w:vAlign w:val="center"/>
                </w:tcPr>
                <w:p w14:paraId="51DF889D">
                  <w:pPr>
                    <w:jc w:val="center"/>
                    <w:rPr>
                      <w:color w:val="auto"/>
                      <w:szCs w:val="21"/>
                      <w:lang w:bidi="zh-CN"/>
                    </w:rPr>
                  </w:pPr>
                  <w:r>
                    <w:rPr>
                      <w:rFonts w:hint="eastAsia"/>
                      <w:color w:val="auto"/>
                      <w:szCs w:val="21"/>
                      <w:lang w:bidi="zh-CN"/>
                    </w:rPr>
                    <w:t>理化特性</w:t>
                  </w:r>
                </w:p>
              </w:tc>
              <w:tc>
                <w:tcPr>
                  <w:tcW w:w="2820" w:type="dxa"/>
                  <w:tcBorders>
                    <w:top w:val="single" w:color="auto" w:sz="12" w:space="0"/>
                  </w:tcBorders>
                  <w:noWrap w:val="0"/>
                  <w:vAlign w:val="center"/>
                </w:tcPr>
                <w:p w14:paraId="167CF90A">
                  <w:pPr>
                    <w:jc w:val="center"/>
                    <w:rPr>
                      <w:rFonts w:hint="eastAsia"/>
                      <w:color w:val="auto"/>
                      <w:szCs w:val="21"/>
                      <w:lang w:val="zh-CN" w:bidi="zh-CN"/>
                    </w:rPr>
                  </w:pPr>
                  <w:r>
                    <w:rPr>
                      <w:rFonts w:hint="eastAsia"/>
                      <w:color w:val="auto"/>
                      <w:szCs w:val="21"/>
                      <w:lang w:val="zh-CN" w:bidi="zh-CN"/>
                    </w:rPr>
                    <w:t>外观与气味</w:t>
                  </w:r>
                </w:p>
              </w:tc>
              <w:tc>
                <w:tcPr>
                  <w:tcW w:w="3625" w:type="dxa"/>
                  <w:tcBorders>
                    <w:top w:val="single" w:color="auto" w:sz="12" w:space="0"/>
                  </w:tcBorders>
                  <w:noWrap w:val="0"/>
                  <w:vAlign w:val="center"/>
                </w:tcPr>
                <w:p w14:paraId="6334C3D4">
                  <w:pPr>
                    <w:jc w:val="center"/>
                    <w:rPr>
                      <w:rFonts w:hint="eastAsia"/>
                      <w:color w:val="auto"/>
                      <w:szCs w:val="21"/>
                      <w:lang w:val="zh-CN" w:bidi="zh-CN"/>
                    </w:rPr>
                  </w:pPr>
                  <w:r>
                    <w:rPr>
                      <w:rFonts w:hint="eastAsia"/>
                      <w:color w:val="auto"/>
                      <w:szCs w:val="21"/>
                      <w:lang w:val="zh-CN" w:bidi="zh-CN"/>
                    </w:rPr>
                    <w:t>高度挥发性无色液体，有汽油味</w:t>
                  </w:r>
                </w:p>
              </w:tc>
            </w:tr>
            <w:tr w14:paraId="069ADF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42" w:type="dxa"/>
                  <w:vMerge w:val="continue"/>
                  <w:noWrap w:val="0"/>
                  <w:vAlign w:val="center"/>
                </w:tcPr>
                <w:p w14:paraId="253DCDF8">
                  <w:pPr>
                    <w:jc w:val="center"/>
                    <w:rPr>
                      <w:color w:val="auto"/>
                    </w:rPr>
                  </w:pPr>
                </w:p>
              </w:tc>
              <w:tc>
                <w:tcPr>
                  <w:tcW w:w="2820" w:type="dxa"/>
                  <w:noWrap w:val="0"/>
                  <w:vAlign w:val="center"/>
                </w:tcPr>
                <w:p w14:paraId="56939800">
                  <w:pPr>
                    <w:jc w:val="center"/>
                    <w:rPr>
                      <w:rFonts w:hint="eastAsia"/>
                      <w:color w:val="auto"/>
                      <w:szCs w:val="21"/>
                      <w:lang w:val="zh-CN" w:bidi="zh-CN"/>
                    </w:rPr>
                  </w:pPr>
                  <w:r>
                    <w:rPr>
                      <w:rFonts w:hint="eastAsia"/>
                      <w:color w:val="auto"/>
                      <w:szCs w:val="21"/>
                      <w:lang w:val="zh-CN" w:bidi="zh-CN"/>
                    </w:rPr>
                    <w:t>pH值</w:t>
                  </w:r>
                </w:p>
              </w:tc>
              <w:tc>
                <w:tcPr>
                  <w:tcW w:w="3625" w:type="dxa"/>
                  <w:noWrap w:val="0"/>
                  <w:vAlign w:val="center"/>
                </w:tcPr>
                <w:p w14:paraId="0CEB54BC">
                  <w:pPr>
                    <w:jc w:val="center"/>
                    <w:rPr>
                      <w:rFonts w:hint="eastAsia"/>
                      <w:color w:val="auto"/>
                      <w:szCs w:val="21"/>
                      <w:lang w:val="zh-CN" w:bidi="zh-CN"/>
                    </w:rPr>
                  </w:pPr>
                  <w:r>
                    <w:rPr>
                      <w:rFonts w:hint="eastAsia"/>
                      <w:color w:val="auto"/>
                      <w:szCs w:val="21"/>
                      <w:lang w:val="zh-CN" w:bidi="zh-CN"/>
                    </w:rPr>
                    <w:t>无资料</w:t>
                  </w:r>
                </w:p>
              </w:tc>
            </w:tr>
            <w:tr w14:paraId="787144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42" w:type="dxa"/>
                  <w:vMerge w:val="continue"/>
                  <w:noWrap w:val="0"/>
                  <w:vAlign w:val="center"/>
                </w:tcPr>
                <w:p w14:paraId="7AF6B93F">
                  <w:pPr>
                    <w:jc w:val="center"/>
                    <w:rPr>
                      <w:rFonts w:hint="eastAsia"/>
                      <w:color w:val="auto"/>
                      <w:szCs w:val="21"/>
                      <w:lang w:val="zh-CN" w:bidi="zh-CN"/>
                    </w:rPr>
                  </w:pPr>
                </w:p>
              </w:tc>
              <w:tc>
                <w:tcPr>
                  <w:tcW w:w="2820" w:type="dxa"/>
                  <w:noWrap w:val="0"/>
                  <w:vAlign w:val="center"/>
                </w:tcPr>
                <w:p w14:paraId="59B1138F">
                  <w:pPr>
                    <w:jc w:val="center"/>
                    <w:rPr>
                      <w:rFonts w:hint="eastAsia"/>
                      <w:color w:val="auto"/>
                      <w:szCs w:val="21"/>
                      <w:lang w:val="zh-CN" w:bidi="zh-CN"/>
                    </w:rPr>
                  </w:pPr>
                  <w:r>
                    <w:rPr>
                      <w:rFonts w:hint="eastAsia"/>
                      <w:color w:val="auto"/>
                      <w:szCs w:val="21"/>
                      <w:lang w:val="zh-CN" w:bidi="zh-CN"/>
                    </w:rPr>
                    <w:t>熔点（℃）</w:t>
                  </w:r>
                </w:p>
              </w:tc>
              <w:tc>
                <w:tcPr>
                  <w:tcW w:w="3625" w:type="dxa"/>
                  <w:noWrap w:val="0"/>
                  <w:vAlign w:val="center"/>
                </w:tcPr>
                <w:p w14:paraId="1FCCA7A6">
                  <w:pPr>
                    <w:jc w:val="center"/>
                    <w:rPr>
                      <w:rFonts w:hint="eastAsia"/>
                      <w:color w:val="auto"/>
                      <w:szCs w:val="21"/>
                      <w:lang w:val="zh-CN" w:bidi="zh-CN"/>
                    </w:rPr>
                  </w:pPr>
                  <w:r>
                    <w:rPr>
                      <w:rFonts w:hint="eastAsia"/>
                      <w:color w:val="auto"/>
                      <w:szCs w:val="21"/>
                      <w:lang w:val="zh-CN" w:bidi="zh-CN"/>
                    </w:rPr>
                    <w:t>-95.3~-94.3</w:t>
                  </w:r>
                </w:p>
              </w:tc>
            </w:tr>
            <w:tr w14:paraId="78FA76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42" w:type="dxa"/>
                  <w:vMerge w:val="continue"/>
                  <w:noWrap w:val="0"/>
                  <w:vAlign w:val="center"/>
                </w:tcPr>
                <w:p w14:paraId="1C13CAB4">
                  <w:pPr>
                    <w:jc w:val="center"/>
                    <w:rPr>
                      <w:rFonts w:hint="eastAsia"/>
                      <w:color w:val="auto"/>
                      <w:szCs w:val="21"/>
                      <w:lang w:val="zh-CN" w:bidi="zh-CN"/>
                    </w:rPr>
                  </w:pPr>
                </w:p>
              </w:tc>
              <w:tc>
                <w:tcPr>
                  <w:tcW w:w="2820" w:type="dxa"/>
                  <w:noWrap w:val="0"/>
                  <w:vAlign w:val="center"/>
                </w:tcPr>
                <w:p w14:paraId="0C9CBAA0">
                  <w:pPr>
                    <w:jc w:val="center"/>
                    <w:rPr>
                      <w:rFonts w:hint="eastAsia"/>
                      <w:color w:val="auto"/>
                      <w:szCs w:val="21"/>
                      <w:lang w:val="zh-CN" w:bidi="zh-CN"/>
                    </w:rPr>
                  </w:pPr>
                  <w:r>
                    <w:rPr>
                      <w:rFonts w:hint="eastAsia"/>
                      <w:color w:val="auto"/>
                      <w:szCs w:val="21"/>
                      <w:lang w:val="zh-CN" w:bidi="zh-CN"/>
                    </w:rPr>
                    <w:t>沸点（℃）</w:t>
                  </w:r>
                </w:p>
              </w:tc>
              <w:tc>
                <w:tcPr>
                  <w:tcW w:w="3625" w:type="dxa"/>
                  <w:noWrap w:val="0"/>
                  <w:vAlign w:val="center"/>
                </w:tcPr>
                <w:p w14:paraId="0E9CD7B2">
                  <w:pPr>
                    <w:jc w:val="center"/>
                    <w:rPr>
                      <w:rFonts w:hint="eastAsia"/>
                      <w:color w:val="auto"/>
                      <w:szCs w:val="21"/>
                      <w:lang w:val="zh-CN" w:bidi="zh-CN"/>
                    </w:rPr>
                  </w:pPr>
                  <w:r>
                    <w:rPr>
                      <w:rFonts w:hint="eastAsia"/>
                      <w:color w:val="auto"/>
                      <w:szCs w:val="21"/>
                      <w:lang w:val="zh-CN" w:bidi="zh-CN"/>
                    </w:rPr>
                    <w:t>69</w:t>
                  </w:r>
                </w:p>
              </w:tc>
            </w:tr>
            <w:tr w14:paraId="6E2BA2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42" w:type="dxa"/>
                  <w:vMerge w:val="continue"/>
                  <w:noWrap w:val="0"/>
                  <w:vAlign w:val="center"/>
                </w:tcPr>
                <w:p w14:paraId="600B20CA">
                  <w:pPr>
                    <w:jc w:val="center"/>
                    <w:rPr>
                      <w:rFonts w:hint="eastAsia"/>
                      <w:color w:val="auto"/>
                      <w:szCs w:val="21"/>
                      <w:lang w:val="zh-CN" w:bidi="zh-CN"/>
                    </w:rPr>
                  </w:pPr>
                </w:p>
              </w:tc>
              <w:tc>
                <w:tcPr>
                  <w:tcW w:w="2820" w:type="dxa"/>
                  <w:noWrap w:val="0"/>
                  <w:vAlign w:val="center"/>
                </w:tcPr>
                <w:p w14:paraId="7E94BFCE">
                  <w:pPr>
                    <w:jc w:val="center"/>
                    <w:rPr>
                      <w:rFonts w:hint="eastAsia"/>
                      <w:color w:val="auto"/>
                      <w:szCs w:val="21"/>
                      <w:lang w:val="zh-CN" w:bidi="zh-CN"/>
                    </w:rPr>
                  </w:pPr>
                  <w:r>
                    <w:rPr>
                      <w:rFonts w:hint="eastAsia"/>
                      <w:color w:val="auto"/>
                      <w:szCs w:val="21"/>
                      <w:lang w:val="zh-CN" w:bidi="zh-CN"/>
                    </w:rPr>
                    <w:t>闪点（℃）</w:t>
                  </w:r>
                </w:p>
              </w:tc>
              <w:tc>
                <w:tcPr>
                  <w:tcW w:w="3625" w:type="dxa"/>
                  <w:noWrap w:val="0"/>
                  <w:vAlign w:val="center"/>
                </w:tcPr>
                <w:p w14:paraId="20F2A89B">
                  <w:pPr>
                    <w:jc w:val="center"/>
                    <w:rPr>
                      <w:rFonts w:hint="eastAsia"/>
                      <w:color w:val="auto"/>
                      <w:szCs w:val="21"/>
                      <w:lang w:val="zh-CN" w:bidi="zh-CN"/>
                    </w:rPr>
                  </w:pPr>
                  <w:r>
                    <w:rPr>
                      <w:rFonts w:hint="eastAsia"/>
                      <w:color w:val="auto"/>
                      <w:szCs w:val="21"/>
                      <w:lang w:val="zh-CN" w:bidi="zh-CN"/>
                    </w:rPr>
                    <w:t>-22</w:t>
                  </w:r>
                </w:p>
              </w:tc>
            </w:tr>
            <w:tr w14:paraId="1105F4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42" w:type="dxa"/>
                  <w:vMerge w:val="continue"/>
                  <w:noWrap w:val="0"/>
                  <w:vAlign w:val="center"/>
                </w:tcPr>
                <w:p w14:paraId="4ABE72F7">
                  <w:pPr>
                    <w:jc w:val="center"/>
                    <w:rPr>
                      <w:rFonts w:hint="eastAsia"/>
                      <w:color w:val="auto"/>
                      <w:szCs w:val="21"/>
                      <w:lang w:val="zh-CN" w:bidi="zh-CN"/>
                    </w:rPr>
                  </w:pPr>
                </w:p>
              </w:tc>
              <w:tc>
                <w:tcPr>
                  <w:tcW w:w="2820" w:type="dxa"/>
                  <w:noWrap w:val="0"/>
                  <w:vAlign w:val="center"/>
                </w:tcPr>
                <w:p w14:paraId="0B979D8D">
                  <w:pPr>
                    <w:jc w:val="center"/>
                    <w:rPr>
                      <w:rFonts w:hint="eastAsia"/>
                      <w:color w:val="auto"/>
                      <w:szCs w:val="21"/>
                      <w:lang w:val="zh-CN" w:bidi="zh-CN"/>
                    </w:rPr>
                  </w:pPr>
                  <w:r>
                    <w:rPr>
                      <w:rFonts w:hint="eastAsia"/>
                      <w:color w:val="auto"/>
                      <w:szCs w:val="21"/>
                      <w:lang w:val="zh-CN" w:bidi="zh-CN"/>
                    </w:rPr>
                    <w:t>相对密度（水=1）</w:t>
                  </w:r>
                </w:p>
              </w:tc>
              <w:tc>
                <w:tcPr>
                  <w:tcW w:w="3625" w:type="dxa"/>
                  <w:noWrap w:val="0"/>
                  <w:vAlign w:val="center"/>
                </w:tcPr>
                <w:p w14:paraId="0CBB1948">
                  <w:pPr>
                    <w:jc w:val="center"/>
                    <w:rPr>
                      <w:rFonts w:hint="eastAsia"/>
                      <w:color w:val="auto"/>
                      <w:szCs w:val="21"/>
                      <w:lang w:val="zh-CN" w:bidi="zh-CN"/>
                    </w:rPr>
                  </w:pPr>
                  <w:r>
                    <w:rPr>
                      <w:rFonts w:hint="eastAsia"/>
                      <w:color w:val="auto"/>
                      <w:szCs w:val="21"/>
                      <w:lang w:val="zh-CN" w:bidi="zh-CN"/>
                    </w:rPr>
                    <w:t>0.66</w:t>
                  </w:r>
                </w:p>
              </w:tc>
            </w:tr>
            <w:tr w14:paraId="6F508C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42" w:type="dxa"/>
                  <w:vMerge w:val="continue"/>
                  <w:noWrap w:val="0"/>
                  <w:vAlign w:val="center"/>
                </w:tcPr>
                <w:p w14:paraId="6CA8E5DE">
                  <w:pPr>
                    <w:jc w:val="center"/>
                    <w:rPr>
                      <w:rFonts w:hint="eastAsia"/>
                      <w:color w:val="auto"/>
                      <w:szCs w:val="21"/>
                      <w:lang w:val="zh-CN" w:bidi="zh-CN"/>
                    </w:rPr>
                  </w:pPr>
                </w:p>
              </w:tc>
              <w:tc>
                <w:tcPr>
                  <w:tcW w:w="2820" w:type="dxa"/>
                  <w:noWrap w:val="0"/>
                  <w:vAlign w:val="center"/>
                </w:tcPr>
                <w:p w14:paraId="2B0326DA">
                  <w:pPr>
                    <w:jc w:val="center"/>
                    <w:rPr>
                      <w:rFonts w:hint="eastAsia"/>
                      <w:color w:val="auto"/>
                      <w:szCs w:val="21"/>
                      <w:lang w:val="zh-CN" w:bidi="zh-CN"/>
                    </w:rPr>
                  </w:pPr>
                  <w:r>
                    <w:rPr>
                      <w:rFonts w:hint="eastAsia"/>
                      <w:color w:val="auto"/>
                      <w:szCs w:val="21"/>
                      <w:lang w:val="zh-CN" w:bidi="zh-CN"/>
                    </w:rPr>
                    <w:t>相对蒸气密度（空气=1）</w:t>
                  </w:r>
                </w:p>
              </w:tc>
              <w:tc>
                <w:tcPr>
                  <w:tcW w:w="3625" w:type="dxa"/>
                  <w:noWrap w:val="0"/>
                  <w:vAlign w:val="center"/>
                </w:tcPr>
                <w:p w14:paraId="20DD69AA">
                  <w:pPr>
                    <w:jc w:val="center"/>
                    <w:rPr>
                      <w:rFonts w:hint="eastAsia"/>
                      <w:color w:val="auto"/>
                      <w:szCs w:val="21"/>
                      <w:lang w:val="zh-CN" w:bidi="zh-CN"/>
                    </w:rPr>
                  </w:pPr>
                  <w:r>
                    <w:rPr>
                      <w:rFonts w:hint="eastAsia"/>
                      <w:color w:val="auto"/>
                      <w:szCs w:val="21"/>
                      <w:lang w:val="zh-CN" w:bidi="zh-CN"/>
                    </w:rPr>
                    <w:t>2.97</w:t>
                  </w:r>
                </w:p>
              </w:tc>
            </w:tr>
            <w:tr w14:paraId="0A887A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42" w:type="dxa"/>
                  <w:vMerge w:val="continue"/>
                  <w:noWrap w:val="0"/>
                  <w:vAlign w:val="center"/>
                </w:tcPr>
                <w:p w14:paraId="5C5AFB3F">
                  <w:pPr>
                    <w:jc w:val="center"/>
                    <w:rPr>
                      <w:rFonts w:hint="eastAsia"/>
                      <w:color w:val="auto"/>
                      <w:szCs w:val="21"/>
                      <w:lang w:val="zh-CN" w:bidi="zh-CN"/>
                    </w:rPr>
                  </w:pPr>
                </w:p>
              </w:tc>
              <w:tc>
                <w:tcPr>
                  <w:tcW w:w="2820" w:type="dxa"/>
                  <w:noWrap w:val="0"/>
                  <w:vAlign w:val="center"/>
                </w:tcPr>
                <w:p w14:paraId="3EF37BD6">
                  <w:pPr>
                    <w:jc w:val="center"/>
                    <w:rPr>
                      <w:rFonts w:hint="eastAsia"/>
                      <w:color w:val="auto"/>
                      <w:szCs w:val="21"/>
                      <w:lang w:val="zh-CN" w:bidi="zh-CN"/>
                    </w:rPr>
                  </w:pPr>
                  <w:r>
                    <w:rPr>
                      <w:rFonts w:hint="eastAsia"/>
                      <w:color w:val="auto"/>
                      <w:szCs w:val="21"/>
                      <w:lang w:val="zh-CN" w:bidi="zh-CN"/>
                    </w:rPr>
                    <w:t>饱和蒸气压（kPa）</w:t>
                  </w:r>
                </w:p>
              </w:tc>
              <w:tc>
                <w:tcPr>
                  <w:tcW w:w="3625" w:type="dxa"/>
                  <w:noWrap w:val="0"/>
                  <w:vAlign w:val="center"/>
                </w:tcPr>
                <w:p w14:paraId="12A5B0C0">
                  <w:pPr>
                    <w:jc w:val="center"/>
                    <w:rPr>
                      <w:rFonts w:hint="eastAsia"/>
                      <w:color w:val="auto"/>
                      <w:szCs w:val="21"/>
                      <w:lang w:val="zh-CN" w:bidi="zh-CN"/>
                    </w:rPr>
                  </w:pPr>
                  <w:r>
                    <w:rPr>
                      <w:rFonts w:hint="eastAsia"/>
                      <w:color w:val="auto"/>
                      <w:szCs w:val="21"/>
                      <w:lang w:val="zh-CN" w:bidi="zh-CN"/>
                    </w:rPr>
                    <w:t>17(20℃）</w:t>
                  </w:r>
                </w:p>
              </w:tc>
            </w:tr>
            <w:tr w14:paraId="6EC179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42" w:type="dxa"/>
                  <w:vMerge w:val="continue"/>
                  <w:noWrap w:val="0"/>
                  <w:vAlign w:val="center"/>
                </w:tcPr>
                <w:p w14:paraId="05B40BFB">
                  <w:pPr>
                    <w:jc w:val="center"/>
                    <w:rPr>
                      <w:rFonts w:hint="eastAsia"/>
                      <w:color w:val="auto"/>
                      <w:szCs w:val="21"/>
                      <w:lang w:val="zh-CN" w:bidi="zh-CN"/>
                    </w:rPr>
                  </w:pPr>
                </w:p>
              </w:tc>
              <w:tc>
                <w:tcPr>
                  <w:tcW w:w="2820" w:type="dxa"/>
                  <w:noWrap w:val="0"/>
                  <w:vAlign w:val="center"/>
                </w:tcPr>
                <w:p w14:paraId="2440B911">
                  <w:pPr>
                    <w:jc w:val="center"/>
                    <w:rPr>
                      <w:rFonts w:hint="eastAsia"/>
                      <w:color w:val="auto"/>
                      <w:szCs w:val="21"/>
                      <w:lang w:val="zh-CN" w:bidi="zh-CN"/>
                    </w:rPr>
                  </w:pPr>
                  <w:r>
                    <w:rPr>
                      <w:rFonts w:hint="eastAsia"/>
                      <w:color w:val="auto"/>
                      <w:szCs w:val="21"/>
                      <w:lang w:val="zh-CN" w:bidi="zh-CN"/>
                    </w:rPr>
                    <w:t>燃烧热（kj/mol）</w:t>
                  </w:r>
                </w:p>
              </w:tc>
              <w:tc>
                <w:tcPr>
                  <w:tcW w:w="3625" w:type="dxa"/>
                  <w:noWrap w:val="0"/>
                  <w:vAlign w:val="center"/>
                </w:tcPr>
                <w:p w14:paraId="72F693A1">
                  <w:pPr>
                    <w:jc w:val="center"/>
                    <w:rPr>
                      <w:rFonts w:hint="eastAsia"/>
                      <w:color w:val="auto"/>
                      <w:szCs w:val="21"/>
                      <w:lang w:val="zh-CN" w:bidi="zh-CN"/>
                    </w:rPr>
                  </w:pPr>
                  <w:r>
                    <w:rPr>
                      <w:rFonts w:hint="eastAsia"/>
                      <w:color w:val="auto"/>
                      <w:szCs w:val="21"/>
                      <w:lang w:val="zh-CN" w:bidi="zh-CN"/>
                    </w:rPr>
                    <w:t>4159.1</w:t>
                  </w:r>
                </w:p>
              </w:tc>
            </w:tr>
            <w:tr w14:paraId="04C5D5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42" w:type="dxa"/>
                  <w:vMerge w:val="continue"/>
                  <w:noWrap w:val="0"/>
                  <w:vAlign w:val="center"/>
                </w:tcPr>
                <w:p w14:paraId="0CFB53B8">
                  <w:pPr>
                    <w:jc w:val="center"/>
                    <w:rPr>
                      <w:rFonts w:hint="eastAsia"/>
                      <w:color w:val="auto"/>
                      <w:szCs w:val="21"/>
                      <w:lang w:val="zh-CN" w:bidi="zh-CN"/>
                    </w:rPr>
                  </w:pPr>
                </w:p>
              </w:tc>
              <w:tc>
                <w:tcPr>
                  <w:tcW w:w="2820" w:type="dxa"/>
                  <w:noWrap w:val="0"/>
                  <w:vAlign w:val="center"/>
                </w:tcPr>
                <w:p w14:paraId="2C093E49">
                  <w:pPr>
                    <w:jc w:val="center"/>
                    <w:rPr>
                      <w:rFonts w:hint="eastAsia"/>
                      <w:color w:val="auto"/>
                      <w:szCs w:val="21"/>
                      <w:lang w:val="zh-CN" w:bidi="zh-CN"/>
                    </w:rPr>
                  </w:pPr>
                  <w:r>
                    <w:rPr>
                      <w:rFonts w:hint="eastAsia"/>
                      <w:color w:val="auto"/>
                      <w:szCs w:val="21"/>
                      <w:lang w:val="zh-CN" w:bidi="zh-CN"/>
                    </w:rPr>
                    <w:t>临界温度（℃）</w:t>
                  </w:r>
                </w:p>
              </w:tc>
              <w:tc>
                <w:tcPr>
                  <w:tcW w:w="3625" w:type="dxa"/>
                  <w:noWrap w:val="0"/>
                  <w:vAlign w:val="center"/>
                </w:tcPr>
                <w:p w14:paraId="2996F764">
                  <w:pPr>
                    <w:jc w:val="center"/>
                    <w:rPr>
                      <w:rFonts w:hint="eastAsia"/>
                      <w:color w:val="auto"/>
                      <w:szCs w:val="21"/>
                      <w:lang w:val="zh-CN" w:bidi="zh-CN"/>
                    </w:rPr>
                  </w:pPr>
                  <w:r>
                    <w:rPr>
                      <w:rFonts w:hint="eastAsia"/>
                      <w:color w:val="auto"/>
                      <w:szCs w:val="21"/>
                      <w:lang w:val="zh-CN" w:bidi="zh-CN"/>
                    </w:rPr>
                    <w:t>234.8</w:t>
                  </w:r>
                </w:p>
              </w:tc>
            </w:tr>
            <w:tr w14:paraId="0CFF62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42" w:type="dxa"/>
                  <w:vMerge w:val="continue"/>
                  <w:noWrap w:val="0"/>
                  <w:vAlign w:val="center"/>
                </w:tcPr>
                <w:p w14:paraId="5595EB40">
                  <w:pPr>
                    <w:jc w:val="center"/>
                    <w:rPr>
                      <w:rFonts w:hint="eastAsia"/>
                      <w:color w:val="auto"/>
                      <w:szCs w:val="21"/>
                      <w:lang w:val="zh-CN" w:bidi="zh-CN"/>
                    </w:rPr>
                  </w:pPr>
                </w:p>
              </w:tc>
              <w:tc>
                <w:tcPr>
                  <w:tcW w:w="2820" w:type="dxa"/>
                  <w:noWrap w:val="0"/>
                  <w:vAlign w:val="center"/>
                </w:tcPr>
                <w:p w14:paraId="54F9A634">
                  <w:pPr>
                    <w:jc w:val="center"/>
                    <w:rPr>
                      <w:rFonts w:hint="eastAsia"/>
                      <w:color w:val="auto"/>
                      <w:szCs w:val="21"/>
                      <w:lang w:val="zh-CN" w:bidi="zh-CN"/>
                    </w:rPr>
                  </w:pPr>
                  <w:r>
                    <w:rPr>
                      <w:rFonts w:hint="eastAsia"/>
                      <w:color w:val="auto"/>
                      <w:szCs w:val="21"/>
                      <w:lang w:val="zh-CN" w:bidi="zh-CN"/>
                    </w:rPr>
                    <w:t>溶解性</w:t>
                  </w:r>
                </w:p>
              </w:tc>
              <w:tc>
                <w:tcPr>
                  <w:tcW w:w="3625" w:type="dxa"/>
                  <w:noWrap w:val="0"/>
                  <w:vAlign w:val="center"/>
                </w:tcPr>
                <w:p w14:paraId="7CB03F2F">
                  <w:pPr>
                    <w:jc w:val="center"/>
                    <w:rPr>
                      <w:rFonts w:hint="eastAsia"/>
                      <w:color w:val="auto"/>
                      <w:szCs w:val="21"/>
                      <w:lang w:val="zh-CN" w:bidi="zh-CN"/>
                    </w:rPr>
                  </w:pPr>
                  <w:r>
                    <w:rPr>
                      <w:rFonts w:hint="eastAsia"/>
                      <w:color w:val="auto"/>
                      <w:szCs w:val="21"/>
                      <w:lang w:val="zh-CN" w:bidi="zh-CN"/>
                    </w:rPr>
                    <w:t>不溶于水，溶于乙醇、乙醚、丙酮、氯仿等多数有机溶剂</w:t>
                  </w:r>
                </w:p>
              </w:tc>
            </w:tr>
          </w:tbl>
          <w:p w14:paraId="24028422">
            <w:pPr>
              <w:spacing w:line="360" w:lineRule="auto"/>
              <w:ind w:firstLine="480" w:firstLineChars="200"/>
              <w:rPr>
                <w:color w:val="auto"/>
                <w:sz w:val="24"/>
                <w:shd w:val="clear" w:color="auto" w:fill="FFFFFF"/>
              </w:rPr>
            </w:pPr>
            <w:r>
              <w:rPr>
                <w:rFonts w:hint="eastAsia"/>
                <w:color w:val="auto"/>
                <w:sz w:val="24"/>
                <w:shd w:val="clear" w:color="auto" w:fill="FFFFFF"/>
                <w:lang w:eastAsia="zh-CN"/>
              </w:rPr>
              <w:t>（</w:t>
            </w:r>
            <w:r>
              <w:rPr>
                <w:rFonts w:hint="eastAsia"/>
                <w:color w:val="auto"/>
                <w:sz w:val="24"/>
                <w:shd w:val="clear" w:color="auto" w:fill="FFFFFF"/>
                <w:lang w:val="en-US" w:eastAsia="zh-CN"/>
              </w:rPr>
              <w:t>2</w:t>
            </w:r>
            <w:r>
              <w:rPr>
                <w:rFonts w:hint="eastAsia"/>
                <w:color w:val="auto"/>
                <w:sz w:val="24"/>
                <w:shd w:val="clear" w:color="auto" w:fill="FFFFFF"/>
                <w:lang w:eastAsia="zh-CN"/>
              </w:rPr>
              <w:t>）</w:t>
            </w:r>
            <w:r>
              <w:rPr>
                <w:rFonts w:hint="eastAsia"/>
                <w:color w:val="auto"/>
                <w:sz w:val="24"/>
                <w:shd w:val="clear" w:color="auto" w:fill="FFFFFF"/>
              </w:rPr>
              <w:t>风险</w:t>
            </w:r>
            <w:r>
              <w:rPr>
                <w:color w:val="auto"/>
                <w:sz w:val="24"/>
                <w:shd w:val="clear" w:color="auto" w:fill="FFFFFF"/>
              </w:rPr>
              <w:t>物质数量与临界量比值（Q）</w:t>
            </w:r>
          </w:p>
          <w:p w14:paraId="6E385B28">
            <w:pPr>
              <w:spacing w:line="360" w:lineRule="auto"/>
              <w:ind w:firstLine="480" w:firstLineChars="200"/>
              <w:rPr>
                <w:color w:val="auto"/>
                <w:sz w:val="24"/>
                <w:shd w:val="clear" w:color="auto" w:fill="FFFFFF"/>
              </w:rPr>
            </w:pPr>
            <w:r>
              <w:rPr>
                <w:color w:val="auto"/>
                <w:sz w:val="24"/>
                <w:shd w:val="clear" w:color="auto" w:fill="FFFFFF"/>
              </w:rPr>
              <w:t>计算所涉及的每种</w:t>
            </w:r>
            <w:r>
              <w:rPr>
                <w:rFonts w:hint="eastAsia"/>
                <w:color w:val="auto"/>
                <w:sz w:val="24"/>
                <w:shd w:val="clear" w:color="auto" w:fill="FFFFFF"/>
              </w:rPr>
              <w:t>风险</w:t>
            </w:r>
            <w:r>
              <w:rPr>
                <w:color w:val="auto"/>
                <w:sz w:val="24"/>
                <w:shd w:val="clear" w:color="auto" w:fill="FFFFFF"/>
              </w:rPr>
              <w:t>物质在</w:t>
            </w:r>
            <w:r>
              <w:rPr>
                <w:rFonts w:hint="eastAsia"/>
                <w:color w:val="auto"/>
                <w:sz w:val="24"/>
                <w:shd w:val="clear" w:color="auto" w:fill="FFFFFF"/>
              </w:rPr>
              <w:t>项目区域</w:t>
            </w:r>
            <w:r>
              <w:rPr>
                <w:color w:val="auto"/>
                <w:sz w:val="24"/>
                <w:shd w:val="clear" w:color="auto" w:fill="FFFFFF"/>
              </w:rPr>
              <w:t>内的最大存在总量与其在《建设项目环境风险评价技术导则》（HJ169-2018）附录B中对应临界量的比值Q。</w:t>
            </w:r>
          </w:p>
          <w:p w14:paraId="248B8936">
            <w:pPr>
              <w:spacing w:line="360" w:lineRule="auto"/>
              <w:ind w:firstLine="480" w:firstLineChars="200"/>
              <w:rPr>
                <w:color w:val="auto"/>
                <w:sz w:val="24"/>
                <w:shd w:val="clear" w:color="auto" w:fill="FFFFFF"/>
              </w:rPr>
            </w:pPr>
            <w:r>
              <w:rPr>
                <w:color w:val="auto"/>
                <w:sz w:val="24"/>
                <w:shd w:val="clear" w:color="auto" w:fill="FFFFFF"/>
              </w:rPr>
              <w:t>当只涉及一种危险物质时，计算该物质的总量与其临界量比值，即为Q；</w:t>
            </w:r>
          </w:p>
          <w:p w14:paraId="219B2C29">
            <w:pPr>
              <w:spacing w:line="360" w:lineRule="auto"/>
              <w:ind w:firstLine="480" w:firstLineChars="200"/>
              <w:rPr>
                <w:color w:val="auto"/>
                <w:sz w:val="24"/>
                <w:shd w:val="clear" w:color="auto" w:fill="FFFFFF"/>
              </w:rPr>
            </w:pPr>
            <w:r>
              <w:rPr>
                <w:color w:val="auto"/>
                <w:sz w:val="24"/>
                <w:shd w:val="clear" w:color="auto" w:fill="FFFFFF"/>
              </w:rPr>
              <w:t>当存在多种危险物质时，则按下式计算物质总量与其临界量比值（Q）：</w:t>
            </w:r>
          </w:p>
          <w:p w14:paraId="7240E1AB">
            <w:pPr>
              <w:spacing w:line="360" w:lineRule="auto"/>
              <w:ind w:firstLine="480" w:firstLineChars="200"/>
              <w:jc w:val="center"/>
              <w:rPr>
                <w:color w:val="auto"/>
                <w:sz w:val="24"/>
                <w:shd w:val="clear" w:color="auto" w:fill="FFFFFF"/>
              </w:rPr>
            </w:pPr>
            <w:r>
              <w:rPr>
                <w:color w:val="auto"/>
                <w:sz w:val="24"/>
                <w:shd w:val="clear" w:color="auto" w:fill="FFFFFF"/>
              </w:rPr>
              <w:t>Q=q</w:t>
            </w:r>
            <w:r>
              <w:rPr>
                <w:color w:val="auto"/>
                <w:sz w:val="24"/>
                <w:shd w:val="clear" w:color="auto" w:fill="FFFFFF"/>
                <w:vertAlign w:val="subscript"/>
              </w:rPr>
              <w:t>1</w:t>
            </w:r>
            <w:r>
              <w:rPr>
                <w:color w:val="auto"/>
                <w:sz w:val="24"/>
                <w:shd w:val="clear" w:color="auto" w:fill="FFFFFF"/>
              </w:rPr>
              <w:t>/Q</w:t>
            </w:r>
            <w:r>
              <w:rPr>
                <w:color w:val="auto"/>
                <w:sz w:val="24"/>
                <w:shd w:val="clear" w:color="auto" w:fill="FFFFFF"/>
                <w:vertAlign w:val="subscript"/>
              </w:rPr>
              <w:t>1</w:t>
            </w:r>
            <w:r>
              <w:rPr>
                <w:color w:val="auto"/>
                <w:sz w:val="24"/>
                <w:shd w:val="clear" w:color="auto" w:fill="FFFFFF"/>
              </w:rPr>
              <w:t>+q</w:t>
            </w:r>
            <w:r>
              <w:rPr>
                <w:color w:val="auto"/>
                <w:sz w:val="24"/>
                <w:shd w:val="clear" w:color="auto" w:fill="FFFFFF"/>
                <w:vertAlign w:val="subscript"/>
              </w:rPr>
              <w:t>2</w:t>
            </w:r>
            <w:r>
              <w:rPr>
                <w:color w:val="auto"/>
                <w:sz w:val="24"/>
                <w:shd w:val="clear" w:color="auto" w:fill="FFFFFF"/>
              </w:rPr>
              <w:t>/Q</w:t>
            </w:r>
            <w:r>
              <w:rPr>
                <w:color w:val="auto"/>
                <w:sz w:val="24"/>
                <w:shd w:val="clear" w:color="auto" w:fill="FFFFFF"/>
                <w:vertAlign w:val="subscript"/>
              </w:rPr>
              <w:t>2</w:t>
            </w:r>
            <w:r>
              <w:rPr>
                <w:color w:val="auto"/>
                <w:sz w:val="24"/>
                <w:shd w:val="clear" w:color="auto" w:fill="FFFFFF"/>
              </w:rPr>
              <w:t>+……+q</w:t>
            </w:r>
            <w:r>
              <w:rPr>
                <w:color w:val="auto"/>
                <w:sz w:val="24"/>
                <w:shd w:val="clear" w:color="auto" w:fill="FFFFFF"/>
                <w:vertAlign w:val="subscript"/>
              </w:rPr>
              <w:t>n</w:t>
            </w:r>
            <w:r>
              <w:rPr>
                <w:color w:val="auto"/>
                <w:sz w:val="24"/>
                <w:shd w:val="clear" w:color="auto" w:fill="FFFFFF"/>
              </w:rPr>
              <w:t>/Q</w:t>
            </w:r>
            <w:r>
              <w:rPr>
                <w:color w:val="auto"/>
                <w:sz w:val="24"/>
                <w:shd w:val="clear" w:color="auto" w:fill="FFFFFF"/>
                <w:vertAlign w:val="subscript"/>
              </w:rPr>
              <w:t>n</w:t>
            </w:r>
          </w:p>
          <w:p w14:paraId="53C20526">
            <w:pPr>
              <w:spacing w:line="360" w:lineRule="auto"/>
              <w:ind w:firstLine="480" w:firstLineChars="200"/>
              <w:rPr>
                <w:color w:val="auto"/>
                <w:sz w:val="24"/>
                <w:shd w:val="clear" w:color="auto" w:fill="FFFFFF"/>
              </w:rPr>
            </w:pPr>
            <w:r>
              <w:rPr>
                <w:color w:val="auto"/>
                <w:sz w:val="24"/>
                <w:shd w:val="clear" w:color="auto" w:fill="FFFFFF"/>
              </w:rPr>
              <w:t>式中：q</w:t>
            </w:r>
            <w:r>
              <w:rPr>
                <w:color w:val="auto"/>
                <w:sz w:val="24"/>
                <w:shd w:val="clear" w:color="auto" w:fill="FFFFFF"/>
                <w:vertAlign w:val="subscript"/>
              </w:rPr>
              <w:t>1</w:t>
            </w:r>
            <w:r>
              <w:rPr>
                <w:color w:val="auto"/>
                <w:sz w:val="24"/>
                <w:shd w:val="clear" w:color="auto" w:fill="FFFFFF"/>
              </w:rPr>
              <w:t>，q</w:t>
            </w:r>
            <w:r>
              <w:rPr>
                <w:color w:val="auto"/>
                <w:sz w:val="24"/>
                <w:shd w:val="clear" w:color="auto" w:fill="FFFFFF"/>
                <w:vertAlign w:val="subscript"/>
              </w:rPr>
              <w:t>2</w:t>
            </w:r>
            <w:r>
              <w:rPr>
                <w:color w:val="auto"/>
                <w:sz w:val="24"/>
                <w:shd w:val="clear" w:color="auto" w:fill="FFFFFF"/>
              </w:rPr>
              <w:t>，…，q</w:t>
            </w:r>
            <w:r>
              <w:rPr>
                <w:color w:val="auto"/>
                <w:sz w:val="24"/>
                <w:shd w:val="clear" w:color="auto" w:fill="FFFFFF"/>
                <w:vertAlign w:val="subscript"/>
              </w:rPr>
              <w:t>n</w:t>
            </w:r>
            <w:r>
              <w:rPr>
                <w:color w:val="auto"/>
                <w:sz w:val="24"/>
                <w:shd w:val="clear" w:color="auto" w:fill="FFFFFF"/>
              </w:rPr>
              <w:t>—每种危险物质的最大存在总量，t；</w:t>
            </w:r>
          </w:p>
          <w:p w14:paraId="01A33C0F">
            <w:pPr>
              <w:spacing w:line="360" w:lineRule="auto"/>
              <w:ind w:firstLine="1200" w:firstLineChars="500"/>
              <w:rPr>
                <w:color w:val="auto"/>
                <w:sz w:val="24"/>
                <w:shd w:val="clear" w:color="auto" w:fill="FFFFFF"/>
              </w:rPr>
            </w:pPr>
            <w:r>
              <w:rPr>
                <w:color w:val="auto"/>
                <w:sz w:val="24"/>
                <w:shd w:val="clear" w:color="auto" w:fill="FFFFFF"/>
              </w:rPr>
              <w:t>Q</w:t>
            </w:r>
            <w:r>
              <w:rPr>
                <w:color w:val="auto"/>
                <w:sz w:val="24"/>
                <w:shd w:val="clear" w:color="auto" w:fill="FFFFFF"/>
                <w:vertAlign w:val="subscript"/>
              </w:rPr>
              <w:t>1</w:t>
            </w:r>
            <w:r>
              <w:rPr>
                <w:color w:val="auto"/>
                <w:sz w:val="24"/>
                <w:shd w:val="clear" w:color="auto" w:fill="FFFFFF"/>
              </w:rPr>
              <w:t>，Q</w:t>
            </w:r>
            <w:r>
              <w:rPr>
                <w:color w:val="auto"/>
                <w:sz w:val="24"/>
                <w:shd w:val="clear" w:color="auto" w:fill="FFFFFF"/>
                <w:vertAlign w:val="subscript"/>
              </w:rPr>
              <w:t>2</w:t>
            </w:r>
            <w:r>
              <w:rPr>
                <w:color w:val="auto"/>
                <w:sz w:val="24"/>
                <w:shd w:val="clear" w:color="auto" w:fill="FFFFFF"/>
              </w:rPr>
              <w:t>，…，Q</w:t>
            </w:r>
            <w:r>
              <w:rPr>
                <w:color w:val="auto"/>
                <w:sz w:val="24"/>
                <w:shd w:val="clear" w:color="auto" w:fill="FFFFFF"/>
                <w:vertAlign w:val="subscript"/>
              </w:rPr>
              <w:t>n</w:t>
            </w:r>
            <w:r>
              <w:rPr>
                <w:color w:val="auto"/>
                <w:sz w:val="24"/>
                <w:shd w:val="clear" w:color="auto" w:fill="FFFFFF"/>
              </w:rPr>
              <w:t>—每种危险物质的临界量，t。</w:t>
            </w:r>
          </w:p>
          <w:p w14:paraId="5CDADF0E">
            <w:pPr>
              <w:spacing w:line="360" w:lineRule="auto"/>
              <w:ind w:firstLine="480" w:firstLineChars="200"/>
              <w:rPr>
                <w:color w:val="auto"/>
                <w:sz w:val="24"/>
                <w:shd w:val="clear" w:color="auto" w:fill="FFFFFF"/>
              </w:rPr>
            </w:pPr>
            <w:r>
              <w:rPr>
                <w:color w:val="auto"/>
                <w:sz w:val="24"/>
                <w:shd w:val="clear" w:color="auto" w:fill="FFFFFF"/>
              </w:rPr>
              <w:t>当Q＜1时，该项目环境风险潜势为I。</w:t>
            </w:r>
          </w:p>
          <w:p w14:paraId="267143AF">
            <w:pPr>
              <w:spacing w:line="360" w:lineRule="auto"/>
              <w:ind w:firstLine="480" w:firstLineChars="200"/>
              <w:rPr>
                <w:color w:val="auto"/>
                <w:sz w:val="24"/>
                <w:shd w:val="clear" w:color="auto" w:fill="FFFFFF"/>
              </w:rPr>
            </w:pPr>
            <w:r>
              <w:rPr>
                <w:color w:val="auto"/>
                <w:sz w:val="24"/>
                <w:shd w:val="clear" w:color="auto" w:fill="FFFFFF"/>
              </w:rPr>
              <w:t>当Q</w:t>
            </w:r>
            <w:r>
              <w:rPr>
                <w:rFonts w:hint="eastAsia"/>
                <w:color w:val="auto"/>
                <w:sz w:val="24"/>
                <w:shd w:val="clear" w:color="auto" w:fill="FFFFFF"/>
              </w:rPr>
              <w:t>≥</w:t>
            </w:r>
            <w:r>
              <w:rPr>
                <w:color w:val="auto"/>
                <w:sz w:val="24"/>
                <w:shd w:val="clear" w:color="auto" w:fill="FFFFFF"/>
              </w:rPr>
              <w:t>1时，将Q值划分为：（1）1</w:t>
            </w:r>
            <w:r>
              <w:rPr>
                <w:rFonts w:hint="eastAsia"/>
                <w:color w:val="auto"/>
                <w:sz w:val="24"/>
                <w:shd w:val="clear" w:color="auto" w:fill="FFFFFF"/>
              </w:rPr>
              <w:t>≤</w:t>
            </w:r>
            <w:r>
              <w:rPr>
                <w:color w:val="auto"/>
                <w:sz w:val="24"/>
                <w:shd w:val="clear" w:color="auto" w:fill="FFFFFF"/>
              </w:rPr>
              <w:t>Q</w:t>
            </w:r>
            <w:r>
              <w:rPr>
                <w:rFonts w:hint="eastAsia"/>
                <w:color w:val="auto"/>
                <w:sz w:val="24"/>
                <w:shd w:val="clear" w:color="auto" w:fill="FFFFFF"/>
              </w:rPr>
              <w:t>＜</w:t>
            </w:r>
            <w:r>
              <w:rPr>
                <w:color w:val="auto"/>
                <w:sz w:val="24"/>
                <w:shd w:val="clear" w:color="auto" w:fill="FFFFFF"/>
              </w:rPr>
              <w:t>10；（2）10</w:t>
            </w:r>
            <w:r>
              <w:rPr>
                <w:rFonts w:hint="eastAsia"/>
                <w:color w:val="auto"/>
                <w:sz w:val="24"/>
                <w:shd w:val="clear" w:color="auto" w:fill="FFFFFF"/>
              </w:rPr>
              <w:t>≤</w:t>
            </w:r>
            <w:r>
              <w:rPr>
                <w:color w:val="auto"/>
                <w:sz w:val="24"/>
                <w:shd w:val="clear" w:color="auto" w:fill="FFFFFF"/>
              </w:rPr>
              <w:t>Q</w:t>
            </w:r>
            <w:r>
              <w:rPr>
                <w:rFonts w:hint="eastAsia"/>
                <w:color w:val="auto"/>
                <w:sz w:val="24"/>
                <w:shd w:val="clear" w:color="auto" w:fill="FFFFFF"/>
              </w:rPr>
              <w:t>＜</w:t>
            </w:r>
            <w:r>
              <w:rPr>
                <w:color w:val="auto"/>
                <w:sz w:val="24"/>
                <w:shd w:val="clear" w:color="auto" w:fill="FFFFFF"/>
              </w:rPr>
              <w:t>100；（3）Q</w:t>
            </w:r>
            <w:r>
              <w:rPr>
                <w:rFonts w:hint="eastAsia"/>
                <w:color w:val="auto"/>
                <w:sz w:val="24"/>
                <w:shd w:val="clear" w:color="auto" w:fill="FFFFFF"/>
              </w:rPr>
              <w:t>≥</w:t>
            </w:r>
            <w:r>
              <w:rPr>
                <w:color w:val="auto"/>
                <w:sz w:val="24"/>
                <w:shd w:val="clear" w:color="auto" w:fill="FFFFFF"/>
              </w:rPr>
              <w:t>100。</w:t>
            </w:r>
          </w:p>
          <w:p w14:paraId="53DAD971">
            <w:pPr>
              <w:spacing w:line="360" w:lineRule="auto"/>
              <w:ind w:firstLine="480" w:firstLineChars="200"/>
              <w:rPr>
                <w:color w:val="auto"/>
                <w:sz w:val="24"/>
                <w:shd w:val="clear" w:color="auto" w:fill="FFFFFF"/>
              </w:rPr>
            </w:pPr>
            <w:r>
              <w:rPr>
                <w:color w:val="auto"/>
                <w:sz w:val="24"/>
                <w:shd w:val="clear" w:color="auto" w:fill="FFFFFF"/>
              </w:rPr>
              <w:t>本项目</w:t>
            </w:r>
            <w:r>
              <w:rPr>
                <w:rFonts w:hint="eastAsia"/>
                <w:color w:val="auto"/>
                <w:sz w:val="24"/>
                <w:shd w:val="clear" w:color="auto" w:fill="FFFFFF"/>
                <w:lang w:eastAsia="zh-CN"/>
              </w:rPr>
              <w:t>废机油</w:t>
            </w:r>
            <w:r>
              <w:rPr>
                <w:rFonts w:hint="eastAsia"/>
                <w:color w:val="auto"/>
                <w:sz w:val="24"/>
                <w:shd w:val="clear" w:color="auto" w:fill="FFFFFF"/>
              </w:rPr>
              <w:t>产生量为0.</w:t>
            </w:r>
            <w:r>
              <w:rPr>
                <w:rFonts w:hint="eastAsia"/>
                <w:color w:val="auto"/>
                <w:sz w:val="24"/>
                <w:shd w:val="clear" w:color="auto" w:fill="FFFFFF"/>
                <w:lang w:val="en-US" w:eastAsia="zh-CN"/>
              </w:rPr>
              <w:t>5</w:t>
            </w:r>
            <w:r>
              <w:rPr>
                <w:rFonts w:hint="eastAsia"/>
                <w:color w:val="auto"/>
                <w:sz w:val="24"/>
                <w:shd w:val="clear" w:color="auto" w:fill="FFFFFF"/>
              </w:rPr>
              <w:t>0t/a，</w:t>
            </w:r>
            <w:r>
              <w:rPr>
                <w:color w:val="auto"/>
                <w:sz w:val="24"/>
                <w:shd w:val="clear" w:color="auto" w:fill="FFFFFF"/>
              </w:rPr>
              <w:t>Q</w:t>
            </w:r>
            <w:r>
              <w:rPr>
                <w:rFonts w:hint="eastAsia"/>
                <w:color w:val="auto"/>
                <w:sz w:val="24"/>
                <w:shd w:val="clear" w:color="auto" w:fill="FFFFFF"/>
              </w:rPr>
              <w:t>＜1，风险潜势为</w:t>
            </w:r>
            <w:r>
              <w:rPr>
                <w:color w:val="auto"/>
                <w:sz w:val="24"/>
                <w:shd w:val="clear" w:color="auto" w:fill="FFFFFF"/>
              </w:rPr>
              <w:t>I</w:t>
            </w:r>
            <w:r>
              <w:rPr>
                <w:rFonts w:hint="eastAsia"/>
                <w:color w:val="auto"/>
                <w:sz w:val="24"/>
                <w:shd w:val="clear" w:color="auto" w:fill="FFFFFF"/>
              </w:rPr>
              <w:t>。</w:t>
            </w:r>
          </w:p>
          <w:p w14:paraId="5EF51592">
            <w:pPr>
              <w:jc w:val="center"/>
              <w:rPr>
                <w:b/>
                <w:snapToGrid w:val="0"/>
                <w:color w:val="auto"/>
                <w:szCs w:val="21"/>
              </w:rPr>
            </w:pPr>
            <w:r>
              <w:rPr>
                <w:b/>
                <w:snapToGrid w:val="0"/>
                <w:color w:val="auto"/>
                <w:szCs w:val="21"/>
              </w:rPr>
              <w:t>表</w:t>
            </w:r>
            <w:r>
              <w:rPr>
                <w:rFonts w:hint="eastAsia"/>
                <w:b/>
                <w:snapToGrid w:val="0"/>
                <w:color w:val="auto"/>
                <w:szCs w:val="21"/>
              </w:rPr>
              <w:t xml:space="preserve"> 4-</w:t>
            </w:r>
            <w:r>
              <w:rPr>
                <w:rFonts w:hint="eastAsia"/>
                <w:b/>
                <w:snapToGrid w:val="0"/>
                <w:color w:val="auto"/>
                <w:szCs w:val="21"/>
                <w:lang w:val="en-US" w:eastAsia="zh-CN"/>
              </w:rPr>
              <w:t>10</w:t>
            </w:r>
            <w:r>
              <w:rPr>
                <w:b/>
                <w:snapToGrid w:val="0"/>
                <w:color w:val="auto"/>
                <w:szCs w:val="21"/>
              </w:rPr>
              <w:t xml:space="preserve"> </w:t>
            </w:r>
            <w:r>
              <w:rPr>
                <w:rFonts w:hint="eastAsia"/>
                <w:b/>
                <w:snapToGrid w:val="0"/>
                <w:color w:val="auto"/>
                <w:szCs w:val="21"/>
              </w:rPr>
              <w:t xml:space="preserve"> </w:t>
            </w:r>
            <w:r>
              <w:rPr>
                <w:b/>
                <w:snapToGrid w:val="0"/>
                <w:color w:val="auto"/>
                <w:szCs w:val="21"/>
              </w:rPr>
              <w:t xml:space="preserve"> 建设项目Q值确定表</w:t>
            </w:r>
          </w:p>
          <w:tbl>
            <w:tblPr>
              <w:tblStyle w:val="27"/>
              <w:tblW w:w="4949" w:type="pct"/>
              <w:tblInd w:w="6" w:type="dxa"/>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
            <w:tblGrid>
              <w:gridCol w:w="617"/>
              <w:gridCol w:w="1142"/>
              <w:gridCol w:w="1056"/>
              <w:gridCol w:w="1540"/>
              <w:gridCol w:w="1414"/>
              <w:gridCol w:w="2096"/>
            </w:tblGrid>
            <w:tr w14:paraId="670D9EA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540" w:hRule="atLeast"/>
              </w:trPr>
              <w:tc>
                <w:tcPr>
                  <w:tcW w:w="619" w:type="dxa"/>
                  <w:tcBorders>
                    <w:bottom w:val="single" w:color="000000" w:sz="12" w:space="0"/>
                  </w:tcBorders>
                  <w:noWrap w:val="0"/>
                  <w:vAlign w:val="center"/>
                </w:tcPr>
                <w:p w14:paraId="369D2141">
                  <w:pPr>
                    <w:jc w:val="center"/>
                    <w:rPr>
                      <w:b/>
                      <w:bCs/>
                      <w:color w:val="auto"/>
                      <w:szCs w:val="21"/>
                      <w:lang w:val="zh-CN" w:bidi="zh-CN"/>
                    </w:rPr>
                  </w:pPr>
                  <w:r>
                    <w:rPr>
                      <w:b/>
                      <w:bCs/>
                      <w:color w:val="auto"/>
                      <w:szCs w:val="21"/>
                      <w:lang w:val="zh-CN" w:bidi="zh-CN"/>
                    </w:rPr>
                    <w:t>序号</w:t>
                  </w:r>
                </w:p>
              </w:tc>
              <w:tc>
                <w:tcPr>
                  <w:tcW w:w="1147" w:type="dxa"/>
                  <w:tcBorders>
                    <w:bottom w:val="single" w:color="000000" w:sz="12" w:space="0"/>
                  </w:tcBorders>
                  <w:noWrap w:val="0"/>
                  <w:vAlign w:val="center"/>
                </w:tcPr>
                <w:p w14:paraId="453E8E28">
                  <w:pPr>
                    <w:jc w:val="center"/>
                    <w:rPr>
                      <w:b/>
                      <w:bCs/>
                      <w:color w:val="auto"/>
                      <w:szCs w:val="21"/>
                      <w:lang w:val="zh-CN" w:bidi="zh-CN"/>
                    </w:rPr>
                  </w:pPr>
                  <w:r>
                    <w:rPr>
                      <w:b/>
                      <w:bCs/>
                      <w:color w:val="auto"/>
                      <w:szCs w:val="21"/>
                      <w:lang w:val="zh-CN" w:bidi="zh-CN"/>
                    </w:rPr>
                    <w:t>危险物质名称</w:t>
                  </w:r>
                </w:p>
              </w:tc>
              <w:tc>
                <w:tcPr>
                  <w:tcW w:w="1060" w:type="dxa"/>
                  <w:tcBorders>
                    <w:bottom w:val="single" w:color="000000" w:sz="12" w:space="0"/>
                  </w:tcBorders>
                  <w:noWrap w:val="0"/>
                  <w:vAlign w:val="center"/>
                </w:tcPr>
                <w:p w14:paraId="7F2638C5">
                  <w:pPr>
                    <w:jc w:val="center"/>
                    <w:rPr>
                      <w:b/>
                      <w:bCs/>
                      <w:color w:val="auto"/>
                      <w:szCs w:val="21"/>
                      <w:lang w:val="zh-CN" w:bidi="zh-CN"/>
                    </w:rPr>
                  </w:pPr>
                  <w:r>
                    <w:rPr>
                      <w:b/>
                      <w:bCs/>
                      <w:color w:val="auto"/>
                      <w:szCs w:val="21"/>
                      <w:lang w:val="zh-CN" w:bidi="zh-CN"/>
                    </w:rPr>
                    <w:t>CAS号</w:t>
                  </w:r>
                </w:p>
              </w:tc>
              <w:tc>
                <w:tcPr>
                  <w:tcW w:w="1546" w:type="dxa"/>
                  <w:tcBorders>
                    <w:bottom w:val="single" w:color="000000" w:sz="12" w:space="0"/>
                  </w:tcBorders>
                  <w:noWrap w:val="0"/>
                  <w:vAlign w:val="center"/>
                </w:tcPr>
                <w:p w14:paraId="35A3D910">
                  <w:pPr>
                    <w:jc w:val="center"/>
                    <w:rPr>
                      <w:b/>
                      <w:bCs/>
                      <w:color w:val="auto"/>
                      <w:szCs w:val="21"/>
                      <w:lang w:val="zh-CN" w:bidi="zh-CN"/>
                    </w:rPr>
                  </w:pPr>
                  <w:r>
                    <w:rPr>
                      <w:b/>
                      <w:bCs/>
                      <w:color w:val="auto"/>
                      <w:szCs w:val="21"/>
                      <w:lang w:val="zh-CN" w:bidi="zh-CN"/>
                    </w:rPr>
                    <w:t>最大存在总量q</w:t>
                  </w:r>
                  <w:r>
                    <w:rPr>
                      <w:b/>
                      <w:bCs/>
                      <w:color w:val="auto"/>
                      <w:szCs w:val="21"/>
                      <w:vertAlign w:val="subscript"/>
                      <w:lang w:val="zh-CN" w:bidi="zh-CN"/>
                    </w:rPr>
                    <w:t>n</w:t>
                  </w:r>
                  <w:r>
                    <w:rPr>
                      <w:b/>
                      <w:bCs/>
                      <w:color w:val="auto"/>
                      <w:szCs w:val="21"/>
                      <w:lang w:val="zh-CN" w:bidi="zh-CN"/>
                    </w:rPr>
                    <w:t>/t</w:t>
                  </w:r>
                </w:p>
              </w:tc>
              <w:tc>
                <w:tcPr>
                  <w:tcW w:w="1420" w:type="dxa"/>
                  <w:tcBorders>
                    <w:bottom w:val="single" w:color="000000" w:sz="12" w:space="0"/>
                  </w:tcBorders>
                  <w:noWrap w:val="0"/>
                  <w:vAlign w:val="center"/>
                </w:tcPr>
                <w:p w14:paraId="36FF072F">
                  <w:pPr>
                    <w:jc w:val="center"/>
                    <w:rPr>
                      <w:b/>
                      <w:bCs/>
                      <w:color w:val="auto"/>
                      <w:szCs w:val="21"/>
                      <w:lang w:val="zh-CN" w:bidi="zh-CN"/>
                    </w:rPr>
                  </w:pPr>
                  <w:r>
                    <w:rPr>
                      <w:b/>
                      <w:bCs/>
                      <w:color w:val="auto"/>
                      <w:szCs w:val="21"/>
                      <w:lang w:val="zh-CN" w:bidi="zh-CN"/>
                    </w:rPr>
                    <w:t>临界量Q</w:t>
                  </w:r>
                  <w:r>
                    <w:rPr>
                      <w:b/>
                      <w:bCs/>
                      <w:color w:val="auto"/>
                      <w:szCs w:val="21"/>
                      <w:vertAlign w:val="subscript"/>
                      <w:lang w:val="zh-CN" w:bidi="zh-CN"/>
                    </w:rPr>
                    <w:t>n</w:t>
                  </w:r>
                  <w:r>
                    <w:rPr>
                      <w:b/>
                      <w:bCs/>
                      <w:color w:val="auto"/>
                      <w:szCs w:val="21"/>
                      <w:lang w:val="zh-CN" w:bidi="zh-CN"/>
                    </w:rPr>
                    <w:t>/t</w:t>
                  </w:r>
                </w:p>
              </w:tc>
              <w:tc>
                <w:tcPr>
                  <w:tcW w:w="2105" w:type="dxa"/>
                  <w:tcBorders>
                    <w:bottom w:val="single" w:color="000000" w:sz="12" w:space="0"/>
                  </w:tcBorders>
                  <w:noWrap w:val="0"/>
                  <w:vAlign w:val="center"/>
                </w:tcPr>
                <w:p w14:paraId="506C326E">
                  <w:pPr>
                    <w:jc w:val="center"/>
                    <w:rPr>
                      <w:b/>
                      <w:bCs/>
                      <w:color w:val="auto"/>
                      <w:szCs w:val="21"/>
                      <w:lang w:val="zh-CN" w:bidi="zh-CN"/>
                    </w:rPr>
                  </w:pPr>
                  <w:r>
                    <w:rPr>
                      <w:b/>
                      <w:bCs/>
                      <w:color w:val="auto"/>
                      <w:szCs w:val="21"/>
                      <w:lang w:val="zh-CN" w:bidi="zh-CN"/>
                    </w:rPr>
                    <w:t>该种危险物质Q值</w:t>
                  </w:r>
                </w:p>
              </w:tc>
            </w:tr>
            <w:tr w14:paraId="20640D77">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40" w:hRule="exact"/>
              </w:trPr>
              <w:tc>
                <w:tcPr>
                  <w:tcW w:w="619" w:type="dxa"/>
                  <w:tcBorders>
                    <w:top w:val="single" w:color="000000" w:sz="12" w:space="0"/>
                  </w:tcBorders>
                  <w:noWrap w:val="0"/>
                  <w:vAlign w:val="center"/>
                </w:tcPr>
                <w:p w14:paraId="5573199D">
                  <w:pPr>
                    <w:jc w:val="center"/>
                    <w:rPr>
                      <w:color w:val="auto"/>
                      <w:szCs w:val="21"/>
                      <w:lang w:val="zh-CN" w:bidi="zh-CN"/>
                    </w:rPr>
                  </w:pPr>
                  <w:r>
                    <w:rPr>
                      <w:color w:val="auto"/>
                      <w:szCs w:val="21"/>
                      <w:lang w:val="zh-CN" w:bidi="zh-CN"/>
                    </w:rPr>
                    <w:t>1</w:t>
                  </w:r>
                </w:p>
              </w:tc>
              <w:tc>
                <w:tcPr>
                  <w:tcW w:w="1147" w:type="dxa"/>
                  <w:tcBorders>
                    <w:top w:val="single" w:color="000000" w:sz="12" w:space="0"/>
                  </w:tcBorders>
                  <w:noWrap w:val="0"/>
                  <w:vAlign w:val="center"/>
                </w:tcPr>
                <w:p w14:paraId="2379601B">
                  <w:pPr>
                    <w:jc w:val="center"/>
                    <w:rPr>
                      <w:color w:val="auto"/>
                      <w:szCs w:val="21"/>
                      <w:lang w:val="zh-CN" w:bidi="zh-CN"/>
                    </w:rPr>
                  </w:pPr>
                  <w:r>
                    <w:rPr>
                      <w:color w:val="auto"/>
                      <w:szCs w:val="21"/>
                      <w:lang w:val="zh-CN" w:bidi="zh-CN"/>
                    </w:rPr>
                    <w:t>油类物质</w:t>
                  </w:r>
                </w:p>
              </w:tc>
              <w:tc>
                <w:tcPr>
                  <w:tcW w:w="1060" w:type="dxa"/>
                  <w:tcBorders>
                    <w:top w:val="single" w:color="000000" w:sz="12" w:space="0"/>
                  </w:tcBorders>
                  <w:noWrap w:val="0"/>
                  <w:vAlign w:val="center"/>
                </w:tcPr>
                <w:p w14:paraId="1EEAF904">
                  <w:pPr>
                    <w:jc w:val="center"/>
                    <w:rPr>
                      <w:color w:val="auto"/>
                      <w:szCs w:val="21"/>
                      <w:lang w:val="zh-CN" w:bidi="zh-CN"/>
                    </w:rPr>
                  </w:pPr>
                  <w:r>
                    <w:rPr>
                      <w:color w:val="auto"/>
                      <w:szCs w:val="21"/>
                      <w:lang w:val="zh-CN" w:bidi="zh-CN"/>
                    </w:rPr>
                    <w:t>-</w:t>
                  </w:r>
                </w:p>
              </w:tc>
              <w:tc>
                <w:tcPr>
                  <w:tcW w:w="1546" w:type="dxa"/>
                  <w:tcBorders>
                    <w:top w:val="single" w:color="000000" w:sz="12" w:space="0"/>
                  </w:tcBorders>
                  <w:noWrap w:val="0"/>
                  <w:vAlign w:val="center"/>
                </w:tcPr>
                <w:p w14:paraId="0B0BABA0">
                  <w:pPr>
                    <w:jc w:val="center"/>
                    <w:rPr>
                      <w:color w:val="auto"/>
                      <w:szCs w:val="21"/>
                      <w:lang w:bidi="zh-CN"/>
                    </w:rPr>
                  </w:pPr>
                  <w:r>
                    <w:rPr>
                      <w:rFonts w:hint="eastAsia"/>
                      <w:color w:val="auto"/>
                      <w:szCs w:val="21"/>
                      <w:lang w:bidi="zh-CN"/>
                    </w:rPr>
                    <w:t>0.</w:t>
                  </w:r>
                  <w:r>
                    <w:rPr>
                      <w:rFonts w:hint="eastAsia"/>
                      <w:color w:val="auto"/>
                      <w:szCs w:val="21"/>
                      <w:lang w:val="en-US" w:bidi="zh-CN"/>
                    </w:rPr>
                    <w:t>5</w:t>
                  </w:r>
                </w:p>
              </w:tc>
              <w:tc>
                <w:tcPr>
                  <w:tcW w:w="1420" w:type="dxa"/>
                  <w:tcBorders>
                    <w:top w:val="single" w:color="000000" w:sz="12" w:space="0"/>
                  </w:tcBorders>
                  <w:noWrap w:val="0"/>
                  <w:vAlign w:val="center"/>
                </w:tcPr>
                <w:p w14:paraId="7D6901DF">
                  <w:pPr>
                    <w:jc w:val="center"/>
                    <w:rPr>
                      <w:color w:val="auto"/>
                      <w:szCs w:val="21"/>
                      <w:lang w:val="zh-CN" w:bidi="zh-CN"/>
                    </w:rPr>
                  </w:pPr>
                  <w:r>
                    <w:rPr>
                      <w:color w:val="auto"/>
                      <w:szCs w:val="21"/>
                      <w:lang w:val="zh-CN" w:bidi="zh-CN"/>
                    </w:rPr>
                    <w:t>2500</w:t>
                  </w:r>
                </w:p>
              </w:tc>
              <w:tc>
                <w:tcPr>
                  <w:tcW w:w="2105" w:type="dxa"/>
                  <w:tcBorders>
                    <w:top w:val="single" w:color="000000" w:sz="12" w:space="0"/>
                  </w:tcBorders>
                  <w:noWrap w:val="0"/>
                  <w:vAlign w:val="center"/>
                </w:tcPr>
                <w:p w14:paraId="2E0B8DDE">
                  <w:pPr>
                    <w:jc w:val="center"/>
                    <w:rPr>
                      <w:color w:val="auto"/>
                      <w:szCs w:val="21"/>
                      <w:lang w:bidi="zh-CN"/>
                    </w:rPr>
                  </w:pPr>
                  <w:r>
                    <w:rPr>
                      <w:rFonts w:hint="eastAsia"/>
                      <w:color w:val="auto"/>
                      <w:szCs w:val="21"/>
                      <w:lang w:bidi="zh-CN"/>
                    </w:rPr>
                    <w:t>0.000</w:t>
                  </w:r>
                  <w:r>
                    <w:rPr>
                      <w:rFonts w:hint="eastAsia"/>
                      <w:color w:val="auto"/>
                      <w:szCs w:val="21"/>
                      <w:lang w:val="en-US" w:bidi="zh-CN"/>
                    </w:rPr>
                    <w:t>2</w:t>
                  </w:r>
                </w:p>
              </w:tc>
            </w:tr>
          </w:tbl>
          <w:p w14:paraId="6DB2B807">
            <w:pPr>
              <w:spacing w:before="120" w:beforeLines="50" w:line="360" w:lineRule="auto"/>
              <w:ind w:firstLine="480" w:firstLineChars="200"/>
              <w:rPr>
                <w:color w:val="auto"/>
                <w:kern w:val="0"/>
                <w:sz w:val="24"/>
              </w:rPr>
            </w:pPr>
            <w:r>
              <w:rPr>
                <w:rFonts w:hint="eastAsia"/>
                <w:color w:val="auto"/>
                <w:sz w:val="24"/>
                <w:lang w:eastAsia="zh-CN"/>
              </w:rPr>
              <w:t>（</w:t>
            </w:r>
            <w:r>
              <w:rPr>
                <w:rFonts w:hint="eastAsia"/>
                <w:color w:val="auto"/>
                <w:sz w:val="24"/>
                <w:lang w:val="en-US" w:eastAsia="zh-CN"/>
              </w:rPr>
              <w:t>3</w:t>
            </w:r>
            <w:r>
              <w:rPr>
                <w:rFonts w:hint="eastAsia"/>
                <w:color w:val="auto"/>
                <w:sz w:val="24"/>
                <w:lang w:eastAsia="zh-CN"/>
              </w:rPr>
              <w:t>）</w:t>
            </w:r>
            <w:r>
              <w:rPr>
                <w:color w:val="auto"/>
                <w:kern w:val="0"/>
                <w:sz w:val="24"/>
              </w:rPr>
              <w:t>评价等级</w:t>
            </w:r>
          </w:p>
          <w:p w14:paraId="0D762FA8">
            <w:pPr>
              <w:spacing w:line="360" w:lineRule="auto"/>
              <w:ind w:firstLine="480" w:firstLineChars="200"/>
              <w:rPr>
                <w:color w:val="auto"/>
                <w:kern w:val="0"/>
                <w:sz w:val="24"/>
              </w:rPr>
            </w:pPr>
            <w:r>
              <w:rPr>
                <w:color w:val="auto"/>
                <w:kern w:val="0"/>
                <w:sz w:val="24"/>
              </w:rPr>
              <w:t>根据《建设项目环境风险评价技术导则》（HJ T169-2018）中的规定，环境风险评价工作等级划分表见表</w:t>
            </w:r>
            <w:r>
              <w:rPr>
                <w:rFonts w:hint="eastAsia"/>
                <w:color w:val="auto"/>
                <w:kern w:val="0"/>
                <w:sz w:val="24"/>
              </w:rPr>
              <w:t>4-</w:t>
            </w:r>
            <w:r>
              <w:rPr>
                <w:rFonts w:hint="eastAsia"/>
                <w:color w:val="auto"/>
                <w:kern w:val="0"/>
                <w:sz w:val="24"/>
                <w:lang w:val="en-US" w:eastAsia="zh-CN"/>
              </w:rPr>
              <w:t>11</w:t>
            </w:r>
            <w:r>
              <w:rPr>
                <w:color w:val="auto"/>
                <w:kern w:val="0"/>
                <w:sz w:val="24"/>
              </w:rPr>
              <w:t>。</w:t>
            </w:r>
          </w:p>
          <w:p w14:paraId="216C121E">
            <w:pPr>
              <w:jc w:val="center"/>
              <w:rPr>
                <w:b/>
                <w:bCs/>
                <w:color w:val="auto"/>
                <w:kern w:val="0"/>
                <w:szCs w:val="22"/>
              </w:rPr>
            </w:pPr>
            <w:r>
              <w:rPr>
                <w:b/>
                <w:bCs/>
                <w:color w:val="auto"/>
                <w:kern w:val="0"/>
                <w:szCs w:val="22"/>
              </w:rPr>
              <w:t>表</w:t>
            </w:r>
            <w:r>
              <w:rPr>
                <w:rFonts w:hint="eastAsia"/>
                <w:b/>
                <w:bCs/>
                <w:color w:val="auto"/>
                <w:kern w:val="0"/>
                <w:szCs w:val="22"/>
              </w:rPr>
              <w:t xml:space="preserve"> 4-1</w:t>
            </w:r>
            <w:r>
              <w:rPr>
                <w:rFonts w:hint="eastAsia"/>
                <w:b/>
                <w:bCs/>
                <w:color w:val="auto"/>
                <w:kern w:val="0"/>
                <w:szCs w:val="22"/>
                <w:lang w:val="en-US" w:eastAsia="zh-CN"/>
              </w:rPr>
              <w:t>1</w:t>
            </w:r>
            <w:r>
              <w:rPr>
                <w:b/>
                <w:bCs/>
                <w:color w:val="auto"/>
                <w:kern w:val="0"/>
                <w:szCs w:val="22"/>
              </w:rPr>
              <w:t xml:space="preserve">   环境风险评价工作等级划分表</w:t>
            </w:r>
          </w:p>
          <w:tbl>
            <w:tblPr>
              <w:tblStyle w:val="27"/>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777"/>
              <w:gridCol w:w="1539"/>
              <w:gridCol w:w="1540"/>
              <w:gridCol w:w="1540"/>
              <w:gridCol w:w="1544"/>
            </w:tblGrid>
            <w:tr w14:paraId="1AEAB5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19" w:type="pct"/>
                  <w:noWrap w:val="0"/>
                  <w:vAlign w:val="center"/>
                </w:tcPr>
                <w:p w14:paraId="3A0BAD6D">
                  <w:pPr>
                    <w:jc w:val="center"/>
                    <w:rPr>
                      <w:b/>
                      <w:bCs/>
                      <w:color w:val="auto"/>
                      <w:kern w:val="0"/>
                      <w:szCs w:val="22"/>
                    </w:rPr>
                  </w:pPr>
                  <w:r>
                    <w:rPr>
                      <w:b/>
                      <w:bCs/>
                      <w:color w:val="auto"/>
                      <w:kern w:val="0"/>
                      <w:szCs w:val="22"/>
                    </w:rPr>
                    <w:t>环境风险潜势</w:t>
                  </w:r>
                </w:p>
              </w:tc>
              <w:tc>
                <w:tcPr>
                  <w:tcW w:w="969" w:type="pct"/>
                  <w:noWrap w:val="0"/>
                  <w:vAlign w:val="center"/>
                </w:tcPr>
                <w:p w14:paraId="2A397166">
                  <w:pPr>
                    <w:jc w:val="center"/>
                    <w:rPr>
                      <w:b/>
                      <w:bCs/>
                      <w:color w:val="auto"/>
                      <w:kern w:val="0"/>
                      <w:szCs w:val="22"/>
                    </w:rPr>
                  </w:pPr>
                  <w:r>
                    <w:rPr>
                      <w:b/>
                      <w:bCs/>
                      <w:color w:val="auto"/>
                      <w:kern w:val="0"/>
                      <w:szCs w:val="22"/>
                    </w:rPr>
                    <w:fldChar w:fldCharType="begin"/>
                  </w:r>
                  <w:r>
                    <w:rPr>
                      <w:b/>
                      <w:bCs/>
                      <w:color w:val="auto"/>
                      <w:kern w:val="0"/>
                      <w:szCs w:val="22"/>
                    </w:rPr>
                    <w:instrText xml:space="preserve"> = 4 \* ROMAN </w:instrText>
                  </w:r>
                  <w:r>
                    <w:rPr>
                      <w:b/>
                      <w:bCs/>
                      <w:color w:val="auto"/>
                      <w:kern w:val="0"/>
                      <w:szCs w:val="22"/>
                    </w:rPr>
                    <w:fldChar w:fldCharType="separate"/>
                  </w:r>
                  <w:r>
                    <w:rPr>
                      <w:rFonts w:hint="eastAsia"/>
                      <w:b/>
                      <w:bCs/>
                      <w:color w:val="auto"/>
                      <w:kern w:val="0"/>
                      <w:szCs w:val="22"/>
                    </w:rPr>
                    <w:t>Ⅳ</w:t>
                  </w:r>
                  <w:r>
                    <w:rPr>
                      <w:b/>
                      <w:bCs/>
                      <w:color w:val="auto"/>
                      <w:kern w:val="0"/>
                      <w:szCs w:val="22"/>
                    </w:rPr>
                    <w:fldChar w:fldCharType="end"/>
                  </w:r>
                  <w:r>
                    <w:rPr>
                      <w:b/>
                      <w:bCs/>
                      <w:color w:val="auto"/>
                      <w:kern w:val="0"/>
                      <w:szCs w:val="22"/>
                    </w:rPr>
                    <w:t>、</w:t>
                  </w:r>
                  <w:r>
                    <w:rPr>
                      <w:b/>
                      <w:bCs/>
                      <w:color w:val="auto"/>
                      <w:kern w:val="0"/>
                      <w:szCs w:val="22"/>
                    </w:rPr>
                    <w:fldChar w:fldCharType="begin"/>
                  </w:r>
                  <w:r>
                    <w:rPr>
                      <w:b/>
                      <w:bCs/>
                      <w:color w:val="auto"/>
                      <w:kern w:val="0"/>
                      <w:szCs w:val="22"/>
                    </w:rPr>
                    <w:instrText xml:space="preserve"> = 4 \* ROMAN </w:instrText>
                  </w:r>
                  <w:r>
                    <w:rPr>
                      <w:b/>
                      <w:bCs/>
                      <w:color w:val="auto"/>
                      <w:kern w:val="0"/>
                      <w:szCs w:val="22"/>
                    </w:rPr>
                    <w:fldChar w:fldCharType="separate"/>
                  </w:r>
                  <w:r>
                    <w:rPr>
                      <w:b/>
                      <w:bCs/>
                      <w:color w:val="auto"/>
                      <w:kern w:val="0"/>
                      <w:szCs w:val="22"/>
                    </w:rPr>
                    <w:t>IV</w:t>
                  </w:r>
                  <w:r>
                    <w:rPr>
                      <w:b/>
                      <w:bCs/>
                      <w:color w:val="auto"/>
                      <w:kern w:val="0"/>
                      <w:szCs w:val="22"/>
                    </w:rPr>
                    <w:fldChar w:fldCharType="end"/>
                  </w:r>
                  <w:r>
                    <w:rPr>
                      <w:b/>
                      <w:bCs/>
                      <w:color w:val="auto"/>
                      <w:kern w:val="0"/>
                      <w:szCs w:val="22"/>
                    </w:rPr>
                    <w:t>+</w:t>
                  </w:r>
                </w:p>
              </w:tc>
              <w:tc>
                <w:tcPr>
                  <w:tcW w:w="970" w:type="pct"/>
                  <w:noWrap w:val="0"/>
                  <w:vAlign w:val="center"/>
                </w:tcPr>
                <w:p w14:paraId="132A5BD9">
                  <w:pPr>
                    <w:jc w:val="center"/>
                    <w:rPr>
                      <w:b/>
                      <w:bCs/>
                      <w:color w:val="auto"/>
                      <w:kern w:val="0"/>
                      <w:szCs w:val="22"/>
                    </w:rPr>
                  </w:pPr>
                  <w:r>
                    <w:rPr>
                      <w:b/>
                      <w:bCs/>
                      <w:color w:val="auto"/>
                      <w:kern w:val="0"/>
                      <w:szCs w:val="22"/>
                    </w:rPr>
                    <w:fldChar w:fldCharType="begin"/>
                  </w:r>
                  <w:r>
                    <w:rPr>
                      <w:b/>
                      <w:bCs/>
                      <w:color w:val="auto"/>
                      <w:kern w:val="0"/>
                      <w:szCs w:val="22"/>
                    </w:rPr>
                    <w:instrText xml:space="preserve"> = 3 \* ROMAN </w:instrText>
                  </w:r>
                  <w:r>
                    <w:rPr>
                      <w:b/>
                      <w:bCs/>
                      <w:color w:val="auto"/>
                      <w:kern w:val="0"/>
                      <w:szCs w:val="22"/>
                    </w:rPr>
                    <w:fldChar w:fldCharType="separate"/>
                  </w:r>
                  <w:r>
                    <w:rPr>
                      <w:rFonts w:hint="eastAsia"/>
                      <w:b/>
                      <w:bCs/>
                      <w:color w:val="auto"/>
                      <w:kern w:val="0"/>
                      <w:szCs w:val="22"/>
                    </w:rPr>
                    <w:t>Ⅲ</w:t>
                  </w:r>
                  <w:r>
                    <w:rPr>
                      <w:b/>
                      <w:bCs/>
                      <w:color w:val="auto"/>
                      <w:kern w:val="0"/>
                      <w:szCs w:val="22"/>
                    </w:rPr>
                    <w:fldChar w:fldCharType="end"/>
                  </w:r>
                </w:p>
              </w:tc>
              <w:tc>
                <w:tcPr>
                  <w:tcW w:w="970" w:type="pct"/>
                  <w:noWrap w:val="0"/>
                  <w:vAlign w:val="center"/>
                </w:tcPr>
                <w:p w14:paraId="4EBE5AFF">
                  <w:pPr>
                    <w:jc w:val="center"/>
                    <w:rPr>
                      <w:b/>
                      <w:bCs/>
                      <w:color w:val="auto"/>
                      <w:kern w:val="0"/>
                      <w:szCs w:val="22"/>
                    </w:rPr>
                  </w:pPr>
                  <w:r>
                    <w:rPr>
                      <w:b/>
                      <w:bCs/>
                      <w:color w:val="auto"/>
                      <w:kern w:val="0"/>
                      <w:szCs w:val="22"/>
                    </w:rPr>
                    <w:fldChar w:fldCharType="begin"/>
                  </w:r>
                  <w:r>
                    <w:rPr>
                      <w:b/>
                      <w:bCs/>
                      <w:color w:val="auto"/>
                      <w:kern w:val="0"/>
                      <w:szCs w:val="22"/>
                    </w:rPr>
                    <w:instrText xml:space="preserve"> = 2 \* ROMAN </w:instrText>
                  </w:r>
                  <w:r>
                    <w:rPr>
                      <w:b/>
                      <w:bCs/>
                      <w:color w:val="auto"/>
                      <w:kern w:val="0"/>
                      <w:szCs w:val="22"/>
                    </w:rPr>
                    <w:fldChar w:fldCharType="separate"/>
                  </w:r>
                  <w:r>
                    <w:rPr>
                      <w:b/>
                      <w:bCs/>
                      <w:color w:val="auto"/>
                      <w:kern w:val="0"/>
                      <w:szCs w:val="22"/>
                    </w:rPr>
                    <w:t>II</w:t>
                  </w:r>
                  <w:r>
                    <w:rPr>
                      <w:b/>
                      <w:bCs/>
                      <w:color w:val="auto"/>
                      <w:kern w:val="0"/>
                      <w:szCs w:val="22"/>
                    </w:rPr>
                    <w:fldChar w:fldCharType="end"/>
                  </w:r>
                </w:p>
              </w:tc>
              <w:tc>
                <w:tcPr>
                  <w:tcW w:w="970" w:type="pct"/>
                  <w:noWrap w:val="0"/>
                  <w:vAlign w:val="center"/>
                </w:tcPr>
                <w:p w14:paraId="5369EC49">
                  <w:pPr>
                    <w:jc w:val="center"/>
                    <w:rPr>
                      <w:b/>
                      <w:bCs/>
                      <w:color w:val="auto"/>
                      <w:kern w:val="0"/>
                      <w:szCs w:val="22"/>
                    </w:rPr>
                  </w:pPr>
                  <w:r>
                    <w:rPr>
                      <w:b/>
                      <w:bCs/>
                      <w:color w:val="auto"/>
                      <w:kern w:val="0"/>
                      <w:szCs w:val="22"/>
                    </w:rPr>
                    <w:fldChar w:fldCharType="begin"/>
                  </w:r>
                  <w:r>
                    <w:rPr>
                      <w:b/>
                      <w:bCs/>
                      <w:color w:val="auto"/>
                      <w:kern w:val="0"/>
                      <w:szCs w:val="22"/>
                    </w:rPr>
                    <w:instrText xml:space="preserve"> = 1 \* ROMAN </w:instrText>
                  </w:r>
                  <w:r>
                    <w:rPr>
                      <w:b/>
                      <w:bCs/>
                      <w:color w:val="auto"/>
                      <w:kern w:val="0"/>
                      <w:szCs w:val="22"/>
                    </w:rPr>
                    <w:fldChar w:fldCharType="separate"/>
                  </w:r>
                  <w:r>
                    <w:rPr>
                      <w:b/>
                      <w:bCs/>
                      <w:color w:val="auto"/>
                      <w:kern w:val="0"/>
                      <w:szCs w:val="22"/>
                    </w:rPr>
                    <w:t>I</w:t>
                  </w:r>
                  <w:r>
                    <w:rPr>
                      <w:b/>
                      <w:bCs/>
                      <w:color w:val="auto"/>
                      <w:kern w:val="0"/>
                      <w:szCs w:val="22"/>
                    </w:rPr>
                    <w:fldChar w:fldCharType="end"/>
                  </w:r>
                </w:p>
              </w:tc>
            </w:tr>
            <w:tr w14:paraId="5E89D0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1119" w:type="pct"/>
                  <w:noWrap w:val="0"/>
                  <w:vAlign w:val="center"/>
                </w:tcPr>
                <w:p w14:paraId="2177FF42">
                  <w:pPr>
                    <w:jc w:val="center"/>
                    <w:rPr>
                      <w:color w:val="auto"/>
                      <w:kern w:val="0"/>
                      <w:szCs w:val="22"/>
                    </w:rPr>
                  </w:pPr>
                  <w:r>
                    <w:rPr>
                      <w:color w:val="auto"/>
                      <w:kern w:val="0"/>
                      <w:szCs w:val="22"/>
                    </w:rPr>
                    <w:t>评价工作等级</w:t>
                  </w:r>
                </w:p>
              </w:tc>
              <w:tc>
                <w:tcPr>
                  <w:tcW w:w="969" w:type="pct"/>
                  <w:noWrap w:val="0"/>
                  <w:vAlign w:val="center"/>
                </w:tcPr>
                <w:p w14:paraId="2BACEACD">
                  <w:pPr>
                    <w:jc w:val="center"/>
                    <w:rPr>
                      <w:color w:val="auto"/>
                      <w:kern w:val="0"/>
                      <w:szCs w:val="22"/>
                    </w:rPr>
                  </w:pPr>
                  <w:r>
                    <w:rPr>
                      <w:color w:val="auto"/>
                      <w:kern w:val="0"/>
                      <w:szCs w:val="22"/>
                    </w:rPr>
                    <w:t>一</w:t>
                  </w:r>
                </w:p>
              </w:tc>
              <w:tc>
                <w:tcPr>
                  <w:tcW w:w="970" w:type="pct"/>
                  <w:noWrap w:val="0"/>
                  <w:vAlign w:val="center"/>
                </w:tcPr>
                <w:p w14:paraId="772F23C9">
                  <w:pPr>
                    <w:jc w:val="center"/>
                    <w:rPr>
                      <w:color w:val="auto"/>
                      <w:kern w:val="0"/>
                      <w:szCs w:val="22"/>
                    </w:rPr>
                  </w:pPr>
                  <w:r>
                    <w:rPr>
                      <w:color w:val="auto"/>
                      <w:kern w:val="0"/>
                      <w:szCs w:val="22"/>
                    </w:rPr>
                    <w:t>二</w:t>
                  </w:r>
                </w:p>
              </w:tc>
              <w:tc>
                <w:tcPr>
                  <w:tcW w:w="970" w:type="pct"/>
                  <w:noWrap w:val="0"/>
                  <w:vAlign w:val="center"/>
                </w:tcPr>
                <w:p w14:paraId="67FEAF06">
                  <w:pPr>
                    <w:jc w:val="center"/>
                    <w:rPr>
                      <w:color w:val="auto"/>
                      <w:kern w:val="0"/>
                      <w:szCs w:val="22"/>
                    </w:rPr>
                  </w:pPr>
                  <w:r>
                    <w:rPr>
                      <w:color w:val="auto"/>
                      <w:kern w:val="0"/>
                      <w:szCs w:val="22"/>
                    </w:rPr>
                    <w:t>三</w:t>
                  </w:r>
                </w:p>
              </w:tc>
              <w:tc>
                <w:tcPr>
                  <w:tcW w:w="970" w:type="pct"/>
                  <w:noWrap w:val="0"/>
                  <w:vAlign w:val="center"/>
                </w:tcPr>
                <w:p w14:paraId="140491B8">
                  <w:pPr>
                    <w:jc w:val="center"/>
                    <w:rPr>
                      <w:color w:val="auto"/>
                      <w:kern w:val="0"/>
                      <w:szCs w:val="22"/>
                    </w:rPr>
                  </w:pPr>
                  <w:r>
                    <w:rPr>
                      <w:color w:val="auto"/>
                      <w:kern w:val="0"/>
                      <w:szCs w:val="22"/>
                    </w:rPr>
                    <w:t>简单分析</w:t>
                  </w:r>
                  <w:r>
                    <w:rPr>
                      <w:color w:val="auto"/>
                      <w:kern w:val="0"/>
                      <w:szCs w:val="22"/>
                      <w:vertAlign w:val="superscript"/>
                    </w:rPr>
                    <w:t>a</w:t>
                  </w:r>
                </w:p>
              </w:tc>
            </w:tr>
            <w:tr w14:paraId="48E8CA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0" w:hRule="atLeast"/>
                <w:jc w:val="center"/>
              </w:trPr>
              <w:tc>
                <w:tcPr>
                  <w:tcW w:w="5000" w:type="pct"/>
                  <w:gridSpan w:val="5"/>
                  <w:noWrap w:val="0"/>
                  <w:vAlign w:val="center"/>
                </w:tcPr>
                <w:p w14:paraId="2B32D794">
                  <w:pPr>
                    <w:rPr>
                      <w:color w:val="auto"/>
                      <w:kern w:val="0"/>
                      <w:szCs w:val="22"/>
                    </w:rPr>
                  </w:pPr>
                  <w:r>
                    <w:rPr>
                      <w:color w:val="auto"/>
                      <w:kern w:val="0"/>
                      <w:szCs w:val="22"/>
                      <w:vertAlign w:val="superscript"/>
                    </w:rPr>
                    <w:t>a</w:t>
                  </w:r>
                  <w:r>
                    <w:rPr>
                      <w:color w:val="auto"/>
                      <w:kern w:val="0"/>
                      <w:szCs w:val="22"/>
                    </w:rPr>
                    <w:t>是相对于详细评价工作内容而言，在描述危险物质、环境影响途径、环境危害后果、风险防范措施等方面给出定性的说明。见附录A。</w:t>
                  </w:r>
                </w:p>
              </w:tc>
            </w:tr>
          </w:tbl>
          <w:p w14:paraId="21E96982">
            <w:pPr>
              <w:spacing w:line="360" w:lineRule="auto"/>
              <w:ind w:firstLine="480" w:firstLineChars="200"/>
              <w:rPr>
                <w:color w:val="auto"/>
                <w:kern w:val="0"/>
                <w:sz w:val="24"/>
              </w:rPr>
            </w:pPr>
            <w:r>
              <w:rPr>
                <w:rFonts w:hint="eastAsia"/>
                <w:color w:val="auto"/>
                <w:sz w:val="24"/>
                <w:shd w:val="clear" w:color="auto" w:fill="FFFFFF"/>
              </w:rPr>
              <w:t>本</w:t>
            </w:r>
            <w:r>
              <w:rPr>
                <w:color w:val="auto"/>
                <w:sz w:val="24"/>
                <w:shd w:val="clear" w:color="auto" w:fill="FFFFFF"/>
              </w:rPr>
              <w:t>项目环境风险潜势为I</w:t>
            </w:r>
            <w:r>
              <w:rPr>
                <w:rFonts w:hint="eastAsia"/>
                <w:color w:val="auto"/>
                <w:sz w:val="24"/>
                <w:shd w:val="clear" w:color="auto" w:fill="FFFFFF"/>
              </w:rPr>
              <w:t>，做简单分析</w:t>
            </w:r>
            <w:r>
              <w:rPr>
                <w:color w:val="auto"/>
                <w:kern w:val="0"/>
                <w:sz w:val="24"/>
              </w:rPr>
              <w:t>。</w:t>
            </w:r>
          </w:p>
          <w:p w14:paraId="53E2D376">
            <w:pPr>
              <w:spacing w:line="360" w:lineRule="auto"/>
              <w:ind w:firstLine="480" w:firstLineChars="200"/>
              <w:rPr>
                <w:color w:val="auto"/>
                <w:sz w:val="24"/>
              </w:rPr>
            </w:pPr>
            <w:r>
              <w:rPr>
                <w:rFonts w:hint="eastAsia"/>
                <w:color w:val="auto"/>
                <w:sz w:val="24"/>
                <w:lang w:eastAsia="zh-CN"/>
              </w:rPr>
              <w:t>（</w:t>
            </w:r>
            <w:r>
              <w:rPr>
                <w:rFonts w:hint="eastAsia"/>
                <w:color w:val="auto"/>
                <w:sz w:val="24"/>
                <w:lang w:val="en-US" w:eastAsia="zh-CN"/>
              </w:rPr>
              <w:t>4</w:t>
            </w:r>
            <w:r>
              <w:rPr>
                <w:rFonts w:hint="eastAsia"/>
                <w:color w:val="auto"/>
                <w:sz w:val="24"/>
                <w:lang w:eastAsia="zh-CN"/>
              </w:rPr>
              <w:t>）</w:t>
            </w:r>
            <w:r>
              <w:rPr>
                <w:rFonts w:hint="eastAsia"/>
                <w:color w:val="auto"/>
                <w:sz w:val="24"/>
              </w:rPr>
              <w:t>环境风险分析</w:t>
            </w:r>
          </w:p>
          <w:p w14:paraId="361A5509">
            <w:pPr>
              <w:spacing w:line="360" w:lineRule="auto"/>
              <w:ind w:firstLine="480" w:firstLineChars="200"/>
              <w:rPr>
                <w:color w:val="auto"/>
                <w:kern w:val="0"/>
                <w:sz w:val="24"/>
              </w:rPr>
            </w:pPr>
            <w:r>
              <w:rPr>
                <w:rFonts w:hint="eastAsia"/>
                <w:color w:val="auto"/>
                <w:kern w:val="0"/>
                <w:sz w:val="24"/>
                <w:lang w:val="en-US" w:eastAsia="zh-CN"/>
              </w:rPr>
              <w:t>①</w:t>
            </w:r>
            <w:r>
              <w:rPr>
                <w:color w:val="auto"/>
                <w:kern w:val="0"/>
                <w:sz w:val="24"/>
              </w:rPr>
              <w:t>危险物质泄漏影响分析</w:t>
            </w:r>
          </w:p>
          <w:p w14:paraId="49964786">
            <w:pPr>
              <w:widowControl/>
              <w:adjustRightInd w:val="0"/>
              <w:snapToGrid w:val="0"/>
              <w:spacing w:line="360" w:lineRule="auto"/>
              <w:ind w:firstLine="480" w:firstLineChars="200"/>
              <w:rPr>
                <w:snapToGrid w:val="0"/>
                <w:color w:val="auto"/>
                <w:kern w:val="0"/>
                <w:sz w:val="24"/>
              </w:rPr>
            </w:pPr>
            <w:r>
              <w:rPr>
                <w:snapToGrid w:val="0"/>
                <w:color w:val="auto"/>
                <w:kern w:val="0"/>
                <w:sz w:val="24"/>
              </w:rPr>
              <w:t>本项目</w:t>
            </w:r>
            <w:r>
              <w:rPr>
                <w:rFonts w:hint="eastAsia"/>
                <w:snapToGrid w:val="0"/>
                <w:color w:val="auto"/>
                <w:kern w:val="0"/>
                <w:sz w:val="24"/>
                <w:lang w:eastAsia="zh-CN"/>
              </w:rPr>
              <w:t>废机油</w:t>
            </w:r>
            <w:r>
              <w:rPr>
                <w:rFonts w:hint="eastAsia"/>
                <w:snapToGrid w:val="0"/>
                <w:color w:val="auto"/>
                <w:kern w:val="0"/>
                <w:sz w:val="24"/>
              </w:rPr>
              <w:t>若</w:t>
            </w:r>
            <w:r>
              <w:rPr>
                <w:snapToGrid w:val="0"/>
                <w:color w:val="auto"/>
                <w:kern w:val="0"/>
                <w:sz w:val="24"/>
              </w:rPr>
              <w:t>发生泄漏后</w:t>
            </w:r>
            <w:r>
              <w:rPr>
                <w:rFonts w:hint="eastAsia"/>
                <w:snapToGrid w:val="0"/>
                <w:color w:val="auto"/>
                <w:kern w:val="0"/>
                <w:sz w:val="24"/>
              </w:rPr>
              <w:t>，若危险废物贮存点防渗层同时破损，则泄漏的</w:t>
            </w:r>
            <w:r>
              <w:rPr>
                <w:rFonts w:hint="eastAsia"/>
                <w:snapToGrid w:val="0"/>
                <w:color w:val="auto"/>
                <w:kern w:val="0"/>
                <w:sz w:val="24"/>
                <w:lang w:eastAsia="zh-CN"/>
              </w:rPr>
              <w:t>废机油</w:t>
            </w:r>
            <w:r>
              <w:rPr>
                <w:snapToGrid w:val="0"/>
                <w:color w:val="auto"/>
                <w:kern w:val="0"/>
                <w:sz w:val="24"/>
              </w:rPr>
              <w:t>可</w:t>
            </w:r>
            <w:r>
              <w:rPr>
                <w:rFonts w:hint="eastAsia"/>
                <w:snapToGrid w:val="0"/>
                <w:color w:val="auto"/>
                <w:kern w:val="0"/>
                <w:sz w:val="24"/>
              </w:rPr>
              <w:t>能</w:t>
            </w:r>
            <w:r>
              <w:rPr>
                <w:snapToGrid w:val="0"/>
                <w:color w:val="auto"/>
                <w:kern w:val="0"/>
                <w:sz w:val="24"/>
              </w:rPr>
              <w:t>下渗进入土壤</w:t>
            </w:r>
            <w:r>
              <w:rPr>
                <w:rFonts w:hint="eastAsia"/>
                <w:snapToGrid w:val="0"/>
                <w:color w:val="auto"/>
                <w:kern w:val="0"/>
                <w:sz w:val="24"/>
              </w:rPr>
              <w:t>，</w:t>
            </w:r>
            <w:r>
              <w:rPr>
                <w:snapToGrid w:val="0"/>
                <w:color w:val="auto"/>
                <w:kern w:val="0"/>
                <w:sz w:val="24"/>
              </w:rPr>
              <w:t>污染</w:t>
            </w:r>
            <w:r>
              <w:rPr>
                <w:rFonts w:hint="eastAsia"/>
                <w:snapToGrid w:val="0"/>
                <w:color w:val="auto"/>
                <w:kern w:val="0"/>
                <w:sz w:val="24"/>
              </w:rPr>
              <w:t>区域土壤及地下水环境</w:t>
            </w:r>
            <w:r>
              <w:rPr>
                <w:snapToGrid w:val="0"/>
                <w:color w:val="auto"/>
                <w:kern w:val="0"/>
                <w:sz w:val="24"/>
              </w:rPr>
              <w:t>。</w:t>
            </w:r>
          </w:p>
          <w:p w14:paraId="460C4114">
            <w:pPr>
              <w:spacing w:line="360" w:lineRule="auto"/>
              <w:ind w:firstLine="480" w:firstLineChars="200"/>
              <w:rPr>
                <w:color w:val="auto"/>
                <w:kern w:val="0"/>
                <w:sz w:val="24"/>
              </w:rPr>
            </w:pPr>
            <w:r>
              <w:rPr>
                <w:rFonts w:hint="eastAsia"/>
                <w:color w:val="auto"/>
                <w:kern w:val="0"/>
                <w:sz w:val="24"/>
                <w:lang w:val="en-US" w:eastAsia="zh-CN"/>
              </w:rPr>
              <w:t>②</w:t>
            </w:r>
            <w:r>
              <w:rPr>
                <w:color w:val="auto"/>
                <w:kern w:val="0"/>
                <w:sz w:val="24"/>
              </w:rPr>
              <w:t xml:space="preserve">火灾影响分析 </w:t>
            </w:r>
          </w:p>
          <w:p w14:paraId="128FA775">
            <w:pPr>
              <w:spacing w:line="360" w:lineRule="auto"/>
              <w:ind w:firstLine="480" w:firstLineChars="200"/>
              <w:rPr>
                <w:color w:val="auto"/>
                <w:kern w:val="0"/>
                <w:sz w:val="24"/>
              </w:rPr>
            </w:pPr>
            <w:r>
              <w:rPr>
                <w:color w:val="auto"/>
                <w:kern w:val="0"/>
                <w:sz w:val="24"/>
              </w:rPr>
              <w:t>本项目</w:t>
            </w:r>
            <w:r>
              <w:rPr>
                <w:rFonts w:hint="eastAsia"/>
                <w:color w:val="auto"/>
                <w:kern w:val="0"/>
                <w:sz w:val="24"/>
              </w:rPr>
              <w:t>发生火灾事故</w:t>
            </w:r>
            <w:r>
              <w:rPr>
                <w:color w:val="auto"/>
                <w:kern w:val="0"/>
                <w:sz w:val="24"/>
              </w:rPr>
              <w:t>将会引发伴生/次生的污染物排放，污染物主要包括二氧化硫、一氧化碳等，伴生/次生的污染物扩散至环境空气中，将导致环境空气中二氧化硫、一氧化碳等污染物浓度增加，对环境空气质量产生不利影响。同时，火灾事故伴生的有毒有害气体CO，人体吸入后轻则中毒，重则死亡，危害员工及周边人群健康。</w:t>
            </w:r>
          </w:p>
          <w:p w14:paraId="3C62E69C">
            <w:pPr>
              <w:spacing w:line="360" w:lineRule="auto"/>
              <w:ind w:firstLine="480" w:firstLineChars="200"/>
              <w:rPr>
                <w:rFonts w:hint="eastAsia"/>
                <w:color w:val="auto"/>
                <w:sz w:val="24"/>
                <w:shd w:val="clear" w:color="auto" w:fill="FFFFFF"/>
              </w:rPr>
            </w:pPr>
            <w:r>
              <w:rPr>
                <w:rFonts w:hint="eastAsia"/>
                <w:color w:val="auto"/>
                <w:sz w:val="24"/>
                <w:shd w:val="clear" w:color="auto" w:fill="FFFFFF"/>
                <w:lang w:eastAsia="zh-CN"/>
              </w:rPr>
              <w:t>（</w:t>
            </w:r>
            <w:r>
              <w:rPr>
                <w:rFonts w:hint="eastAsia"/>
                <w:color w:val="auto"/>
                <w:sz w:val="24"/>
                <w:shd w:val="clear" w:color="auto" w:fill="FFFFFF"/>
                <w:lang w:val="en-US" w:eastAsia="zh-CN"/>
              </w:rPr>
              <w:t>5</w:t>
            </w:r>
            <w:r>
              <w:rPr>
                <w:rFonts w:hint="eastAsia"/>
                <w:color w:val="auto"/>
                <w:sz w:val="24"/>
                <w:shd w:val="clear" w:color="auto" w:fill="FFFFFF"/>
                <w:lang w:eastAsia="zh-CN"/>
              </w:rPr>
              <w:t>）</w:t>
            </w:r>
            <w:r>
              <w:rPr>
                <w:rFonts w:hint="eastAsia"/>
                <w:color w:val="auto"/>
                <w:sz w:val="24"/>
                <w:shd w:val="clear" w:color="auto" w:fill="FFFFFF"/>
              </w:rPr>
              <w:t>环境风险防范措施</w:t>
            </w:r>
          </w:p>
          <w:p w14:paraId="2C874191">
            <w:pPr>
              <w:spacing w:line="360" w:lineRule="auto"/>
              <w:ind w:firstLine="480" w:firstLineChars="200"/>
              <w:rPr>
                <w:color w:val="auto"/>
                <w:sz w:val="24"/>
                <w:szCs w:val="21"/>
              </w:rPr>
            </w:pPr>
            <w:bookmarkStart w:id="5" w:name="_Toc485640247"/>
            <w:r>
              <w:rPr>
                <w:rFonts w:hint="eastAsia"/>
                <w:color w:val="auto"/>
                <w:sz w:val="24"/>
                <w:szCs w:val="21"/>
                <w:lang w:val="en-US" w:eastAsia="zh-CN"/>
              </w:rPr>
              <w:t>①</w:t>
            </w:r>
            <w:r>
              <w:rPr>
                <w:rFonts w:hint="eastAsia"/>
                <w:color w:val="auto"/>
                <w:sz w:val="24"/>
                <w:szCs w:val="21"/>
              </w:rPr>
              <w:t>危险废物泄漏</w:t>
            </w:r>
            <w:r>
              <w:rPr>
                <w:color w:val="auto"/>
                <w:sz w:val="24"/>
                <w:szCs w:val="21"/>
              </w:rPr>
              <w:t>风险防范措施</w:t>
            </w:r>
            <w:bookmarkEnd w:id="5"/>
          </w:p>
          <w:p w14:paraId="4BB60E16">
            <w:pPr>
              <w:spacing w:line="360" w:lineRule="auto"/>
              <w:ind w:firstLine="480" w:firstLineChars="200"/>
              <w:rPr>
                <w:rFonts w:hint="eastAsia"/>
                <w:color w:val="auto"/>
                <w:sz w:val="24"/>
                <w:shd w:val="clear" w:color="auto" w:fill="FFFFFF"/>
              </w:rPr>
            </w:pPr>
            <w:r>
              <w:rPr>
                <w:rFonts w:hint="eastAsia"/>
                <w:color w:val="auto"/>
                <w:sz w:val="24"/>
                <w:shd w:val="clear" w:color="auto" w:fill="FFFFFF"/>
              </w:rPr>
              <w:t>根据《危险废物收集、贮存、运输技术规范》（HJ2025-2012）、《危险废物贮存污染控制标准》（GB18597-2023）相关规定，评价对项目产生</w:t>
            </w:r>
            <w:r>
              <w:rPr>
                <w:rFonts w:hint="eastAsia"/>
                <w:color w:val="auto"/>
                <w:sz w:val="24"/>
                <w:shd w:val="clear" w:color="auto" w:fill="FFFFFF"/>
                <w:lang w:eastAsia="zh-CN"/>
              </w:rPr>
              <w:t>废机油</w:t>
            </w:r>
            <w:r>
              <w:rPr>
                <w:rFonts w:hint="eastAsia"/>
                <w:color w:val="auto"/>
                <w:sz w:val="24"/>
                <w:shd w:val="clear" w:color="auto" w:fill="FFFFFF"/>
              </w:rPr>
              <w:t>的风险安全管理提出以下防范要求：</w:t>
            </w:r>
          </w:p>
          <w:p w14:paraId="3C8D752A">
            <w:pPr>
              <w:spacing w:line="360" w:lineRule="auto"/>
              <w:ind w:firstLine="480" w:firstLineChars="200"/>
              <w:rPr>
                <w:rFonts w:hint="eastAsia"/>
                <w:color w:val="auto"/>
                <w:sz w:val="24"/>
                <w:shd w:val="clear" w:color="auto" w:fill="FFFFFF"/>
              </w:rPr>
            </w:pPr>
            <w:r>
              <w:rPr>
                <w:rFonts w:hint="eastAsia"/>
                <w:color w:val="auto"/>
                <w:sz w:val="24"/>
                <w:shd w:val="clear" w:color="auto" w:fill="FFFFFF"/>
              </w:rPr>
              <w:t>运输过程中的风险防范措施</w:t>
            </w:r>
          </w:p>
          <w:p w14:paraId="685CC5B5">
            <w:pPr>
              <w:spacing w:line="360" w:lineRule="auto"/>
              <w:ind w:firstLine="480" w:firstLineChars="200"/>
              <w:rPr>
                <w:rFonts w:hint="eastAsia"/>
                <w:color w:val="auto"/>
                <w:sz w:val="24"/>
                <w:shd w:val="clear" w:color="auto" w:fill="FFFFFF"/>
              </w:rPr>
            </w:pPr>
            <w:r>
              <w:rPr>
                <w:rFonts w:hint="eastAsia"/>
                <w:color w:val="auto"/>
                <w:sz w:val="24"/>
                <w:shd w:val="clear" w:color="auto" w:fill="FFFFFF"/>
              </w:rPr>
              <w:t>a、根据《危险废物转移管理办法》的规定，本项目运输危险废物时必须及时填报危险废物转移电子联单手续。</w:t>
            </w:r>
          </w:p>
          <w:p w14:paraId="7F109BE5">
            <w:pPr>
              <w:spacing w:line="360" w:lineRule="auto"/>
              <w:ind w:firstLine="480" w:firstLineChars="200"/>
              <w:rPr>
                <w:rFonts w:hint="eastAsia"/>
                <w:color w:val="auto"/>
                <w:sz w:val="24"/>
                <w:shd w:val="clear" w:color="auto" w:fill="FFFFFF"/>
              </w:rPr>
            </w:pPr>
            <w:r>
              <w:rPr>
                <w:rFonts w:hint="eastAsia"/>
                <w:color w:val="auto"/>
                <w:sz w:val="24"/>
                <w:shd w:val="clear" w:color="auto" w:fill="FFFFFF"/>
              </w:rPr>
              <w:t>b、运输危险废物的车辆要按照《道路运输危险货物车辆标志》（GB13392-2005）的规定悬挂相应的标志。</w:t>
            </w:r>
          </w:p>
          <w:p w14:paraId="149B9333">
            <w:pPr>
              <w:spacing w:line="360" w:lineRule="auto"/>
              <w:ind w:firstLine="480" w:firstLineChars="200"/>
              <w:rPr>
                <w:rFonts w:hint="eastAsia"/>
                <w:color w:val="auto"/>
                <w:sz w:val="24"/>
                <w:shd w:val="clear" w:color="auto" w:fill="FFFFFF"/>
              </w:rPr>
            </w:pPr>
            <w:r>
              <w:rPr>
                <w:rFonts w:hint="eastAsia"/>
                <w:color w:val="auto"/>
                <w:sz w:val="24"/>
                <w:shd w:val="clear" w:color="auto" w:fill="FFFFFF"/>
              </w:rPr>
              <w:t>c、使用专用车辆进行运输，对危险废物的运输要求安全、可靠，严格执行危险运输管理规定，以减少运输过程中的二次污染和可能造成的环境风险。</w:t>
            </w:r>
          </w:p>
          <w:p w14:paraId="154CB5D9">
            <w:pPr>
              <w:spacing w:line="360" w:lineRule="auto"/>
              <w:ind w:firstLine="480" w:firstLineChars="200"/>
              <w:rPr>
                <w:rFonts w:hint="eastAsia"/>
                <w:color w:val="auto"/>
                <w:sz w:val="24"/>
                <w:shd w:val="clear" w:color="auto" w:fill="FFFFFF"/>
              </w:rPr>
            </w:pPr>
            <w:r>
              <w:rPr>
                <w:rFonts w:hint="eastAsia"/>
                <w:color w:val="auto"/>
                <w:sz w:val="24"/>
                <w:shd w:val="clear" w:color="auto" w:fill="FFFFFF"/>
              </w:rPr>
              <w:t>d、危险废物运输时应采取有效防漏、防腐的包装措施，不得随意破碎或损坏，以防止危险废物中有害成分的泄漏污染。另外，运输、装卸应符合相关规定。</w:t>
            </w:r>
          </w:p>
          <w:p w14:paraId="13CC7CED">
            <w:pPr>
              <w:spacing w:line="360" w:lineRule="auto"/>
              <w:ind w:firstLine="480" w:firstLineChars="200"/>
              <w:rPr>
                <w:rFonts w:hint="eastAsia"/>
                <w:color w:val="auto"/>
                <w:sz w:val="24"/>
                <w:shd w:val="clear" w:color="auto" w:fill="FFFFFF"/>
              </w:rPr>
            </w:pPr>
            <w:r>
              <w:rPr>
                <w:rFonts w:hint="eastAsia"/>
                <w:color w:val="auto"/>
                <w:sz w:val="24"/>
                <w:shd w:val="clear" w:color="auto" w:fill="FFFFFF"/>
              </w:rPr>
              <w:t>储存过程中的风险防范措施</w:t>
            </w:r>
          </w:p>
          <w:p w14:paraId="57A71BB7">
            <w:pPr>
              <w:spacing w:line="360" w:lineRule="auto"/>
              <w:ind w:firstLine="480" w:firstLineChars="200"/>
              <w:rPr>
                <w:rFonts w:hint="eastAsia"/>
                <w:color w:val="auto"/>
                <w:sz w:val="24"/>
                <w:shd w:val="clear" w:color="auto" w:fill="FFFFFF"/>
              </w:rPr>
            </w:pPr>
            <w:r>
              <w:rPr>
                <w:rFonts w:hint="eastAsia"/>
                <w:color w:val="auto"/>
                <w:sz w:val="24"/>
                <w:shd w:val="clear" w:color="auto" w:fill="FFFFFF"/>
              </w:rPr>
              <w:t>a、危险废物暂存间建设须严格按照《危险废物贮存污染控制标准》（GB18597-2023）中相关规定采取防风、防晒、防雨、防漏、防渗、防腐等措施，防止危险废物泄漏对周边环境造成不利影响。</w:t>
            </w:r>
          </w:p>
          <w:p w14:paraId="308827AC">
            <w:pPr>
              <w:spacing w:line="360" w:lineRule="auto"/>
              <w:ind w:firstLine="480" w:firstLineChars="200"/>
              <w:rPr>
                <w:rFonts w:hint="eastAsia"/>
                <w:color w:val="auto"/>
                <w:sz w:val="24"/>
                <w:shd w:val="clear" w:color="auto" w:fill="FFFFFF"/>
              </w:rPr>
            </w:pPr>
            <w:r>
              <w:rPr>
                <w:rFonts w:hint="eastAsia"/>
                <w:color w:val="auto"/>
                <w:sz w:val="24"/>
                <w:shd w:val="clear" w:color="auto" w:fill="FFFFFF"/>
              </w:rPr>
              <w:t>b、盛装危险废物的容器上必须粘贴相应的危险废物标志。危险废物贮存设施必须按《危险废物识别标志设置技术规范》（HJ 1276-2022）的规定设置警示标志。</w:t>
            </w:r>
          </w:p>
          <w:p w14:paraId="15F269E5">
            <w:pPr>
              <w:spacing w:line="360" w:lineRule="auto"/>
              <w:ind w:firstLine="480" w:firstLineChars="200"/>
              <w:rPr>
                <w:color w:val="auto"/>
                <w:sz w:val="24"/>
                <w:shd w:val="clear" w:color="auto" w:fill="FFFFFF"/>
              </w:rPr>
            </w:pPr>
            <w:r>
              <w:rPr>
                <w:rFonts w:hint="eastAsia"/>
                <w:color w:val="auto"/>
                <w:sz w:val="24"/>
                <w:shd w:val="clear" w:color="auto" w:fill="FFFFFF"/>
              </w:rPr>
              <w:t>c、项目仓库管理人员必须经过专业知识培训，熟悉贮存物品的特性、事故处理办法和防护知识，同时必须配备相关的个人防护用品。</w:t>
            </w:r>
          </w:p>
          <w:p w14:paraId="24ECBD43">
            <w:pPr>
              <w:spacing w:line="360" w:lineRule="auto"/>
              <w:ind w:firstLine="480" w:firstLineChars="200"/>
              <w:rPr>
                <w:color w:val="auto"/>
                <w:sz w:val="24"/>
              </w:rPr>
            </w:pPr>
            <w:r>
              <w:rPr>
                <w:rFonts w:hint="eastAsia"/>
                <w:color w:val="auto"/>
                <w:sz w:val="24"/>
                <w:lang w:val="en-US" w:eastAsia="zh-CN" w:bidi="ar"/>
              </w:rPr>
              <w:t>②</w:t>
            </w:r>
            <w:r>
              <w:rPr>
                <w:color w:val="auto"/>
                <w:sz w:val="24"/>
                <w:lang w:bidi="ar"/>
              </w:rPr>
              <w:t>火灾风险措施</w:t>
            </w:r>
          </w:p>
          <w:p w14:paraId="7FFDF05A">
            <w:pPr>
              <w:spacing w:line="360" w:lineRule="auto"/>
              <w:ind w:firstLine="480" w:firstLineChars="200"/>
              <w:rPr>
                <w:color w:val="auto"/>
                <w:sz w:val="24"/>
              </w:rPr>
            </w:pPr>
            <w:r>
              <w:rPr>
                <w:rFonts w:hint="eastAsia"/>
                <w:color w:val="auto"/>
                <w:sz w:val="24"/>
                <w:lang w:val="en-US" w:eastAsia="zh-CN" w:bidi="ar"/>
              </w:rPr>
              <w:t>a</w:t>
            </w:r>
            <w:r>
              <w:rPr>
                <w:rFonts w:hint="eastAsia"/>
                <w:color w:val="auto"/>
                <w:sz w:val="24"/>
                <w:lang w:bidi="ar"/>
              </w:rPr>
              <w:t xml:space="preserve"> </w:t>
            </w:r>
            <w:r>
              <w:rPr>
                <w:rFonts w:hint="eastAsia" w:ascii="宋体" w:hAnsi="宋体" w:cs="宋体"/>
                <w:color w:val="auto"/>
                <w:sz w:val="24"/>
                <w:lang w:bidi="ar"/>
              </w:rPr>
              <w:t>生产区应有明显标志，严禁吸烟和携带火种。</w:t>
            </w:r>
          </w:p>
          <w:p w14:paraId="36F87B0D">
            <w:pPr>
              <w:spacing w:line="360" w:lineRule="auto"/>
              <w:ind w:firstLine="480" w:firstLineChars="200"/>
              <w:rPr>
                <w:color w:val="auto"/>
                <w:sz w:val="24"/>
              </w:rPr>
            </w:pPr>
            <w:r>
              <w:rPr>
                <w:rFonts w:hint="eastAsia" w:ascii="宋体" w:hAnsi="宋体" w:cs="宋体"/>
                <w:color w:val="auto"/>
                <w:sz w:val="24"/>
                <w:lang w:val="en-US" w:eastAsia="zh-CN" w:bidi="ar"/>
              </w:rPr>
              <w:t>b</w:t>
            </w:r>
            <w:r>
              <w:rPr>
                <w:rFonts w:hint="eastAsia" w:ascii="宋体" w:hAnsi="宋体" w:cs="宋体"/>
                <w:color w:val="auto"/>
                <w:sz w:val="24"/>
                <w:lang w:bidi="ar"/>
              </w:rPr>
              <w:t xml:space="preserve"> 凡电加热设备必须有专人负责使用和看管，离开时必须切断电源。</w:t>
            </w:r>
          </w:p>
          <w:p w14:paraId="06DCEEA7">
            <w:pPr>
              <w:spacing w:line="360" w:lineRule="auto"/>
              <w:ind w:firstLine="480" w:firstLineChars="200"/>
              <w:rPr>
                <w:color w:val="auto"/>
                <w:sz w:val="24"/>
              </w:rPr>
            </w:pPr>
            <w:r>
              <w:rPr>
                <w:rFonts w:hint="eastAsia"/>
                <w:color w:val="auto"/>
                <w:sz w:val="24"/>
                <w:lang w:val="en-US" w:eastAsia="zh-CN" w:bidi="ar"/>
              </w:rPr>
              <w:t>c</w:t>
            </w:r>
            <w:r>
              <w:rPr>
                <w:rFonts w:hint="eastAsia"/>
                <w:color w:val="auto"/>
                <w:sz w:val="24"/>
                <w:lang w:bidi="ar"/>
              </w:rPr>
              <w:t xml:space="preserve"> </w:t>
            </w:r>
            <w:r>
              <w:rPr>
                <w:rFonts w:hint="eastAsia" w:ascii="宋体" w:hAnsi="宋体" w:cs="宋体"/>
                <w:color w:val="auto"/>
                <w:sz w:val="24"/>
                <w:lang w:bidi="ar"/>
              </w:rPr>
              <w:t>企业必须建立和健全逐级消防安全检查制度，及时发现和消除隐患。</w:t>
            </w:r>
          </w:p>
          <w:p w14:paraId="5B8BDDCC">
            <w:pPr>
              <w:spacing w:line="360" w:lineRule="auto"/>
              <w:ind w:firstLine="480" w:firstLineChars="200"/>
              <w:rPr>
                <w:color w:val="auto"/>
                <w:sz w:val="24"/>
                <w:shd w:val="clear" w:color="auto" w:fill="FFFFFF"/>
              </w:rPr>
            </w:pPr>
            <w:r>
              <w:rPr>
                <w:rFonts w:hint="eastAsia"/>
                <w:color w:val="auto"/>
                <w:sz w:val="24"/>
                <w:shd w:val="clear" w:color="auto" w:fill="FFFFFF"/>
                <w:lang w:val="en-US" w:eastAsia="zh-CN"/>
              </w:rPr>
              <w:t>③</w:t>
            </w:r>
            <w:r>
              <w:rPr>
                <w:rFonts w:hint="eastAsia"/>
                <w:color w:val="auto"/>
                <w:sz w:val="24"/>
                <w:shd w:val="clear" w:color="auto" w:fill="FFFFFF"/>
              </w:rPr>
              <w:t>环保设备失效防范措施</w:t>
            </w:r>
          </w:p>
          <w:p w14:paraId="2B2435A7">
            <w:pPr>
              <w:spacing w:line="360" w:lineRule="auto"/>
              <w:ind w:firstLine="480" w:firstLineChars="200"/>
              <w:rPr>
                <w:color w:val="auto"/>
                <w:sz w:val="24"/>
                <w:shd w:val="clear" w:color="auto" w:fill="FFFFFF"/>
              </w:rPr>
            </w:pPr>
            <w:r>
              <w:rPr>
                <w:rFonts w:hint="eastAsia"/>
                <w:color w:val="auto"/>
                <w:sz w:val="24"/>
                <w:shd w:val="clear" w:color="auto" w:fill="FFFFFF"/>
              </w:rPr>
              <w:t>加强日常管理，定期对环保设备进行检修，保证环保设施的正常运行。</w:t>
            </w:r>
          </w:p>
          <w:p w14:paraId="2B9E74F0">
            <w:pPr>
              <w:spacing w:line="360" w:lineRule="auto"/>
              <w:ind w:firstLine="480" w:firstLineChars="200"/>
              <w:rPr>
                <w:color w:val="auto"/>
                <w:sz w:val="24"/>
              </w:rPr>
            </w:pPr>
            <w:r>
              <w:rPr>
                <w:rFonts w:hint="eastAsia"/>
                <w:color w:val="auto"/>
                <w:sz w:val="24"/>
                <w:shd w:val="clear" w:color="auto" w:fill="FFFFFF"/>
              </w:rPr>
              <w:t>本项目环境风险简单分析见表4-1</w:t>
            </w:r>
            <w:r>
              <w:rPr>
                <w:rFonts w:hint="eastAsia"/>
                <w:color w:val="auto"/>
                <w:sz w:val="24"/>
                <w:shd w:val="clear" w:color="auto" w:fill="FFFFFF"/>
                <w:lang w:val="en-US" w:eastAsia="zh-CN"/>
              </w:rPr>
              <w:t>2</w:t>
            </w:r>
            <w:r>
              <w:rPr>
                <w:rFonts w:hint="eastAsia"/>
                <w:color w:val="auto"/>
                <w:sz w:val="24"/>
                <w:shd w:val="clear" w:color="auto" w:fill="FFFFFF"/>
              </w:rPr>
              <w:t>。</w:t>
            </w:r>
          </w:p>
          <w:p w14:paraId="5997ADAC">
            <w:pPr>
              <w:pStyle w:val="33"/>
              <w:adjustRightInd/>
              <w:snapToGrid/>
              <w:spacing w:before="60" w:beforeLines="25" w:after="60" w:afterLines="25" w:line="240" w:lineRule="auto"/>
              <w:ind w:firstLine="422"/>
              <w:rPr>
                <w:rFonts w:ascii="Times New Roman"/>
                <w:color w:val="auto"/>
              </w:rPr>
            </w:pPr>
          </w:p>
          <w:p w14:paraId="2FF1E0CB">
            <w:pPr>
              <w:pStyle w:val="33"/>
              <w:adjustRightInd/>
              <w:snapToGrid/>
              <w:spacing w:before="60" w:beforeLines="25" w:after="60" w:afterLines="25" w:line="240" w:lineRule="auto"/>
              <w:ind w:firstLine="422"/>
              <w:rPr>
                <w:rFonts w:ascii="Times New Roman"/>
                <w:color w:val="auto"/>
              </w:rPr>
            </w:pPr>
          </w:p>
          <w:p w14:paraId="16051A2D">
            <w:pPr>
              <w:pStyle w:val="33"/>
              <w:adjustRightInd/>
              <w:snapToGrid/>
              <w:spacing w:before="60" w:beforeLines="25" w:after="60" w:afterLines="25" w:line="240" w:lineRule="auto"/>
              <w:ind w:firstLine="422"/>
              <w:rPr>
                <w:rFonts w:ascii="Times New Roman"/>
                <w:color w:val="auto"/>
              </w:rPr>
            </w:pPr>
            <w:r>
              <w:rPr>
                <w:rFonts w:ascii="Times New Roman"/>
                <w:color w:val="auto"/>
              </w:rPr>
              <w:t>表</w:t>
            </w:r>
            <w:r>
              <w:rPr>
                <w:rFonts w:hint="eastAsia" w:ascii="Times New Roman"/>
                <w:color w:val="auto"/>
              </w:rPr>
              <w:t xml:space="preserve"> 4-1</w:t>
            </w:r>
            <w:r>
              <w:rPr>
                <w:rFonts w:hint="eastAsia" w:ascii="Times New Roman"/>
                <w:color w:val="auto"/>
                <w:lang w:val="en-US" w:eastAsia="zh-CN"/>
              </w:rPr>
              <w:t>2</w:t>
            </w:r>
            <w:r>
              <w:rPr>
                <w:rFonts w:hint="eastAsia" w:ascii="Times New Roman"/>
                <w:color w:val="auto"/>
              </w:rPr>
              <w:t xml:space="preserve">   </w:t>
            </w:r>
            <w:r>
              <w:rPr>
                <w:rFonts w:ascii="Times New Roman"/>
                <w:color w:val="auto"/>
              </w:rPr>
              <w:t>环境风险简单分析内容</w:t>
            </w:r>
            <w:r>
              <w:rPr>
                <w:rFonts w:hint="eastAsia" w:ascii="Times New Roman"/>
                <w:color w:val="auto"/>
              </w:rPr>
              <w:t>表</w:t>
            </w:r>
          </w:p>
          <w:tbl>
            <w:tblPr>
              <w:tblStyle w:val="27"/>
              <w:tblW w:w="494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72"/>
              <w:gridCol w:w="749"/>
              <w:gridCol w:w="2411"/>
              <w:gridCol w:w="709"/>
              <w:gridCol w:w="2624"/>
            </w:tblGrid>
            <w:tr w14:paraId="516569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2" w:hRule="exact"/>
                <w:jc w:val="center"/>
              </w:trPr>
              <w:tc>
                <w:tcPr>
                  <w:tcW w:w="872" w:type="pct"/>
                  <w:tcBorders>
                    <w:bottom w:val="single" w:color="auto" w:sz="4" w:space="0"/>
                    <w:right w:val="single" w:color="auto" w:sz="4" w:space="0"/>
                  </w:tcBorders>
                  <w:noWrap w:val="0"/>
                  <w:vAlign w:val="center"/>
                </w:tcPr>
                <w:p w14:paraId="747EF67A">
                  <w:pPr>
                    <w:pStyle w:val="71"/>
                    <w:ind w:left="-63" w:leftChars="-30" w:right="-63" w:rightChars="-30"/>
                    <w:rPr>
                      <w:b/>
                      <w:bCs/>
                      <w:color w:val="auto"/>
                      <w:szCs w:val="21"/>
                    </w:rPr>
                  </w:pPr>
                  <w:r>
                    <w:rPr>
                      <w:b/>
                      <w:bCs/>
                      <w:color w:val="auto"/>
                      <w:szCs w:val="21"/>
                    </w:rPr>
                    <w:t>项目名称</w:t>
                  </w:r>
                </w:p>
              </w:tc>
              <w:tc>
                <w:tcPr>
                  <w:tcW w:w="4127" w:type="pct"/>
                  <w:gridSpan w:val="4"/>
                  <w:tcBorders>
                    <w:left w:val="nil"/>
                    <w:bottom w:val="single" w:color="auto" w:sz="4" w:space="0"/>
                  </w:tcBorders>
                  <w:noWrap w:val="0"/>
                  <w:vAlign w:val="center"/>
                </w:tcPr>
                <w:p w14:paraId="7A5891FF">
                  <w:pPr>
                    <w:pStyle w:val="71"/>
                    <w:ind w:left="-63" w:leftChars="-30" w:right="-63" w:rightChars="-30"/>
                    <w:rPr>
                      <w:rFonts w:hint="eastAsia"/>
                      <w:b/>
                      <w:bCs/>
                      <w:color w:val="auto"/>
                      <w:szCs w:val="21"/>
                    </w:rPr>
                  </w:pPr>
                  <w:r>
                    <w:rPr>
                      <w:rFonts w:hint="eastAsia" w:ascii="Times New Roman" w:hAnsi="Times New Roman" w:eastAsia="宋体" w:cs="Times New Roman"/>
                      <w:color w:val="auto"/>
                      <w:szCs w:val="21"/>
                      <w:lang w:val="en-US" w:eastAsia="zh-CN"/>
                    </w:rPr>
                    <w:t>大西渠闽昌产业园基础设施改造项目</w:t>
                  </w:r>
                </w:p>
              </w:tc>
            </w:tr>
            <w:tr w14:paraId="2D5D03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72" w:type="pct"/>
                  <w:tcBorders>
                    <w:top w:val="single" w:color="auto" w:sz="4" w:space="0"/>
                    <w:bottom w:val="single" w:color="auto" w:sz="4" w:space="0"/>
                    <w:right w:val="single" w:color="auto" w:sz="4" w:space="0"/>
                  </w:tcBorders>
                  <w:noWrap w:val="0"/>
                  <w:vAlign w:val="center"/>
                </w:tcPr>
                <w:p w14:paraId="459B891D">
                  <w:pPr>
                    <w:pStyle w:val="71"/>
                    <w:ind w:left="-63" w:leftChars="-30" w:right="-63" w:rightChars="-30"/>
                    <w:rPr>
                      <w:b/>
                      <w:bCs/>
                      <w:color w:val="auto"/>
                      <w:szCs w:val="21"/>
                    </w:rPr>
                  </w:pPr>
                  <w:r>
                    <w:rPr>
                      <w:b/>
                      <w:bCs/>
                      <w:color w:val="auto"/>
                      <w:szCs w:val="21"/>
                    </w:rPr>
                    <w:t>建设地点</w:t>
                  </w:r>
                </w:p>
              </w:tc>
              <w:tc>
                <w:tcPr>
                  <w:tcW w:w="4127" w:type="pct"/>
                  <w:gridSpan w:val="4"/>
                  <w:tcBorders>
                    <w:top w:val="single" w:color="auto" w:sz="4" w:space="0"/>
                    <w:left w:val="nil"/>
                    <w:bottom w:val="single" w:color="auto" w:sz="4" w:space="0"/>
                    <w:right w:val="nil"/>
                  </w:tcBorders>
                  <w:noWrap w:val="0"/>
                  <w:vAlign w:val="center"/>
                </w:tcPr>
                <w:p w14:paraId="6E762946">
                  <w:pPr>
                    <w:pStyle w:val="71"/>
                    <w:ind w:left="-63" w:leftChars="-30" w:right="-63" w:rightChars="-30"/>
                    <w:rPr>
                      <w:rFonts w:hint="eastAsia"/>
                      <w:color w:val="auto"/>
                      <w:szCs w:val="21"/>
                    </w:rPr>
                  </w:pPr>
                  <w:r>
                    <w:rPr>
                      <w:rFonts w:hint="eastAsia"/>
                      <w:color w:val="auto"/>
                      <w:szCs w:val="21"/>
                      <w:lang w:val="en-US" w:eastAsia="zh-CN"/>
                    </w:rPr>
                    <w:t>新疆维吾尔自治区昌吉回族自治州昌吉市大西渠镇新戽村昌吉市再生资源回收利用产业园内</w:t>
                  </w:r>
                </w:p>
              </w:tc>
            </w:tr>
            <w:tr w14:paraId="54696B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15" w:hRule="exact"/>
                <w:jc w:val="center"/>
              </w:trPr>
              <w:tc>
                <w:tcPr>
                  <w:tcW w:w="872" w:type="pct"/>
                  <w:tcBorders>
                    <w:top w:val="single" w:color="auto" w:sz="4" w:space="0"/>
                    <w:bottom w:val="single" w:color="auto" w:sz="4" w:space="0"/>
                    <w:right w:val="single" w:color="auto" w:sz="4" w:space="0"/>
                  </w:tcBorders>
                  <w:noWrap w:val="0"/>
                  <w:vAlign w:val="center"/>
                </w:tcPr>
                <w:p w14:paraId="3033BDD3">
                  <w:pPr>
                    <w:pStyle w:val="71"/>
                    <w:ind w:left="-63" w:leftChars="-30" w:right="-63" w:rightChars="-30"/>
                    <w:rPr>
                      <w:b/>
                      <w:bCs/>
                      <w:color w:val="auto"/>
                      <w:szCs w:val="21"/>
                    </w:rPr>
                  </w:pPr>
                  <w:r>
                    <w:rPr>
                      <w:b/>
                      <w:bCs/>
                      <w:color w:val="auto"/>
                      <w:szCs w:val="21"/>
                    </w:rPr>
                    <w:t>地理坐标</w:t>
                  </w:r>
                </w:p>
              </w:tc>
              <w:tc>
                <w:tcPr>
                  <w:tcW w:w="476" w:type="pct"/>
                  <w:tcBorders>
                    <w:top w:val="single" w:color="auto" w:sz="4" w:space="0"/>
                    <w:left w:val="nil"/>
                    <w:bottom w:val="single" w:color="auto" w:sz="4" w:space="0"/>
                    <w:right w:val="single" w:color="auto" w:sz="4" w:space="0"/>
                  </w:tcBorders>
                  <w:noWrap w:val="0"/>
                  <w:vAlign w:val="center"/>
                </w:tcPr>
                <w:p w14:paraId="7BBE69E9">
                  <w:pPr>
                    <w:pStyle w:val="71"/>
                    <w:ind w:left="-63" w:leftChars="-30" w:right="-63" w:rightChars="-30"/>
                    <w:rPr>
                      <w:color w:val="auto"/>
                      <w:szCs w:val="21"/>
                    </w:rPr>
                  </w:pPr>
                  <w:r>
                    <w:rPr>
                      <w:color w:val="auto"/>
                      <w:szCs w:val="21"/>
                    </w:rPr>
                    <w:t>经度</w:t>
                  </w:r>
                </w:p>
              </w:tc>
              <w:tc>
                <w:tcPr>
                  <w:tcW w:w="1533" w:type="pct"/>
                  <w:tcBorders>
                    <w:top w:val="single" w:color="auto" w:sz="4" w:space="0"/>
                    <w:left w:val="nil"/>
                    <w:bottom w:val="single" w:color="auto" w:sz="4" w:space="0"/>
                    <w:right w:val="single" w:color="auto" w:sz="4" w:space="0"/>
                  </w:tcBorders>
                  <w:noWrap w:val="0"/>
                  <w:vAlign w:val="center"/>
                </w:tcPr>
                <w:p w14:paraId="6336C408">
                  <w:pPr>
                    <w:pStyle w:val="71"/>
                    <w:ind w:left="-63" w:leftChars="-30" w:right="-63" w:rightChars="-30"/>
                    <w:rPr>
                      <w:color w:val="auto"/>
                      <w:szCs w:val="21"/>
                    </w:rPr>
                  </w:pPr>
                  <w:r>
                    <w:rPr>
                      <w:rFonts w:hint="eastAsia"/>
                      <w:color w:val="auto"/>
                      <w:szCs w:val="21"/>
                    </w:rPr>
                    <w:t>东经8</w:t>
                  </w:r>
                  <w:r>
                    <w:rPr>
                      <w:rFonts w:hint="eastAsia"/>
                      <w:color w:val="auto"/>
                      <w:szCs w:val="21"/>
                      <w:lang w:val="en-US" w:eastAsia="zh-CN"/>
                    </w:rPr>
                    <w:t>7</w:t>
                  </w:r>
                  <w:r>
                    <w:rPr>
                      <w:rFonts w:hint="eastAsia"/>
                      <w:color w:val="auto"/>
                      <w:szCs w:val="21"/>
                    </w:rPr>
                    <w:t>度</w:t>
                  </w:r>
                  <w:r>
                    <w:rPr>
                      <w:rFonts w:hint="eastAsia"/>
                      <w:color w:val="auto"/>
                      <w:szCs w:val="21"/>
                      <w:lang w:val="en-US" w:eastAsia="zh-CN"/>
                    </w:rPr>
                    <w:t>14</w:t>
                  </w:r>
                  <w:r>
                    <w:rPr>
                      <w:rFonts w:hint="eastAsia"/>
                      <w:color w:val="auto"/>
                      <w:szCs w:val="21"/>
                    </w:rPr>
                    <w:t>分</w:t>
                  </w:r>
                  <w:r>
                    <w:rPr>
                      <w:rFonts w:hint="eastAsia"/>
                      <w:color w:val="auto"/>
                      <w:szCs w:val="21"/>
                      <w:lang w:val="en-US" w:eastAsia="zh-CN"/>
                    </w:rPr>
                    <w:t>31.973</w:t>
                  </w:r>
                  <w:r>
                    <w:rPr>
                      <w:rFonts w:hint="eastAsia"/>
                      <w:color w:val="auto"/>
                      <w:szCs w:val="21"/>
                    </w:rPr>
                    <w:t>秒</w:t>
                  </w:r>
                </w:p>
              </w:tc>
              <w:tc>
                <w:tcPr>
                  <w:tcW w:w="451" w:type="pct"/>
                  <w:tcBorders>
                    <w:top w:val="single" w:color="auto" w:sz="4" w:space="0"/>
                    <w:left w:val="nil"/>
                    <w:bottom w:val="single" w:color="auto" w:sz="4" w:space="0"/>
                    <w:right w:val="single" w:color="auto" w:sz="4" w:space="0"/>
                  </w:tcBorders>
                  <w:noWrap w:val="0"/>
                  <w:vAlign w:val="center"/>
                </w:tcPr>
                <w:p w14:paraId="3F2CD75D">
                  <w:pPr>
                    <w:pStyle w:val="71"/>
                    <w:ind w:left="-63" w:leftChars="-30" w:right="-63" w:rightChars="-30"/>
                    <w:rPr>
                      <w:color w:val="auto"/>
                      <w:szCs w:val="21"/>
                    </w:rPr>
                  </w:pPr>
                  <w:r>
                    <w:rPr>
                      <w:color w:val="auto"/>
                      <w:szCs w:val="21"/>
                    </w:rPr>
                    <w:t>纬度</w:t>
                  </w:r>
                </w:p>
              </w:tc>
              <w:tc>
                <w:tcPr>
                  <w:tcW w:w="1666" w:type="pct"/>
                  <w:tcBorders>
                    <w:top w:val="single" w:color="auto" w:sz="4" w:space="0"/>
                    <w:left w:val="nil"/>
                    <w:bottom w:val="single" w:color="auto" w:sz="4" w:space="0"/>
                  </w:tcBorders>
                  <w:noWrap w:val="0"/>
                  <w:vAlign w:val="center"/>
                </w:tcPr>
                <w:p w14:paraId="24DD2728">
                  <w:pPr>
                    <w:pStyle w:val="71"/>
                    <w:ind w:left="-63" w:leftChars="-30" w:right="-63" w:rightChars="-30"/>
                    <w:rPr>
                      <w:color w:val="auto"/>
                      <w:szCs w:val="21"/>
                    </w:rPr>
                  </w:pPr>
                  <w:r>
                    <w:rPr>
                      <w:rFonts w:hint="eastAsia"/>
                      <w:color w:val="auto"/>
                      <w:szCs w:val="21"/>
                    </w:rPr>
                    <w:t>北纬4</w:t>
                  </w:r>
                  <w:r>
                    <w:rPr>
                      <w:rFonts w:hint="eastAsia"/>
                      <w:color w:val="auto"/>
                      <w:szCs w:val="21"/>
                      <w:lang w:val="en-US" w:eastAsia="zh-CN"/>
                    </w:rPr>
                    <w:t>4</w:t>
                  </w:r>
                  <w:r>
                    <w:rPr>
                      <w:rFonts w:hint="eastAsia"/>
                      <w:color w:val="auto"/>
                      <w:szCs w:val="21"/>
                    </w:rPr>
                    <w:t>度</w:t>
                  </w:r>
                  <w:r>
                    <w:rPr>
                      <w:rFonts w:hint="eastAsia"/>
                      <w:color w:val="auto"/>
                      <w:szCs w:val="21"/>
                      <w:lang w:val="en-US" w:eastAsia="zh-CN"/>
                    </w:rPr>
                    <w:t>06</w:t>
                  </w:r>
                  <w:r>
                    <w:rPr>
                      <w:rFonts w:hint="eastAsia"/>
                      <w:color w:val="auto"/>
                      <w:szCs w:val="21"/>
                    </w:rPr>
                    <w:t>分</w:t>
                  </w:r>
                  <w:r>
                    <w:rPr>
                      <w:rFonts w:hint="eastAsia"/>
                      <w:color w:val="auto"/>
                      <w:szCs w:val="21"/>
                      <w:lang w:val="en-US" w:eastAsia="zh-CN"/>
                    </w:rPr>
                    <w:t>49.476</w:t>
                  </w:r>
                  <w:r>
                    <w:rPr>
                      <w:rFonts w:hint="eastAsia"/>
                      <w:color w:val="auto"/>
                      <w:szCs w:val="21"/>
                    </w:rPr>
                    <w:t>秒</w:t>
                  </w:r>
                </w:p>
              </w:tc>
            </w:tr>
            <w:tr w14:paraId="536E47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pct"/>
                  <w:tcBorders>
                    <w:top w:val="single" w:color="auto" w:sz="4" w:space="0"/>
                    <w:bottom w:val="single" w:color="auto" w:sz="4" w:space="0"/>
                    <w:right w:val="single" w:color="auto" w:sz="4" w:space="0"/>
                  </w:tcBorders>
                  <w:noWrap w:val="0"/>
                  <w:vAlign w:val="center"/>
                </w:tcPr>
                <w:p w14:paraId="135FF948">
                  <w:pPr>
                    <w:pStyle w:val="71"/>
                    <w:ind w:left="-63" w:leftChars="-30" w:right="-63" w:rightChars="-30"/>
                    <w:rPr>
                      <w:b/>
                      <w:bCs/>
                      <w:color w:val="auto"/>
                      <w:szCs w:val="21"/>
                    </w:rPr>
                  </w:pPr>
                  <w:r>
                    <w:rPr>
                      <w:b/>
                      <w:bCs/>
                      <w:color w:val="auto"/>
                      <w:szCs w:val="21"/>
                    </w:rPr>
                    <w:t>主要风险物质及分布</w:t>
                  </w:r>
                </w:p>
              </w:tc>
              <w:tc>
                <w:tcPr>
                  <w:tcW w:w="4127" w:type="pct"/>
                  <w:gridSpan w:val="4"/>
                  <w:tcBorders>
                    <w:top w:val="single" w:color="auto" w:sz="4" w:space="0"/>
                    <w:left w:val="nil"/>
                    <w:bottom w:val="single" w:color="auto" w:sz="4" w:space="0"/>
                  </w:tcBorders>
                  <w:noWrap w:val="0"/>
                  <w:vAlign w:val="center"/>
                </w:tcPr>
                <w:p w14:paraId="4C253B0C">
                  <w:pPr>
                    <w:pStyle w:val="71"/>
                    <w:ind w:left="-63" w:leftChars="-30" w:right="-63" w:rightChars="-30"/>
                    <w:rPr>
                      <w:color w:val="auto"/>
                      <w:szCs w:val="21"/>
                    </w:rPr>
                  </w:pPr>
                  <w:r>
                    <w:rPr>
                      <w:rFonts w:hint="eastAsia"/>
                      <w:color w:val="auto"/>
                      <w:szCs w:val="21"/>
                      <w:lang w:eastAsia="zh-CN"/>
                    </w:rPr>
                    <w:t>废机油</w:t>
                  </w:r>
                  <w:r>
                    <w:rPr>
                      <w:rFonts w:hint="eastAsia"/>
                      <w:color w:val="auto"/>
                      <w:szCs w:val="21"/>
                    </w:rPr>
                    <w:t>、危险废物贮存点</w:t>
                  </w:r>
                </w:p>
              </w:tc>
            </w:tr>
            <w:tr w14:paraId="39A742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12" w:hRule="atLeast"/>
                <w:jc w:val="center"/>
              </w:trPr>
              <w:tc>
                <w:tcPr>
                  <w:tcW w:w="872" w:type="pct"/>
                  <w:tcBorders>
                    <w:top w:val="single" w:color="auto" w:sz="4" w:space="0"/>
                    <w:bottom w:val="single" w:color="auto" w:sz="4" w:space="0"/>
                    <w:right w:val="single" w:color="auto" w:sz="4" w:space="0"/>
                  </w:tcBorders>
                  <w:noWrap w:val="0"/>
                  <w:vAlign w:val="center"/>
                </w:tcPr>
                <w:p w14:paraId="47EC951E">
                  <w:pPr>
                    <w:pStyle w:val="71"/>
                    <w:ind w:left="-63" w:leftChars="-30" w:right="-63" w:rightChars="-30"/>
                    <w:rPr>
                      <w:b/>
                      <w:bCs/>
                      <w:color w:val="auto"/>
                      <w:szCs w:val="21"/>
                    </w:rPr>
                  </w:pPr>
                  <w:r>
                    <w:rPr>
                      <w:b/>
                      <w:bCs/>
                      <w:color w:val="auto"/>
                      <w:szCs w:val="21"/>
                    </w:rPr>
                    <w:t>环境影响途径及危害后果（大气、地表水、地下水等）</w:t>
                  </w:r>
                </w:p>
              </w:tc>
              <w:tc>
                <w:tcPr>
                  <w:tcW w:w="4127" w:type="pct"/>
                  <w:gridSpan w:val="4"/>
                  <w:tcBorders>
                    <w:top w:val="single" w:color="auto" w:sz="4" w:space="0"/>
                    <w:left w:val="nil"/>
                    <w:bottom w:val="single" w:color="auto" w:sz="4" w:space="0"/>
                  </w:tcBorders>
                  <w:noWrap w:val="0"/>
                  <w:vAlign w:val="center"/>
                </w:tcPr>
                <w:p w14:paraId="53C8EBF0">
                  <w:pPr>
                    <w:pStyle w:val="71"/>
                    <w:ind w:left="-63" w:leftChars="-30" w:right="-63" w:rightChars="-30"/>
                    <w:jc w:val="both"/>
                    <w:rPr>
                      <w:color w:val="auto"/>
                      <w:szCs w:val="21"/>
                    </w:rPr>
                  </w:pPr>
                  <w:r>
                    <w:rPr>
                      <w:rFonts w:hint="eastAsia"/>
                      <w:color w:val="auto"/>
                      <w:szCs w:val="21"/>
                      <w:lang w:eastAsia="zh-CN"/>
                    </w:rPr>
                    <w:t>废机油</w:t>
                  </w:r>
                  <w:r>
                    <w:rPr>
                      <w:rFonts w:hint="eastAsia"/>
                      <w:color w:val="auto"/>
                      <w:szCs w:val="21"/>
                    </w:rPr>
                    <w:t>泄漏会渗入土壤，影响区域土壤及地下水环境；除尘器故障时，粉尘未经处理直接排入大气，影响环境空气质量。</w:t>
                  </w:r>
                </w:p>
              </w:tc>
            </w:tr>
            <w:tr w14:paraId="052543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pct"/>
                  <w:tcBorders>
                    <w:top w:val="single" w:color="auto" w:sz="4" w:space="0"/>
                    <w:bottom w:val="single" w:color="auto" w:sz="4" w:space="0"/>
                    <w:right w:val="single" w:color="auto" w:sz="4" w:space="0"/>
                  </w:tcBorders>
                  <w:noWrap w:val="0"/>
                  <w:vAlign w:val="center"/>
                </w:tcPr>
                <w:p w14:paraId="2A5EB21A">
                  <w:pPr>
                    <w:pStyle w:val="71"/>
                    <w:ind w:left="-63" w:leftChars="-30" w:right="-63" w:rightChars="-30"/>
                    <w:rPr>
                      <w:b/>
                      <w:bCs/>
                      <w:color w:val="auto"/>
                      <w:szCs w:val="21"/>
                    </w:rPr>
                  </w:pPr>
                  <w:r>
                    <w:rPr>
                      <w:b/>
                      <w:bCs/>
                      <w:color w:val="auto"/>
                      <w:szCs w:val="21"/>
                    </w:rPr>
                    <w:t>风险防范措施要求</w:t>
                  </w:r>
                </w:p>
              </w:tc>
              <w:tc>
                <w:tcPr>
                  <w:tcW w:w="4127" w:type="pct"/>
                  <w:gridSpan w:val="4"/>
                  <w:tcBorders>
                    <w:top w:val="single" w:color="auto" w:sz="4" w:space="0"/>
                    <w:left w:val="nil"/>
                    <w:bottom w:val="single" w:color="auto" w:sz="4" w:space="0"/>
                  </w:tcBorders>
                  <w:noWrap w:val="0"/>
                  <w:vAlign w:val="top"/>
                </w:tcPr>
                <w:p w14:paraId="1E496E1E">
                  <w:pPr>
                    <w:pStyle w:val="71"/>
                    <w:ind w:left="-63" w:leftChars="-30" w:right="-63" w:rightChars="-30"/>
                    <w:jc w:val="both"/>
                    <w:rPr>
                      <w:color w:val="auto"/>
                      <w:szCs w:val="21"/>
                    </w:rPr>
                  </w:pPr>
                  <w:r>
                    <w:rPr>
                      <w:color w:val="auto"/>
                      <w:szCs w:val="21"/>
                    </w:rPr>
                    <w:t>（1）成立专门的责任机构，保证事故发生时组织相关力量及时控制事故的危害，在第一时间，有序有效地控制事故污染，把事故危害减小到最少。</w:t>
                  </w:r>
                </w:p>
                <w:p w14:paraId="3E1D6639">
                  <w:pPr>
                    <w:pStyle w:val="71"/>
                    <w:ind w:left="-63" w:leftChars="-30" w:right="-63" w:rightChars="-30"/>
                    <w:jc w:val="both"/>
                    <w:rPr>
                      <w:color w:val="auto"/>
                      <w:szCs w:val="21"/>
                    </w:rPr>
                  </w:pPr>
                  <w:r>
                    <w:rPr>
                      <w:color w:val="auto"/>
                      <w:szCs w:val="21"/>
                    </w:rPr>
                    <w:t>（2）健全各项制度，强化安全管理意识，禁止烟火，落实各项安全措施，可有效避免环境风险事故发生，加强</w:t>
                  </w:r>
                  <w:r>
                    <w:rPr>
                      <w:rFonts w:hint="eastAsia"/>
                      <w:color w:val="auto"/>
                      <w:szCs w:val="21"/>
                    </w:rPr>
                    <w:t>除尘器</w:t>
                  </w:r>
                  <w:r>
                    <w:rPr>
                      <w:color w:val="auto"/>
                      <w:szCs w:val="21"/>
                    </w:rPr>
                    <w:t>的检修和管理</w:t>
                  </w:r>
                  <w:r>
                    <w:rPr>
                      <w:rFonts w:hint="eastAsia"/>
                      <w:color w:val="auto"/>
                      <w:szCs w:val="21"/>
                    </w:rPr>
                    <w:t>，确保除尘设备正常运行</w:t>
                  </w:r>
                  <w:r>
                    <w:rPr>
                      <w:color w:val="auto"/>
                      <w:szCs w:val="21"/>
                    </w:rPr>
                    <w:t>。</w:t>
                  </w:r>
                </w:p>
                <w:p w14:paraId="05AC3017">
                  <w:pPr>
                    <w:pStyle w:val="71"/>
                    <w:ind w:left="-63" w:leftChars="-30" w:right="-63" w:rightChars="-30"/>
                    <w:jc w:val="both"/>
                    <w:rPr>
                      <w:color w:val="auto"/>
                      <w:szCs w:val="21"/>
                    </w:rPr>
                  </w:pPr>
                  <w:r>
                    <w:rPr>
                      <w:color w:val="auto"/>
                      <w:szCs w:val="21"/>
                    </w:rPr>
                    <w:t>（</w:t>
                  </w:r>
                  <w:r>
                    <w:rPr>
                      <w:rFonts w:hint="eastAsia"/>
                      <w:color w:val="auto"/>
                      <w:szCs w:val="21"/>
                    </w:rPr>
                    <w:t>3</w:t>
                  </w:r>
                  <w:r>
                    <w:rPr>
                      <w:color w:val="auto"/>
                      <w:szCs w:val="21"/>
                    </w:rPr>
                    <w:t>）一旦出现环境风险事故，迅速</w:t>
                  </w:r>
                  <w:r>
                    <w:rPr>
                      <w:rFonts w:hint="eastAsia"/>
                      <w:color w:val="auto"/>
                      <w:szCs w:val="21"/>
                    </w:rPr>
                    <w:t>作出反应</w:t>
                  </w:r>
                  <w:r>
                    <w:rPr>
                      <w:color w:val="auto"/>
                      <w:szCs w:val="21"/>
                    </w:rPr>
                    <w:t>；</w:t>
                  </w:r>
                </w:p>
                <w:p w14:paraId="7CC034F4">
                  <w:pPr>
                    <w:pStyle w:val="71"/>
                    <w:ind w:left="-63" w:leftChars="-30" w:right="-63" w:rightChars="-30"/>
                    <w:jc w:val="both"/>
                    <w:rPr>
                      <w:color w:val="auto"/>
                      <w:szCs w:val="21"/>
                    </w:rPr>
                  </w:pPr>
                  <w:r>
                    <w:rPr>
                      <w:color w:val="auto"/>
                      <w:szCs w:val="21"/>
                    </w:rPr>
                    <w:t>（</w:t>
                  </w:r>
                  <w:r>
                    <w:rPr>
                      <w:rFonts w:hint="eastAsia"/>
                      <w:color w:val="auto"/>
                      <w:szCs w:val="21"/>
                    </w:rPr>
                    <w:t>4</w:t>
                  </w:r>
                  <w:r>
                    <w:rPr>
                      <w:color w:val="auto"/>
                      <w:szCs w:val="21"/>
                    </w:rPr>
                    <w:t>）加强</w:t>
                  </w:r>
                  <w:r>
                    <w:rPr>
                      <w:rFonts w:hint="eastAsia"/>
                      <w:color w:val="auto"/>
                      <w:szCs w:val="21"/>
                    </w:rPr>
                    <w:t>人员</w:t>
                  </w:r>
                  <w:r>
                    <w:rPr>
                      <w:color w:val="auto"/>
                      <w:szCs w:val="21"/>
                    </w:rPr>
                    <w:t>培训和事故应急演练。</w:t>
                  </w:r>
                </w:p>
              </w:tc>
            </w:tr>
            <w:tr w14:paraId="291E92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000" w:type="pct"/>
                  <w:gridSpan w:val="5"/>
                  <w:noWrap w:val="0"/>
                  <w:vAlign w:val="top"/>
                </w:tcPr>
                <w:p w14:paraId="37672120">
                  <w:pPr>
                    <w:pStyle w:val="71"/>
                    <w:ind w:left="-63" w:leftChars="-30" w:right="-63" w:rightChars="-30"/>
                    <w:jc w:val="left"/>
                    <w:rPr>
                      <w:color w:val="auto"/>
                      <w:szCs w:val="21"/>
                    </w:rPr>
                  </w:pPr>
                  <w:r>
                    <w:rPr>
                      <w:color w:val="auto"/>
                      <w:szCs w:val="21"/>
                    </w:rPr>
                    <w:t>填表说明（列出项目相关信息及评价说明）：</w:t>
                  </w:r>
                </w:p>
                <w:p w14:paraId="0390F79E">
                  <w:pPr>
                    <w:pStyle w:val="71"/>
                    <w:ind w:left="-63" w:leftChars="-30" w:right="-63" w:rightChars="-30"/>
                    <w:jc w:val="left"/>
                    <w:rPr>
                      <w:color w:val="auto"/>
                      <w:szCs w:val="21"/>
                    </w:rPr>
                  </w:pPr>
                  <w:r>
                    <w:rPr>
                      <w:color w:val="auto"/>
                      <w:szCs w:val="21"/>
                    </w:rPr>
                    <w:t>本项目</w:t>
                  </w:r>
                  <w:r>
                    <w:rPr>
                      <w:rFonts w:hint="eastAsia"/>
                      <w:color w:val="auto"/>
                      <w:szCs w:val="21"/>
                    </w:rPr>
                    <w:t>不</w:t>
                  </w:r>
                  <w:r>
                    <w:rPr>
                      <w:color w:val="auto"/>
                      <w:szCs w:val="21"/>
                    </w:rPr>
                    <w:t>涉及危险化学品，项目建成后Q＜1。根据《建设项目环境风险评价技术导则》（HJ/T169-2018）附录C，当Q＜1时，本项目环境风险潜势为Ⅰ，可只开展简单分析。</w:t>
                  </w:r>
                </w:p>
              </w:tc>
            </w:tr>
          </w:tbl>
          <w:p w14:paraId="62E06BEC">
            <w:pPr>
              <w:spacing w:before="120" w:beforeLines="50" w:line="360" w:lineRule="auto"/>
              <w:ind w:firstLine="480" w:firstLineChars="200"/>
              <w:rPr>
                <w:color w:val="auto"/>
                <w:sz w:val="24"/>
                <w:shd w:val="clear" w:color="auto" w:fill="FFFFFF"/>
              </w:rPr>
            </w:pPr>
            <w:r>
              <w:rPr>
                <w:rFonts w:hint="eastAsia"/>
                <w:color w:val="auto"/>
                <w:sz w:val="24"/>
                <w:shd w:val="clear" w:color="auto" w:fill="FFFFFF"/>
              </w:rPr>
              <w:t>综上所述，</w:t>
            </w:r>
            <w:r>
              <w:rPr>
                <w:color w:val="auto"/>
                <w:sz w:val="24"/>
                <w:shd w:val="clear" w:color="auto" w:fill="FFFFFF"/>
              </w:rPr>
              <w:t>本项目发生风险事故的可能性是比较低的，</w:t>
            </w:r>
            <w:r>
              <w:rPr>
                <w:rFonts w:hint="eastAsia"/>
                <w:color w:val="auto"/>
                <w:sz w:val="24"/>
                <w:shd w:val="clear" w:color="auto" w:fill="FFFFFF"/>
              </w:rPr>
              <w:t>且</w:t>
            </w:r>
            <w:r>
              <w:rPr>
                <w:color w:val="auto"/>
                <w:sz w:val="24"/>
                <w:shd w:val="clear" w:color="auto" w:fill="FFFFFF"/>
              </w:rPr>
              <w:t>在落实一系列风险防范措施的前提下，环境风险可</w:t>
            </w:r>
            <w:r>
              <w:rPr>
                <w:rFonts w:hint="eastAsia"/>
                <w:color w:val="auto"/>
                <w:sz w:val="24"/>
                <w:shd w:val="clear" w:color="auto" w:fill="FFFFFF"/>
              </w:rPr>
              <w:t>有效</w:t>
            </w:r>
            <w:r>
              <w:rPr>
                <w:color w:val="auto"/>
                <w:sz w:val="24"/>
                <w:shd w:val="clear" w:color="auto" w:fill="FFFFFF"/>
              </w:rPr>
              <w:t>控制在可接受范围</w:t>
            </w:r>
            <w:r>
              <w:rPr>
                <w:rFonts w:hint="eastAsia"/>
                <w:color w:val="auto"/>
                <w:sz w:val="24"/>
                <w:shd w:val="clear" w:color="auto" w:fill="FFFFFF"/>
              </w:rPr>
              <w:t>内</w:t>
            </w:r>
            <w:r>
              <w:rPr>
                <w:color w:val="auto"/>
                <w:sz w:val="24"/>
                <w:shd w:val="clear" w:color="auto" w:fill="FFFFFF"/>
              </w:rPr>
              <w:t>。</w:t>
            </w:r>
          </w:p>
          <w:p w14:paraId="703F238A">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bCs/>
                <w:color w:val="auto"/>
                <w:spacing w:val="0"/>
                <w:sz w:val="24"/>
                <w:szCs w:val="24"/>
                <w:lang w:val="en-US" w:eastAsia="zh-CN"/>
              </w:rPr>
            </w:pPr>
            <w:r>
              <w:rPr>
                <w:rFonts w:hint="eastAsia" w:cs="Times New Roman"/>
                <w:b/>
                <w:bCs w:val="0"/>
                <w:color w:val="auto"/>
                <w:spacing w:val="0"/>
                <w:sz w:val="24"/>
                <w:szCs w:val="24"/>
                <w:lang w:val="en-US" w:eastAsia="zh-CN"/>
              </w:rPr>
              <w:t>9</w:t>
            </w:r>
            <w:r>
              <w:rPr>
                <w:rFonts w:hint="eastAsia" w:ascii="Times New Roman" w:hAnsi="Times New Roman" w:cs="Times New Roman"/>
                <w:b/>
                <w:bCs w:val="0"/>
                <w:color w:val="auto"/>
                <w:spacing w:val="0"/>
                <w:sz w:val="24"/>
                <w:szCs w:val="24"/>
                <w:lang w:val="en-US" w:eastAsia="zh-CN"/>
              </w:rPr>
              <w:t xml:space="preserve"> 环保投资</w:t>
            </w:r>
          </w:p>
          <w:p w14:paraId="78D16A23">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ascii="Times New Roman" w:hAnsi="Times New Roman" w:cs="Times New Roman"/>
                <w:bCs/>
                <w:color w:val="auto"/>
                <w:spacing w:val="0"/>
                <w:sz w:val="24"/>
                <w:szCs w:val="24"/>
                <w:lang w:val="en-US" w:eastAsia="zh-CN"/>
              </w:rPr>
            </w:pPr>
            <w:r>
              <w:rPr>
                <w:rFonts w:hint="eastAsia" w:ascii="Times New Roman" w:hAnsi="Times New Roman" w:cs="Times New Roman"/>
                <w:bCs/>
                <w:color w:val="auto"/>
                <w:spacing w:val="0"/>
                <w:sz w:val="24"/>
                <w:szCs w:val="24"/>
                <w:lang w:val="en-US" w:eastAsia="zh-CN"/>
              </w:rPr>
              <w:t>本项目工程总投资380万元，其中环保设施投资3</w:t>
            </w:r>
            <w:r>
              <w:rPr>
                <w:rFonts w:hint="eastAsia" w:cs="Times New Roman"/>
                <w:bCs/>
                <w:color w:val="auto"/>
                <w:spacing w:val="0"/>
                <w:sz w:val="24"/>
                <w:szCs w:val="24"/>
                <w:lang w:val="en-US" w:eastAsia="zh-CN"/>
              </w:rPr>
              <w:t>9</w:t>
            </w:r>
            <w:r>
              <w:rPr>
                <w:rFonts w:hint="eastAsia" w:ascii="Times New Roman" w:hAnsi="Times New Roman" w:cs="Times New Roman"/>
                <w:bCs/>
                <w:color w:val="auto"/>
                <w:spacing w:val="0"/>
                <w:sz w:val="24"/>
                <w:szCs w:val="24"/>
                <w:lang w:val="en-US" w:eastAsia="zh-CN"/>
              </w:rPr>
              <w:t>万元，</w:t>
            </w:r>
            <w:r>
              <w:rPr>
                <w:rFonts w:hint="eastAsia" w:ascii="Times New Roman" w:hAnsi="Times New Roman" w:cs="Times New Roman"/>
                <w:bCs/>
                <w:color w:val="auto"/>
                <w:spacing w:val="0"/>
                <w:sz w:val="24"/>
                <w:szCs w:val="24"/>
                <w:highlight w:val="none"/>
                <w:lang w:val="en-US" w:eastAsia="zh-CN"/>
              </w:rPr>
              <w:t>占工程总投资的10.</w:t>
            </w:r>
            <w:r>
              <w:rPr>
                <w:rFonts w:hint="eastAsia" w:cs="Times New Roman"/>
                <w:bCs/>
                <w:color w:val="auto"/>
                <w:spacing w:val="0"/>
                <w:sz w:val="24"/>
                <w:szCs w:val="24"/>
                <w:highlight w:val="none"/>
                <w:lang w:val="en-US" w:eastAsia="zh-CN"/>
              </w:rPr>
              <w:t>3</w:t>
            </w:r>
            <w:r>
              <w:rPr>
                <w:rFonts w:hint="eastAsia" w:ascii="Times New Roman" w:hAnsi="Times New Roman" w:cs="Times New Roman"/>
                <w:bCs/>
                <w:color w:val="auto"/>
                <w:spacing w:val="0"/>
                <w:sz w:val="24"/>
                <w:szCs w:val="24"/>
                <w:highlight w:val="none"/>
                <w:lang w:val="en-US" w:eastAsia="zh-CN"/>
              </w:rPr>
              <w:t>%，环保设施投资分</w:t>
            </w:r>
            <w:r>
              <w:rPr>
                <w:rFonts w:hint="eastAsia" w:ascii="Times New Roman" w:hAnsi="Times New Roman" w:cs="Times New Roman"/>
                <w:bCs/>
                <w:color w:val="auto"/>
                <w:spacing w:val="0"/>
                <w:sz w:val="24"/>
                <w:szCs w:val="24"/>
                <w:lang w:val="en-US" w:eastAsia="zh-CN"/>
              </w:rPr>
              <w:t>项具体见表4-9。</w:t>
            </w:r>
          </w:p>
          <w:p w14:paraId="01CA6D4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4"/>
                <w:szCs w:val="24"/>
                <w:lang w:val="en-US" w:eastAsia="zh-CN"/>
              </w:rPr>
            </w:pPr>
            <w:r>
              <w:rPr>
                <w:rFonts w:hint="eastAsia" w:ascii="Times New Roman" w:hAnsi="Times New Roman" w:cs="Times New Roman"/>
                <w:b/>
                <w:bCs w:val="0"/>
                <w:color w:val="auto"/>
                <w:spacing w:val="0"/>
                <w:sz w:val="21"/>
                <w:szCs w:val="21"/>
                <w:lang w:val="en-US" w:eastAsia="zh-CN"/>
              </w:rPr>
              <w:t>表4-9    环保投资一览表</w:t>
            </w:r>
          </w:p>
          <w:tbl>
            <w:tblPr>
              <w:tblStyle w:val="28"/>
              <w:tblW w:w="0" w:type="auto"/>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90"/>
              <w:gridCol w:w="1080"/>
              <w:gridCol w:w="4956"/>
              <w:gridCol w:w="1210"/>
            </w:tblGrid>
            <w:tr w14:paraId="5F0E3B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70" w:type="dxa"/>
                  <w:gridSpan w:val="2"/>
                  <w:tcBorders>
                    <w:bottom w:val="single" w:color="auto" w:sz="12" w:space="0"/>
                  </w:tcBorders>
                  <w:noWrap w:val="0"/>
                  <w:vAlign w:val="center"/>
                </w:tcPr>
                <w:p w14:paraId="4799545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b/>
                      <w:bCs w:val="0"/>
                      <w:color w:val="auto"/>
                      <w:spacing w:val="0"/>
                      <w:sz w:val="21"/>
                      <w:szCs w:val="21"/>
                      <w:vertAlign w:val="baseline"/>
                      <w:lang w:val="en-US" w:eastAsia="zh-CN"/>
                    </w:rPr>
                  </w:pPr>
                  <w:r>
                    <w:rPr>
                      <w:rFonts w:hint="eastAsia" w:ascii="Times New Roman" w:hAnsi="Times New Roman" w:cs="Times New Roman"/>
                      <w:b/>
                      <w:bCs w:val="0"/>
                      <w:color w:val="auto"/>
                      <w:spacing w:val="0"/>
                      <w:sz w:val="21"/>
                      <w:szCs w:val="21"/>
                      <w:vertAlign w:val="baseline"/>
                      <w:lang w:val="en-US" w:eastAsia="zh-CN"/>
                    </w:rPr>
                    <w:t>项目</w:t>
                  </w:r>
                </w:p>
              </w:tc>
              <w:tc>
                <w:tcPr>
                  <w:tcW w:w="4956" w:type="dxa"/>
                  <w:tcBorders>
                    <w:bottom w:val="single" w:color="auto" w:sz="12" w:space="0"/>
                  </w:tcBorders>
                  <w:noWrap w:val="0"/>
                  <w:vAlign w:val="center"/>
                </w:tcPr>
                <w:p w14:paraId="3C525DE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val="0"/>
                      <w:color w:val="auto"/>
                      <w:spacing w:val="0"/>
                      <w:sz w:val="21"/>
                      <w:szCs w:val="21"/>
                      <w:vertAlign w:val="baseline"/>
                      <w:lang w:val="en-US" w:eastAsia="zh-CN"/>
                    </w:rPr>
                  </w:pPr>
                  <w:r>
                    <w:rPr>
                      <w:rFonts w:hint="eastAsia" w:ascii="Times New Roman" w:hAnsi="Times New Roman" w:cs="Times New Roman"/>
                      <w:b/>
                      <w:bCs w:val="0"/>
                      <w:color w:val="auto"/>
                      <w:spacing w:val="0"/>
                      <w:sz w:val="21"/>
                      <w:szCs w:val="21"/>
                      <w:vertAlign w:val="baseline"/>
                      <w:lang w:val="en-US" w:eastAsia="zh-CN"/>
                    </w:rPr>
                    <w:t>治理措施</w:t>
                  </w:r>
                </w:p>
              </w:tc>
              <w:tc>
                <w:tcPr>
                  <w:tcW w:w="1210" w:type="dxa"/>
                  <w:tcBorders>
                    <w:bottom w:val="single" w:color="auto" w:sz="12" w:space="0"/>
                  </w:tcBorders>
                  <w:noWrap w:val="0"/>
                  <w:vAlign w:val="center"/>
                </w:tcPr>
                <w:p w14:paraId="0D5572C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
                      <w:bCs w:val="0"/>
                      <w:color w:val="auto"/>
                      <w:spacing w:val="0"/>
                      <w:sz w:val="21"/>
                      <w:szCs w:val="21"/>
                      <w:vertAlign w:val="baseline"/>
                      <w:lang w:val="en-US" w:eastAsia="zh-CN"/>
                    </w:rPr>
                  </w:pPr>
                  <w:r>
                    <w:rPr>
                      <w:rFonts w:hint="eastAsia" w:ascii="Times New Roman" w:hAnsi="Times New Roman" w:cs="Times New Roman"/>
                      <w:b/>
                      <w:bCs w:val="0"/>
                      <w:color w:val="auto"/>
                      <w:spacing w:val="0"/>
                      <w:sz w:val="21"/>
                      <w:szCs w:val="21"/>
                      <w:vertAlign w:val="baseline"/>
                      <w:lang w:val="en-US" w:eastAsia="zh-CN"/>
                    </w:rPr>
                    <w:t>投资估算（万元）</w:t>
                  </w:r>
                </w:p>
              </w:tc>
            </w:tr>
            <w:tr w14:paraId="74217E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70" w:type="dxa"/>
                  <w:gridSpan w:val="2"/>
                  <w:tcBorders>
                    <w:top w:val="single" w:color="auto" w:sz="12" w:space="0"/>
                    <w:tl2br w:val="nil"/>
                    <w:tr2bl w:val="nil"/>
                  </w:tcBorders>
                  <w:noWrap w:val="0"/>
                  <w:vAlign w:val="center"/>
                </w:tcPr>
                <w:p w14:paraId="1D374BB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color w:val="auto"/>
                      <w:lang w:val="en-US" w:eastAsia="zh-CN"/>
                    </w:rPr>
                  </w:pPr>
                  <w:r>
                    <w:rPr>
                      <w:rFonts w:hint="eastAsia" w:ascii="Times New Roman" w:hAnsi="Times New Roman" w:cs="Times New Roman"/>
                      <w:bCs/>
                      <w:color w:val="auto"/>
                      <w:spacing w:val="0"/>
                      <w:sz w:val="21"/>
                      <w:szCs w:val="21"/>
                      <w:vertAlign w:val="baseline"/>
                      <w:lang w:val="en-US" w:eastAsia="zh-CN"/>
                    </w:rPr>
                    <w:t>废气</w:t>
                  </w:r>
                </w:p>
              </w:tc>
              <w:tc>
                <w:tcPr>
                  <w:tcW w:w="4956" w:type="dxa"/>
                  <w:tcBorders>
                    <w:top w:val="single" w:color="auto" w:sz="12" w:space="0"/>
                    <w:tl2br w:val="nil"/>
                    <w:tr2bl w:val="nil"/>
                  </w:tcBorders>
                  <w:noWrap w:val="0"/>
                  <w:vAlign w:val="center"/>
                </w:tcPr>
                <w:p w14:paraId="54CF8F3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default" w:ascii="Times New Roman" w:hAnsi="Times New Roman" w:cs="Times New Roman"/>
                      <w:bCs/>
                      <w:color w:val="auto"/>
                      <w:sz w:val="21"/>
                      <w:szCs w:val="21"/>
                      <w:vertAlign w:val="baseline"/>
                      <w:lang w:val="en-US" w:eastAsia="zh-CN"/>
                    </w:rPr>
                    <w:t>725m的防风抑散网，并结合喷淋等抑尘设施</w:t>
                  </w:r>
                  <w:r>
                    <w:rPr>
                      <w:rFonts w:hint="eastAsia" w:ascii="Times New Roman" w:hAnsi="Times New Roman" w:cs="Times New Roman"/>
                      <w:bCs/>
                      <w:color w:val="auto"/>
                      <w:sz w:val="21"/>
                      <w:szCs w:val="21"/>
                      <w:vertAlign w:val="baseline"/>
                      <w:lang w:val="en-US" w:eastAsia="zh-CN"/>
                    </w:rPr>
                    <w:t>、</w:t>
                  </w:r>
                  <w:r>
                    <w:rPr>
                      <w:rFonts w:hint="eastAsia" w:ascii="Times New Roman" w:hAnsi="Times New Roman" w:eastAsia="宋体" w:cs="Times New Roman"/>
                      <w:b w:val="0"/>
                      <w:bCs/>
                      <w:color w:val="auto"/>
                      <w:spacing w:val="0"/>
                      <w:sz w:val="21"/>
                      <w:szCs w:val="21"/>
                      <w:vertAlign w:val="baseline"/>
                      <w:lang w:val="en-US" w:eastAsia="zh-CN"/>
                    </w:rPr>
                    <w:t>防尘网覆盖</w:t>
                  </w:r>
                </w:p>
              </w:tc>
              <w:tc>
                <w:tcPr>
                  <w:tcW w:w="1210" w:type="dxa"/>
                  <w:tcBorders>
                    <w:top w:val="single" w:color="auto" w:sz="12" w:space="0"/>
                    <w:tl2br w:val="nil"/>
                    <w:tr2bl w:val="nil"/>
                  </w:tcBorders>
                  <w:noWrap w:val="0"/>
                  <w:vAlign w:val="center"/>
                </w:tcPr>
                <w:p w14:paraId="0FA2912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20.0</w:t>
                  </w:r>
                </w:p>
              </w:tc>
            </w:tr>
            <w:tr w14:paraId="5BF84B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70" w:type="dxa"/>
                  <w:gridSpan w:val="2"/>
                  <w:tcBorders>
                    <w:tl2br w:val="nil"/>
                    <w:tr2bl w:val="nil"/>
                  </w:tcBorders>
                  <w:noWrap w:val="0"/>
                  <w:vAlign w:val="center"/>
                </w:tcPr>
                <w:p w14:paraId="7759526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废水</w:t>
                  </w:r>
                </w:p>
              </w:tc>
              <w:tc>
                <w:tcPr>
                  <w:tcW w:w="4956" w:type="dxa"/>
                  <w:tcBorders>
                    <w:tl2br w:val="nil"/>
                    <w:tr2bl w:val="nil"/>
                  </w:tcBorders>
                  <w:noWrap w:val="0"/>
                  <w:vAlign w:val="center"/>
                </w:tcPr>
                <w:p w14:paraId="06BBACC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玻璃钢沉淀池</w:t>
                  </w:r>
                </w:p>
              </w:tc>
              <w:tc>
                <w:tcPr>
                  <w:tcW w:w="1210" w:type="dxa"/>
                  <w:tcBorders>
                    <w:tl2br w:val="nil"/>
                    <w:tr2bl w:val="nil"/>
                  </w:tcBorders>
                  <w:noWrap w:val="0"/>
                  <w:vAlign w:val="center"/>
                </w:tcPr>
                <w:p w14:paraId="3FA0A5F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5.0</w:t>
                  </w:r>
                </w:p>
              </w:tc>
            </w:tr>
            <w:tr w14:paraId="56AF06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70" w:type="dxa"/>
                  <w:gridSpan w:val="2"/>
                  <w:tcBorders>
                    <w:tl2br w:val="nil"/>
                    <w:tr2bl w:val="nil"/>
                  </w:tcBorders>
                  <w:noWrap w:val="0"/>
                  <w:vAlign w:val="center"/>
                </w:tcPr>
                <w:p w14:paraId="014FB31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噪声</w:t>
                  </w:r>
                </w:p>
              </w:tc>
              <w:tc>
                <w:tcPr>
                  <w:tcW w:w="4956" w:type="dxa"/>
                  <w:tcBorders>
                    <w:tl2br w:val="nil"/>
                    <w:tr2bl w:val="nil"/>
                  </w:tcBorders>
                  <w:noWrap w:val="0"/>
                  <w:vAlign w:val="center"/>
                </w:tcPr>
                <w:p w14:paraId="64B361B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加强维护保养，加强车辆维护，减速慢行，禁止鸣笛</w:t>
                  </w:r>
                </w:p>
              </w:tc>
              <w:tc>
                <w:tcPr>
                  <w:tcW w:w="1210" w:type="dxa"/>
                  <w:tcBorders>
                    <w:tl2br w:val="nil"/>
                    <w:tr2bl w:val="nil"/>
                  </w:tcBorders>
                  <w:noWrap w:val="0"/>
                  <w:vAlign w:val="center"/>
                </w:tcPr>
                <w:p w14:paraId="7897EC6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5.0</w:t>
                  </w:r>
                </w:p>
              </w:tc>
            </w:tr>
            <w:tr w14:paraId="2F1793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0" w:type="dxa"/>
                  <w:vMerge w:val="restart"/>
                  <w:tcBorders>
                    <w:tl2br w:val="nil"/>
                    <w:tr2bl w:val="nil"/>
                  </w:tcBorders>
                  <w:noWrap w:val="0"/>
                  <w:vAlign w:val="center"/>
                </w:tcPr>
                <w:p w14:paraId="5F1C27D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固废</w:t>
                  </w:r>
                </w:p>
              </w:tc>
              <w:tc>
                <w:tcPr>
                  <w:tcW w:w="1080" w:type="dxa"/>
                  <w:tcBorders>
                    <w:tl2br w:val="nil"/>
                    <w:tr2bl w:val="nil"/>
                  </w:tcBorders>
                  <w:noWrap w:val="0"/>
                  <w:vAlign w:val="center"/>
                </w:tcPr>
                <w:p w14:paraId="703380E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生活垃圾</w:t>
                  </w:r>
                </w:p>
              </w:tc>
              <w:tc>
                <w:tcPr>
                  <w:tcW w:w="4956" w:type="dxa"/>
                  <w:tcBorders>
                    <w:tl2br w:val="nil"/>
                    <w:tr2bl w:val="nil"/>
                  </w:tcBorders>
                  <w:noWrap w:val="0"/>
                  <w:vAlign w:val="center"/>
                </w:tcPr>
                <w:p w14:paraId="139730A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生活垃圾箱</w:t>
                  </w:r>
                </w:p>
              </w:tc>
              <w:tc>
                <w:tcPr>
                  <w:tcW w:w="1210" w:type="dxa"/>
                  <w:tcBorders>
                    <w:tl2br w:val="nil"/>
                    <w:tr2bl w:val="nil"/>
                  </w:tcBorders>
                  <w:noWrap w:val="0"/>
                  <w:vAlign w:val="center"/>
                </w:tcPr>
                <w:p w14:paraId="49167A0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1.0</w:t>
                  </w:r>
                </w:p>
              </w:tc>
            </w:tr>
            <w:tr w14:paraId="39A653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0" w:type="dxa"/>
                  <w:vMerge w:val="continue"/>
                  <w:tcBorders>
                    <w:tl2br w:val="nil"/>
                    <w:tr2bl w:val="nil"/>
                  </w:tcBorders>
                  <w:noWrap w:val="0"/>
                  <w:vAlign w:val="center"/>
                </w:tcPr>
                <w:p w14:paraId="59378E6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bCs/>
                      <w:color w:val="auto"/>
                      <w:spacing w:val="0"/>
                      <w:sz w:val="21"/>
                      <w:szCs w:val="21"/>
                      <w:vertAlign w:val="baseline"/>
                      <w:lang w:val="en-US" w:eastAsia="zh-CN"/>
                    </w:rPr>
                  </w:pPr>
                </w:p>
              </w:tc>
              <w:tc>
                <w:tcPr>
                  <w:tcW w:w="1080" w:type="dxa"/>
                  <w:tcBorders>
                    <w:tl2br w:val="nil"/>
                    <w:tr2bl w:val="nil"/>
                  </w:tcBorders>
                  <w:noWrap w:val="0"/>
                  <w:vAlign w:val="center"/>
                </w:tcPr>
                <w:p w14:paraId="7740BE6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污泥</w:t>
                  </w:r>
                </w:p>
              </w:tc>
              <w:tc>
                <w:tcPr>
                  <w:tcW w:w="4956" w:type="dxa"/>
                  <w:tcBorders>
                    <w:tl2br w:val="nil"/>
                    <w:tr2bl w:val="nil"/>
                  </w:tcBorders>
                  <w:noWrap w:val="0"/>
                  <w:vAlign w:val="center"/>
                </w:tcPr>
                <w:p w14:paraId="4CA31DE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定期清掏后送建筑垃圾填埋场</w:t>
                  </w:r>
                </w:p>
              </w:tc>
              <w:tc>
                <w:tcPr>
                  <w:tcW w:w="1210" w:type="dxa"/>
                  <w:tcBorders>
                    <w:tl2br w:val="nil"/>
                    <w:tr2bl w:val="nil"/>
                  </w:tcBorders>
                  <w:noWrap w:val="0"/>
                  <w:vAlign w:val="center"/>
                </w:tcPr>
                <w:p w14:paraId="4D06048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1.5</w:t>
                  </w:r>
                </w:p>
              </w:tc>
            </w:tr>
            <w:tr w14:paraId="028888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90" w:type="dxa"/>
                  <w:vMerge w:val="continue"/>
                  <w:tcBorders>
                    <w:tl2br w:val="nil"/>
                    <w:tr2bl w:val="nil"/>
                  </w:tcBorders>
                  <w:noWrap w:val="0"/>
                  <w:vAlign w:val="center"/>
                </w:tcPr>
                <w:p w14:paraId="6CC5C25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bCs/>
                      <w:color w:val="auto"/>
                      <w:spacing w:val="0"/>
                      <w:sz w:val="21"/>
                      <w:szCs w:val="21"/>
                      <w:vertAlign w:val="baseline"/>
                      <w:lang w:val="en-US" w:eastAsia="zh-CN"/>
                    </w:rPr>
                  </w:pPr>
                </w:p>
              </w:tc>
              <w:tc>
                <w:tcPr>
                  <w:tcW w:w="1080" w:type="dxa"/>
                  <w:tcBorders>
                    <w:tl2br w:val="nil"/>
                    <w:tr2bl w:val="nil"/>
                  </w:tcBorders>
                  <w:noWrap w:val="0"/>
                  <w:vAlign w:val="center"/>
                </w:tcPr>
                <w:p w14:paraId="5FD9DD0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cs="Times New Roman"/>
                      <w:bCs/>
                      <w:color w:val="auto"/>
                      <w:spacing w:val="0"/>
                      <w:sz w:val="21"/>
                      <w:szCs w:val="21"/>
                      <w:vertAlign w:val="baseline"/>
                      <w:lang w:val="en-US" w:eastAsia="zh-CN"/>
                    </w:rPr>
                    <w:t>废机油</w:t>
                  </w:r>
                </w:p>
              </w:tc>
              <w:tc>
                <w:tcPr>
                  <w:tcW w:w="4956" w:type="dxa"/>
                  <w:tcBorders>
                    <w:tl2br w:val="nil"/>
                    <w:tr2bl w:val="nil"/>
                  </w:tcBorders>
                  <w:noWrap w:val="0"/>
                  <w:vAlign w:val="center"/>
                </w:tcPr>
                <w:p w14:paraId="5E8D13A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暂存在危险废物贮存点委托有资质单位处置</w:t>
                  </w:r>
                </w:p>
              </w:tc>
              <w:tc>
                <w:tcPr>
                  <w:tcW w:w="1210" w:type="dxa"/>
                  <w:tcBorders>
                    <w:tl2br w:val="nil"/>
                    <w:tr2bl w:val="nil"/>
                  </w:tcBorders>
                  <w:noWrap w:val="0"/>
                  <w:vAlign w:val="center"/>
                </w:tcPr>
                <w:p w14:paraId="0913E0B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2.0</w:t>
                  </w:r>
                </w:p>
              </w:tc>
            </w:tr>
            <w:tr w14:paraId="609523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70" w:type="dxa"/>
                  <w:gridSpan w:val="2"/>
                  <w:tcBorders>
                    <w:tl2br w:val="nil"/>
                    <w:tr2bl w:val="nil"/>
                  </w:tcBorders>
                  <w:noWrap w:val="0"/>
                  <w:vAlign w:val="center"/>
                </w:tcPr>
                <w:p w14:paraId="345D46F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cs="Times New Roman"/>
                      <w:bCs/>
                      <w:color w:val="auto"/>
                      <w:spacing w:val="0"/>
                      <w:sz w:val="21"/>
                      <w:szCs w:val="21"/>
                      <w:vertAlign w:val="baseline"/>
                      <w:lang w:val="en-US" w:eastAsia="zh-CN"/>
                    </w:rPr>
                    <w:t>生态</w:t>
                  </w:r>
                </w:p>
              </w:tc>
              <w:tc>
                <w:tcPr>
                  <w:tcW w:w="4956" w:type="dxa"/>
                  <w:tcBorders>
                    <w:tl2br w:val="nil"/>
                    <w:tr2bl w:val="nil"/>
                  </w:tcBorders>
                  <w:noWrap w:val="0"/>
                  <w:vAlign w:val="center"/>
                </w:tcPr>
                <w:p w14:paraId="16A8037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南侧围墙+防风抑尘网</w:t>
                  </w:r>
                </w:p>
              </w:tc>
              <w:tc>
                <w:tcPr>
                  <w:tcW w:w="1210" w:type="dxa"/>
                  <w:tcBorders>
                    <w:tl2br w:val="nil"/>
                    <w:tr2bl w:val="nil"/>
                  </w:tcBorders>
                  <w:noWrap w:val="0"/>
                  <w:vAlign w:val="center"/>
                </w:tcPr>
                <w:p w14:paraId="5A0FF91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cs="Times New Roman"/>
                      <w:bCs/>
                      <w:color w:val="auto"/>
                      <w:spacing w:val="0"/>
                      <w:sz w:val="21"/>
                      <w:szCs w:val="21"/>
                      <w:vertAlign w:val="baseline"/>
                      <w:lang w:val="en-US" w:eastAsia="zh-CN"/>
                    </w:rPr>
                    <w:t>1.0</w:t>
                  </w:r>
                </w:p>
              </w:tc>
            </w:tr>
            <w:tr w14:paraId="1313EF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70" w:type="dxa"/>
                  <w:gridSpan w:val="2"/>
                  <w:vMerge w:val="restart"/>
                  <w:tcBorders>
                    <w:tl2br w:val="nil"/>
                    <w:tr2bl w:val="nil"/>
                  </w:tcBorders>
                  <w:noWrap w:val="0"/>
                  <w:vAlign w:val="center"/>
                </w:tcPr>
                <w:p w14:paraId="256994C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环境管理</w:t>
                  </w:r>
                </w:p>
              </w:tc>
              <w:tc>
                <w:tcPr>
                  <w:tcW w:w="4956" w:type="dxa"/>
                  <w:tcBorders>
                    <w:tl2br w:val="nil"/>
                    <w:tr2bl w:val="nil"/>
                  </w:tcBorders>
                  <w:noWrap w:val="0"/>
                  <w:vAlign w:val="center"/>
                </w:tcPr>
                <w:p w14:paraId="25A5C04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标识牌、人员管理等</w:t>
                  </w:r>
                </w:p>
              </w:tc>
              <w:tc>
                <w:tcPr>
                  <w:tcW w:w="1210" w:type="dxa"/>
                  <w:vMerge w:val="restart"/>
                  <w:tcBorders>
                    <w:tl2br w:val="nil"/>
                    <w:tr2bl w:val="nil"/>
                  </w:tcBorders>
                  <w:noWrap w:val="0"/>
                  <w:vAlign w:val="center"/>
                </w:tcPr>
                <w:p w14:paraId="5DA740E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3.5</w:t>
                  </w:r>
                </w:p>
              </w:tc>
            </w:tr>
            <w:tr w14:paraId="3604D3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770" w:type="dxa"/>
                  <w:gridSpan w:val="2"/>
                  <w:vMerge w:val="continue"/>
                  <w:tcBorders>
                    <w:tl2br w:val="nil"/>
                    <w:tr2bl w:val="nil"/>
                  </w:tcBorders>
                  <w:noWrap w:val="0"/>
                  <w:vAlign w:val="center"/>
                </w:tcPr>
                <w:p w14:paraId="29C7CDC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bCs/>
                      <w:color w:val="auto"/>
                      <w:spacing w:val="0"/>
                      <w:sz w:val="21"/>
                      <w:szCs w:val="21"/>
                      <w:vertAlign w:val="baseline"/>
                      <w:lang w:val="en-US" w:eastAsia="zh-CN"/>
                    </w:rPr>
                  </w:pPr>
                </w:p>
              </w:tc>
              <w:tc>
                <w:tcPr>
                  <w:tcW w:w="4956" w:type="dxa"/>
                  <w:tcBorders>
                    <w:tl2br w:val="nil"/>
                    <w:tr2bl w:val="nil"/>
                  </w:tcBorders>
                  <w:noWrap w:val="0"/>
                  <w:vAlign w:val="center"/>
                </w:tcPr>
                <w:p w14:paraId="5B5331D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环保验收</w:t>
                  </w:r>
                </w:p>
              </w:tc>
              <w:tc>
                <w:tcPr>
                  <w:tcW w:w="1210" w:type="dxa"/>
                  <w:vMerge w:val="continue"/>
                  <w:tcBorders>
                    <w:tl2br w:val="nil"/>
                    <w:tr2bl w:val="nil"/>
                  </w:tcBorders>
                  <w:noWrap w:val="0"/>
                  <w:vAlign w:val="center"/>
                </w:tcPr>
                <w:p w14:paraId="4561274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bCs/>
                      <w:color w:val="auto"/>
                      <w:spacing w:val="0"/>
                      <w:sz w:val="21"/>
                      <w:szCs w:val="21"/>
                      <w:vertAlign w:val="baseline"/>
                      <w:lang w:val="en-US" w:eastAsia="zh-CN"/>
                    </w:rPr>
                  </w:pPr>
                </w:p>
              </w:tc>
            </w:tr>
            <w:tr w14:paraId="0324E8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26" w:type="dxa"/>
                  <w:gridSpan w:val="3"/>
                  <w:tcBorders>
                    <w:tl2br w:val="nil"/>
                    <w:tr2bl w:val="nil"/>
                  </w:tcBorders>
                  <w:noWrap w:val="0"/>
                  <w:vAlign w:val="center"/>
                </w:tcPr>
                <w:p w14:paraId="45FFC60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合计</w:t>
                  </w:r>
                </w:p>
              </w:tc>
              <w:tc>
                <w:tcPr>
                  <w:tcW w:w="1210" w:type="dxa"/>
                  <w:tcBorders>
                    <w:tl2br w:val="nil"/>
                    <w:tr2bl w:val="nil"/>
                  </w:tcBorders>
                  <w:noWrap w:val="0"/>
                  <w:vAlign w:val="center"/>
                </w:tcPr>
                <w:p w14:paraId="5C76B09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bCs/>
                      <w:color w:val="auto"/>
                      <w:spacing w:val="0"/>
                      <w:sz w:val="21"/>
                      <w:szCs w:val="21"/>
                      <w:vertAlign w:val="baseline"/>
                      <w:lang w:val="en-US" w:eastAsia="zh-CN"/>
                    </w:rPr>
                  </w:pPr>
                  <w:r>
                    <w:rPr>
                      <w:rFonts w:hint="eastAsia" w:ascii="Times New Roman" w:hAnsi="Times New Roman" w:cs="Times New Roman"/>
                      <w:bCs/>
                      <w:color w:val="auto"/>
                      <w:spacing w:val="0"/>
                      <w:sz w:val="21"/>
                      <w:szCs w:val="21"/>
                      <w:vertAlign w:val="baseline"/>
                      <w:lang w:val="en-US" w:eastAsia="zh-CN"/>
                    </w:rPr>
                    <w:t>38</w:t>
                  </w:r>
                </w:p>
              </w:tc>
            </w:tr>
          </w:tbl>
          <w:p w14:paraId="3A85613C">
            <w:pPr>
              <w:keepNext w:val="0"/>
              <w:keepLines w:val="0"/>
              <w:pageBreakBefore w:val="0"/>
              <w:widowControl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cs="Times New Roman"/>
                <w:bCs/>
                <w:color w:val="auto"/>
                <w:spacing w:val="0"/>
                <w:sz w:val="24"/>
                <w:szCs w:val="24"/>
                <w:lang w:val="en-US" w:eastAsia="zh-CN"/>
              </w:rPr>
            </w:pPr>
          </w:p>
        </w:tc>
      </w:tr>
    </w:tbl>
    <w:p w14:paraId="3DBA811E">
      <w:pPr>
        <w:adjustRightInd w:val="0"/>
        <w:snapToGrid w:val="0"/>
        <w:spacing w:line="360" w:lineRule="auto"/>
        <w:rPr>
          <w:rFonts w:hint="eastAsia" w:ascii="宋体" w:cs="宋体"/>
          <w:b/>
          <w:color w:val="auto"/>
          <w:kern w:val="0"/>
          <w:sz w:val="28"/>
          <w:szCs w:val="28"/>
        </w:rPr>
        <w:sectPr>
          <w:pgSz w:w="11907" w:h="16840"/>
          <w:pgMar w:top="1701" w:right="1531" w:bottom="2127"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5DC09A95">
      <w:pPr>
        <w:pStyle w:val="24"/>
        <w:jc w:val="center"/>
        <w:outlineLvl w:val="0"/>
        <w:rPr>
          <w:rFonts w:ascii="黑体" w:hAnsi="黑体" w:eastAsia="黑体"/>
          <w:snapToGrid w:val="0"/>
          <w:color w:val="auto"/>
          <w:sz w:val="30"/>
          <w:szCs w:val="30"/>
        </w:rPr>
      </w:pPr>
      <w:r>
        <w:rPr>
          <w:rFonts w:hint="eastAsia" w:ascii="黑体" w:hAnsi="黑体" w:eastAsia="黑体"/>
          <w:snapToGrid w:val="0"/>
          <w:color w:val="auto"/>
          <w:sz w:val="30"/>
          <w:szCs w:val="30"/>
        </w:rPr>
        <w:t>五、</w:t>
      </w:r>
      <w:bookmarkStart w:id="6" w:name="_Hlk54167917"/>
      <w:r>
        <w:rPr>
          <w:rFonts w:hint="eastAsia" w:ascii="黑体" w:hAnsi="黑体" w:eastAsia="黑体"/>
          <w:snapToGrid w:val="0"/>
          <w:color w:val="auto"/>
          <w:sz w:val="30"/>
          <w:szCs w:val="30"/>
        </w:rPr>
        <w:t>环境保护措施监督检查清单</w:t>
      </w:r>
      <w:bookmarkEnd w:id="6"/>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8"/>
        <w:gridCol w:w="1606"/>
        <w:gridCol w:w="1518"/>
        <w:gridCol w:w="2141"/>
        <w:gridCol w:w="1757"/>
      </w:tblGrid>
      <w:tr w14:paraId="71BEEA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78" w:type="dxa"/>
            <w:tcBorders>
              <w:tl2br w:val="single" w:color="auto" w:sz="4" w:space="0"/>
            </w:tcBorders>
            <w:noWrap w:val="0"/>
            <w:vAlign w:val="top"/>
          </w:tcPr>
          <w:p w14:paraId="4D965279">
            <w:pPr>
              <w:adjustRightInd w:val="0"/>
              <w:snapToGrid w:val="0"/>
              <w:ind w:firstLine="84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内容</w:t>
            </w:r>
          </w:p>
          <w:p w14:paraId="6B46F317">
            <w:pPr>
              <w:adjustRightInd w:val="0"/>
              <w:snapToGrid w:val="0"/>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要素</w:t>
            </w:r>
          </w:p>
        </w:tc>
        <w:tc>
          <w:tcPr>
            <w:tcW w:w="1606" w:type="dxa"/>
            <w:noWrap w:val="0"/>
            <w:vAlign w:val="center"/>
          </w:tcPr>
          <w:p w14:paraId="6C662425">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排放口(编号、</w:t>
            </w:r>
          </w:p>
          <w:p w14:paraId="43E612AB">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名称</w:t>
            </w:r>
            <w:r>
              <w:rPr>
                <w:rFonts w:hint="eastAsia"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rPr>
              <w:t>/污染源</w:t>
            </w:r>
          </w:p>
        </w:tc>
        <w:tc>
          <w:tcPr>
            <w:tcW w:w="1518" w:type="dxa"/>
            <w:noWrap w:val="0"/>
            <w:vAlign w:val="center"/>
          </w:tcPr>
          <w:p w14:paraId="3FF8CBA1">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污染物项目</w:t>
            </w:r>
          </w:p>
        </w:tc>
        <w:tc>
          <w:tcPr>
            <w:tcW w:w="2141" w:type="dxa"/>
            <w:noWrap w:val="0"/>
            <w:vAlign w:val="center"/>
          </w:tcPr>
          <w:p w14:paraId="3A6CD513">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环境保护措施</w:t>
            </w:r>
          </w:p>
        </w:tc>
        <w:tc>
          <w:tcPr>
            <w:tcW w:w="1757" w:type="dxa"/>
            <w:noWrap w:val="0"/>
            <w:vAlign w:val="center"/>
          </w:tcPr>
          <w:p w14:paraId="2D06DB08">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执行标准</w:t>
            </w:r>
          </w:p>
        </w:tc>
      </w:tr>
      <w:tr w14:paraId="76D51B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78" w:type="dxa"/>
            <w:vMerge w:val="restart"/>
            <w:noWrap w:val="0"/>
            <w:vAlign w:val="center"/>
          </w:tcPr>
          <w:p w14:paraId="442194E1">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大气环境</w:t>
            </w:r>
          </w:p>
        </w:tc>
        <w:tc>
          <w:tcPr>
            <w:tcW w:w="1606" w:type="dxa"/>
            <w:noWrap w:val="0"/>
            <w:vAlign w:val="center"/>
          </w:tcPr>
          <w:p w14:paraId="7C35D80C">
            <w:pPr>
              <w:adjustRightInd w:val="0"/>
              <w:snapToGrid w:val="0"/>
              <w:jc w:val="center"/>
              <w:rPr>
                <w:rFonts w:hint="default" w:ascii="Times New Roman" w:hAnsi="Times New Roman" w:eastAsia="宋体" w:cs="Times New Roman"/>
                <w:color w:val="auto"/>
                <w:sz w:val="24"/>
                <w:szCs w:val="24"/>
                <w:lang w:val="en-US"/>
              </w:rPr>
            </w:pPr>
            <w:r>
              <w:rPr>
                <w:rFonts w:hint="default" w:ascii="Times New Roman" w:hAnsi="Times New Roman" w:eastAsia="宋体" w:cs="Times New Roman"/>
                <w:color w:val="auto"/>
                <w:sz w:val="24"/>
                <w:szCs w:val="24"/>
                <w:lang w:val="en-US" w:eastAsia="zh-CN"/>
              </w:rPr>
              <w:t>车辆运输</w:t>
            </w:r>
            <w:r>
              <w:rPr>
                <w:rFonts w:hint="eastAsia" w:ascii="Times New Roman" w:hAnsi="Times New Roman" w:eastAsia="宋体" w:cs="Times New Roman"/>
                <w:color w:val="auto"/>
                <w:sz w:val="24"/>
                <w:szCs w:val="24"/>
                <w:lang w:val="en-US" w:eastAsia="zh-CN"/>
              </w:rPr>
              <w:t>扬尘</w:t>
            </w:r>
          </w:p>
        </w:tc>
        <w:tc>
          <w:tcPr>
            <w:tcW w:w="1518" w:type="dxa"/>
            <w:noWrap w:val="0"/>
            <w:vAlign w:val="center"/>
          </w:tcPr>
          <w:p w14:paraId="7C863300">
            <w:pPr>
              <w:adjustRightInd w:val="0"/>
              <w:snapToGrid w:val="0"/>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颗粒物</w:t>
            </w:r>
          </w:p>
        </w:tc>
        <w:tc>
          <w:tcPr>
            <w:tcW w:w="2141" w:type="dxa"/>
            <w:noWrap w:val="0"/>
            <w:vAlign w:val="center"/>
          </w:tcPr>
          <w:p w14:paraId="23471053">
            <w:pPr>
              <w:adjustRightInd w:val="0"/>
              <w:snapToGrid w:val="0"/>
              <w:jc w:val="center"/>
              <w:rPr>
                <w:rFonts w:hint="default" w:ascii="Times New Roman" w:hAnsi="Times New Roman" w:eastAsia="宋体" w:cs="Times New Roman"/>
                <w:color w:val="auto"/>
                <w:sz w:val="24"/>
                <w:szCs w:val="24"/>
              </w:rPr>
            </w:pPr>
            <w:r>
              <w:rPr>
                <w:rFonts w:hint="eastAsia" w:ascii="Times New Roman" w:hAnsi="Times New Roman" w:eastAsia="宋体" w:cs="Times New Roman"/>
                <w:color w:val="auto"/>
                <w:sz w:val="24"/>
                <w:szCs w:val="24"/>
                <w:lang w:val="en-US" w:eastAsia="zh-CN"/>
              </w:rPr>
              <w:t>专用车辆+</w:t>
            </w:r>
            <w:r>
              <w:rPr>
                <w:rFonts w:hint="default" w:ascii="Times New Roman" w:hAnsi="Times New Roman" w:eastAsia="宋体" w:cs="Times New Roman"/>
                <w:color w:val="auto"/>
                <w:sz w:val="24"/>
                <w:szCs w:val="24"/>
                <w:lang w:val="en-US" w:eastAsia="zh-CN"/>
              </w:rPr>
              <w:t>车辆遮盖+场区限速+洒</w:t>
            </w:r>
            <w:r>
              <w:rPr>
                <w:rFonts w:hint="eastAsia" w:ascii="Times New Roman" w:hAnsi="Times New Roman" w:eastAsia="宋体" w:cs="Times New Roman"/>
                <w:color w:val="auto"/>
                <w:sz w:val="24"/>
                <w:szCs w:val="24"/>
                <w:lang w:val="en-US" w:eastAsia="zh-CN"/>
              </w:rPr>
              <w:t>水</w:t>
            </w:r>
            <w:r>
              <w:rPr>
                <w:rFonts w:hint="default" w:ascii="Times New Roman" w:hAnsi="Times New Roman" w:eastAsia="宋体" w:cs="Times New Roman"/>
                <w:color w:val="auto"/>
                <w:sz w:val="24"/>
                <w:szCs w:val="24"/>
                <w:lang w:val="en-US" w:eastAsia="zh-CN"/>
              </w:rPr>
              <w:t>抑尘</w:t>
            </w:r>
          </w:p>
        </w:tc>
        <w:tc>
          <w:tcPr>
            <w:tcW w:w="1757" w:type="dxa"/>
            <w:vMerge w:val="restart"/>
            <w:noWrap w:val="0"/>
            <w:vAlign w:val="center"/>
          </w:tcPr>
          <w:p w14:paraId="5804F9BE">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《大气污染物综合排放标准》（GB16297-1996）表2无组织排放限值</w:t>
            </w:r>
          </w:p>
        </w:tc>
      </w:tr>
      <w:tr w14:paraId="7CE7D2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78" w:type="dxa"/>
            <w:vMerge w:val="continue"/>
            <w:noWrap w:val="0"/>
            <w:vAlign w:val="center"/>
          </w:tcPr>
          <w:p w14:paraId="7BA1EFA7">
            <w:pPr>
              <w:adjustRightInd w:val="0"/>
              <w:snapToGrid w:val="0"/>
              <w:jc w:val="center"/>
              <w:rPr>
                <w:rFonts w:hint="default" w:ascii="Times New Roman" w:hAnsi="Times New Roman" w:eastAsia="宋体" w:cs="Times New Roman"/>
                <w:color w:val="auto"/>
                <w:sz w:val="24"/>
                <w:szCs w:val="24"/>
              </w:rPr>
            </w:pPr>
          </w:p>
        </w:tc>
        <w:tc>
          <w:tcPr>
            <w:tcW w:w="1606" w:type="dxa"/>
            <w:noWrap w:val="0"/>
            <w:vAlign w:val="center"/>
          </w:tcPr>
          <w:p w14:paraId="08D97DAE">
            <w:pPr>
              <w:adjustRightInd w:val="0"/>
              <w:snapToGrid w:val="0"/>
              <w:jc w:val="center"/>
              <w:rPr>
                <w:rFonts w:hint="default" w:ascii="Times New Roman" w:hAnsi="Times New Roman" w:eastAsia="宋体" w:cs="Times New Roman"/>
                <w:color w:val="auto"/>
                <w:sz w:val="24"/>
                <w:szCs w:val="24"/>
                <w:lang w:val="en-US"/>
              </w:rPr>
            </w:pPr>
            <w:r>
              <w:rPr>
                <w:rFonts w:hint="eastAsia" w:ascii="Times New Roman" w:hAnsi="Times New Roman" w:eastAsia="宋体" w:cs="Times New Roman"/>
                <w:color w:val="auto"/>
                <w:sz w:val="24"/>
                <w:szCs w:val="24"/>
                <w:lang w:val="en-US" w:eastAsia="zh-CN"/>
              </w:rPr>
              <w:t>装卸扬尘</w:t>
            </w:r>
          </w:p>
        </w:tc>
        <w:tc>
          <w:tcPr>
            <w:tcW w:w="1518" w:type="dxa"/>
            <w:noWrap w:val="0"/>
            <w:vAlign w:val="center"/>
          </w:tcPr>
          <w:p w14:paraId="66BDD107">
            <w:pPr>
              <w:adjustRightInd w:val="0"/>
              <w:snapToGrid w:val="0"/>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颗粒物</w:t>
            </w:r>
          </w:p>
        </w:tc>
        <w:tc>
          <w:tcPr>
            <w:tcW w:w="2141" w:type="dxa"/>
            <w:noWrap w:val="0"/>
            <w:vAlign w:val="center"/>
          </w:tcPr>
          <w:p w14:paraId="42974D4C">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车辆装卸点应集中，倾倒垃圾时降低倾倒高度，并进行洒水降尘</w:t>
            </w:r>
          </w:p>
        </w:tc>
        <w:tc>
          <w:tcPr>
            <w:tcW w:w="1757" w:type="dxa"/>
            <w:vMerge w:val="continue"/>
            <w:noWrap w:val="0"/>
            <w:vAlign w:val="center"/>
          </w:tcPr>
          <w:p w14:paraId="34D642AB">
            <w:pPr>
              <w:adjustRightInd w:val="0"/>
              <w:snapToGrid w:val="0"/>
              <w:jc w:val="center"/>
              <w:rPr>
                <w:rFonts w:hint="default" w:ascii="Times New Roman" w:hAnsi="Times New Roman" w:eastAsia="宋体" w:cs="Times New Roman"/>
                <w:color w:val="auto"/>
                <w:sz w:val="24"/>
                <w:szCs w:val="24"/>
              </w:rPr>
            </w:pPr>
          </w:p>
        </w:tc>
      </w:tr>
      <w:tr w14:paraId="1F5FE6B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78" w:type="dxa"/>
            <w:vMerge w:val="continue"/>
            <w:noWrap w:val="0"/>
            <w:vAlign w:val="center"/>
          </w:tcPr>
          <w:p w14:paraId="60A2565B">
            <w:pPr>
              <w:adjustRightInd w:val="0"/>
              <w:snapToGrid w:val="0"/>
              <w:jc w:val="center"/>
              <w:rPr>
                <w:rFonts w:hint="default" w:ascii="Times New Roman" w:hAnsi="Times New Roman" w:eastAsia="宋体" w:cs="Times New Roman"/>
                <w:color w:val="auto"/>
                <w:sz w:val="24"/>
                <w:szCs w:val="24"/>
              </w:rPr>
            </w:pPr>
          </w:p>
        </w:tc>
        <w:tc>
          <w:tcPr>
            <w:tcW w:w="1606" w:type="dxa"/>
            <w:noWrap w:val="0"/>
            <w:vAlign w:val="center"/>
          </w:tcPr>
          <w:p w14:paraId="5AD9BEB1">
            <w:pPr>
              <w:adjustRightInd w:val="0"/>
              <w:snapToGrid w:val="0"/>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堆</w:t>
            </w:r>
            <w:r>
              <w:rPr>
                <w:rFonts w:hint="eastAsia" w:cs="Times New Roman"/>
                <w:color w:val="auto"/>
                <w:sz w:val="24"/>
                <w:szCs w:val="24"/>
                <w:lang w:val="en-US" w:eastAsia="zh-CN"/>
              </w:rPr>
              <w:t>存</w:t>
            </w:r>
            <w:r>
              <w:rPr>
                <w:rFonts w:hint="eastAsia" w:ascii="Times New Roman" w:hAnsi="Times New Roman" w:eastAsia="宋体" w:cs="Times New Roman"/>
                <w:color w:val="auto"/>
                <w:sz w:val="24"/>
                <w:szCs w:val="24"/>
                <w:lang w:val="en-US" w:eastAsia="zh-CN"/>
              </w:rPr>
              <w:t>粉尘</w:t>
            </w:r>
          </w:p>
        </w:tc>
        <w:tc>
          <w:tcPr>
            <w:tcW w:w="1518" w:type="dxa"/>
            <w:noWrap w:val="0"/>
            <w:vAlign w:val="center"/>
          </w:tcPr>
          <w:p w14:paraId="5D3113F7">
            <w:pPr>
              <w:adjustRightInd w:val="0"/>
              <w:snapToGrid w:val="0"/>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颗粒物</w:t>
            </w:r>
          </w:p>
        </w:tc>
        <w:tc>
          <w:tcPr>
            <w:tcW w:w="2141" w:type="dxa"/>
            <w:noWrap w:val="0"/>
            <w:vAlign w:val="center"/>
          </w:tcPr>
          <w:p w14:paraId="28EC812F">
            <w:pPr>
              <w:adjustRightInd w:val="0"/>
              <w:snapToGrid w:val="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场区四周布设总长约725m的防风抑散网，并结合喷淋等抑尘设施</w:t>
            </w:r>
            <w:r>
              <w:rPr>
                <w:rFonts w:hint="eastAsia" w:ascii="Times New Roman" w:hAnsi="Times New Roman" w:eastAsia="宋体" w:cs="Times New Roman"/>
                <w:color w:val="auto"/>
                <w:sz w:val="24"/>
                <w:szCs w:val="24"/>
                <w:lang w:val="en-US" w:eastAsia="zh-CN"/>
              </w:rPr>
              <w:t>，分区堆放，防尘网覆盖</w:t>
            </w:r>
          </w:p>
        </w:tc>
        <w:tc>
          <w:tcPr>
            <w:tcW w:w="1757" w:type="dxa"/>
            <w:vMerge w:val="continue"/>
            <w:noWrap w:val="0"/>
            <w:vAlign w:val="center"/>
          </w:tcPr>
          <w:p w14:paraId="29866196">
            <w:pPr>
              <w:adjustRightInd w:val="0"/>
              <w:snapToGrid w:val="0"/>
              <w:jc w:val="center"/>
              <w:rPr>
                <w:rFonts w:hint="default" w:ascii="Times New Roman" w:hAnsi="Times New Roman" w:eastAsia="宋体" w:cs="Times New Roman"/>
                <w:color w:val="auto"/>
                <w:sz w:val="24"/>
                <w:szCs w:val="24"/>
              </w:rPr>
            </w:pPr>
          </w:p>
        </w:tc>
      </w:tr>
      <w:tr w14:paraId="1D8CEA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78" w:type="dxa"/>
            <w:vMerge w:val="restart"/>
            <w:noWrap w:val="0"/>
            <w:vAlign w:val="center"/>
          </w:tcPr>
          <w:p w14:paraId="297952AE">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地表水环境</w:t>
            </w:r>
          </w:p>
        </w:tc>
        <w:tc>
          <w:tcPr>
            <w:tcW w:w="1606" w:type="dxa"/>
            <w:noWrap w:val="0"/>
            <w:vAlign w:val="center"/>
          </w:tcPr>
          <w:p w14:paraId="37E91899">
            <w:pPr>
              <w:adjustRightInd w:val="0"/>
              <w:snapToGrid w:val="0"/>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生活污水</w:t>
            </w:r>
          </w:p>
        </w:tc>
        <w:tc>
          <w:tcPr>
            <w:tcW w:w="1518" w:type="dxa"/>
            <w:noWrap w:val="0"/>
            <w:vAlign w:val="center"/>
          </w:tcPr>
          <w:p w14:paraId="7059D87D">
            <w:pPr>
              <w:adjustRightInd w:val="0"/>
              <w:snapToGrid w:val="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COD、BOD</w:t>
            </w:r>
            <w:r>
              <w:rPr>
                <w:rFonts w:hint="default" w:ascii="Times New Roman" w:hAnsi="Times New Roman" w:eastAsia="宋体" w:cs="Times New Roman"/>
                <w:color w:val="auto"/>
                <w:sz w:val="24"/>
                <w:szCs w:val="24"/>
                <w:vertAlign w:val="subscript"/>
                <w:lang w:val="en-US" w:eastAsia="zh-CN"/>
              </w:rPr>
              <w:t>5</w:t>
            </w:r>
            <w:r>
              <w:rPr>
                <w:rFonts w:hint="default" w:ascii="Times New Roman" w:hAnsi="Times New Roman" w:eastAsia="宋体" w:cs="Times New Roman"/>
                <w:color w:val="auto"/>
                <w:sz w:val="24"/>
                <w:szCs w:val="24"/>
                <w:lang w:val="en-US" w:eastAsia="zh-CN"/>
              </w:rPr>
              <w:t>、SS、NH</w:t>
            </w:r>
            <w:r>
              <w:rPr>
                <w:rFonts w:hint="default" w:ascii="Times New Roman" w:hAnsi="Times New Roman" w:eastAsia="宋体" w:cs="Times New Roman"/>
                <w:color w:val="auto"/>
                <w:sz w:val="24"/>
                <w:szCs w:val="24"/>
                <w:vertAlign w:val="subscript"/>
                <w:lang w:val="en-US" w:eastAsia="zh-CN"/>
              </w:rPr>
              <w:t>3</w:t>
            </w:r>
            <w:r>
              <w:rPr>
                <w:rFonts w:hint="default" w:ascii="Times New Roman" w:hAnsi="Times New Roman" w:eastAsia="宋体" w:cs="Times New Roman"/>
                <w:color w:val="auto"/>
                <w:sz w:val="24"/>
                <w:szCs w:val="24"/>
                <w:lang w:val="en-US" w:eastAsia="zh-CN"/>
              </w:rPr>
              <w:t>-N</w:t>
            </w:r>
          </w:p>
        </w:tc>
        <w:tc>
          <w:tcPr>
            <w:tcW w:w="2141" w:type="dxa"/>
            <w:noWrap w:val="0"/>
            <w:vAlign w:val="center"/>
          </w:tcPr>
          <w:p w14:paraId="32F19E70">
            <w:pPr>
              <w:adjustRightInd w:val="0"/>
              <w:snapToGrid w:val="0"/>
              <w:jc w:val="center"/>
              <w:rPr>
                <w:rFonts w:hint="default"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排入城北污水处理厂</w:t>
            </w:r>
          </w:p>
        </w:tc>
        <w:tc>
          <w:tcPr>
            <w:tcW w:w="1757" w:type="dxa"/>
            <w:vMerge w:val="restart"/>
            <w:noWrap w:val="0"/>
            <w:vAlign w:val="center"/>
          </w:tcPr>
          <w:p w14:paraId="082C9FC2">
            <w:pPr>
              <w:adjustRightInd w:val="0"/>
              <w:snapToGrid w:val="0"/>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不外排</w:t>
            </w:r>
          </w:p>
        </w:tc>
      </w:tr>
      <w:tr w14:paraId="6BE0FD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78" w:type="dxa"/>
            <w:vMerge w:val="continue"/>
            <w:noWrap w:val="0"/>
            <w:vAlign w:val="center"/>
          </w:tcPr>
          <w:p w14:paraId="5045AF88">
            <w:pPr>
              <w:adjustRightInd w:val="0"/>
              <w:snapToGrid w:val="0"/>
              <w:jc w:val="center"/>
              <w:rPr>
                <w:rFonts w:hint="default" w:ascii="Times New Roman" w:hAnsi="Times New Roman" w:eastAsia="宋体" w:cs="Times New Roman"/>
                <w:color w:val="auto"/>
                <w:sz w:val="24"/>
                <w:szCs w:val="24"/>
              </w:rPr>
            </w:pPr>
          </w:p>
        </w:tc>
        <w:tc>
          <w:tcPr>
            <w:tcW w:w="1606" w:type="dxa"/>
            <w:noWrap w:val="0"/>
            <w:vAlign w:val="center"/>
          </w:tcPr>
          <w:p w14:paraId="513434CA">
            <w:pPr>
              <w:adjustRightInd w:val="0"/>
              <w:snapToGrid w:val="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车辆冲洗废水、调配场收集的雨水</w:t>
            </w:r>
          </w:p>
        </w:tc>
        <w:tc>
          <w:tcPr>
            <w:tcW w:w="1518" w:type="dxa"/>
            <w:noWrap w:val="0"/>
            <w:vAlign w:val="center"/>
          </w:tcPr>
          <w:p w14:paraId="741D2A77">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COD、SS、NH</w:t>
            </w:r>
            <w:r>
              <w:rPr>
                <w:rFonts w:hint="default" w:ascii="Times New Roman" w:hAnsi="Times New Roman" w:eastAsia="宋体" w:cs="Times New Roman"/>
                <w:color w:val="auto"/>
                <w:sz w:val="24"/>
                <w:szCs w:val="24"/>
                <w:vertAlign w:val="subscript"/>
                <w:lang w:val="en-US" w:eastAsia="zh-CN"/>
              </w:rPr>
              <w:t>3</w:t>
            </w:r>
            <w:r>
              <w:rPr>
                <w:rFonts w:hint="default" w:ascii="Times New Roman" w:hAnsi="Times New Roman" w:eastAsia="宋体" w:cs="Times New Roman"/>
                <w:color w:val="auto"/>
                <w:sz w:val="24"/>
                <w:szCs w:val="24"/>
                <w:lang w:val="en-US" w:eastAsia="zh-CN"/>
              </w:rPr>
              <w:t>-N</w:t>
            </w:r>
          </w:p>
        </w:tc>
        <w:tc>
          <w:tcPr>
            <w:tcW w:w="2141" w:type="dxa"/>
            <w:noWrap w:val="0"/>
            <w:vAlign w:val="center"/>
          </w:tcPr>
          <w:p w14:paraId="28048565">
            <w:pPr>
              <w:adjustRightInd w:val="0"/>
              <w:snapToGrid w:val="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全部收集后经沉淀池处理后回用</w:t>
            </w:r>
          </w:p>
        </w:tc>
        <w:tc>
          <w:tcPr>
            <w:tcW w:w="1757" w:type="dxa"/>
            <w:vMerge w:val="continue"/>
            <w:noWrap w:val="0"/>
            <w:vAlign w:val="center"/>
          </w:tcPr>
          <w:p w14:paraId="1A474537">
            <w:pPr>
              <w:adjustRightInd w:val="0"/>
              <w:snapToGrid w:val="0"/>
              <w:jc w:val="center"/>
              <w:rPr>
                <w:rFonts w:hint="default" w:ascii="Times New Roman" w:hAnsi="Times New Roman" w:eastAsia="宋体" w:cs="Times New Roman"/>
                <w:color w:val="auto"/>
                <w:sz w:val="24"/>
                <w:szCs w:val="24"/>
              </w:rPr>
            </w:pPr>
          </w:p>
        </w:tc>
      </w:tr>
      <w:tr w14:paraId="769300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78" w:type="dxa"/>
            <w:noWrap w:val="0"/>
            <w:vAlign w:val="center"/>
          </w:tcPr>
          <w:p w14:paraId="71F53257">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声环境</w:t>
            </w:r>
          </w:p>
        </w:tc>
        <w:tc>
          <w:tcPr>
            <w:tcW w:w="1606" w:type="dxa"/>
            <w:noWrap w:val="0"/>
            <w:vAlign w:val="center"/>
          </w:tcPr>
          <w:p w14:paraId="33394561">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厂界四周</w:t>
            </w:r>
          </w:p>
        </w:tc>
        <w:tc>
          <w:tcPr>
            <w:tcW w:w="1518" w:type="dxa"/>
            <w:noWrap w:val="0"/>
            <w:vAlign w:val="center"/>
          </w:tcPr>
          <w:p w14:paraId="7B963097">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等效连续A声级</w:t>
            </w:r>
          </w:p>
        </w:tc>
        <w:tc>
          <w:tcPr>
            <w:tcW w:w="2141" w:type="dxa"/>
            <w:noWrap w:val="0"/>
            <w:vAlign w:val="center"/>
          </w:tcPr>
          <w:p w14:paraId="0D590BF9">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val="en-US" w:eastAsia="zh-CN"/>
              </w:rPr>
              <w:t>采用低噪声设备，对高噪声设备采取减振隔声措施，绿化措施，车辆减速慢行，禁止鸣笛</w:t>
            </w:r>
          </w:p>
        </w:tc>
        <w:tc>
          <w:tcPr>
            <w:tcW w:w="1757" w:type="dxa"/>
            <w:noWrap w:val="0"/>
            <w:vAlign w:val="center"/>
          </w:tcPr>
          <w:p w14:paraId="21CA89D3">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《工业企业厂界环境噪声排放标准》（GB12348--2008）</w:t>
            </w:r>
            <w:r>
              <w:rPr>
                <w:rFonts w:hint="default" w:ascii="Times New Roman" w:hAnsi="Times New Roman" w:eastAsia="宋体" w:cs="Times New Roman"/>
                <w:color w:val="auto"/>
                <w:sz w:val="24"/>
                <w:szCs w:val="24"/>
                <w:lang w:val="en-US" w:eastAsia="zh-CN"/>
              </w:rPr>
              <w:t>中2</w:t>
            </w:r>
            <w:r>
              <w:rPr>
                <w:rFonts w:hint="default" w:ascii="Times New Roman" w:hAnsi="Times New Roman" w:eastAsia="宋体" w:cs="Times New Roman"/>
                <w:color w:val="auto"/>
                <w:sz w:val="24"/>
                <w:szCs w:val="24"/>
              </w:rPr>
              <w:t>类标准</w:t>
            </w:r>
          </w:p>
        </w:tc>
      </w:tr>
      <w:tr w14:paraId="03197A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78" w:type="dxa"/>
            <w:noWrap w:val="0"/>
            <w:vAlign w:val="center"/>
          </w:tcPr>
          <w:p w14:paraId="76783DF0">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电磁辐射</w:t>
            </w:r>
          </w:p>
        </w:tc>
        <w:tc>
          <w:tcPr>
            <w:tcW w:w="1606" w:type="dxa"/>
            <w:noWrap w:val="0"/>
            <w:vAlign w:val="center"/>
          </w:tcPr>
          <w:p w14:paraId="38BFBB2C">
            <w:pPr>
              <w:adjustRightInd w:val="0"/>
              <w:snapToGrid w:val="0"/>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w:t>
            </w:r>
          </w:p>
        </w:tc>
        <w:tc>
          <w:tcPr>
            <w:tcW w:w="1518" w:type="dxa"/>
            <w:noWrap w:val="0"/>
            <w:vAlign w:val="center"/>
          </w:tcPr>
          <w:p w14:paraId="22199F16">
            <w:pPr>
              <w:adjustRightInd w:val="0"/>
              <w:snapToGrid w:val="0"/>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w:t>
            </w:r>
          </w:p>
        </w:tc>
        <w:tc>
          <w:tcPr>
            <w:tcW w:w="2141" w:type="dxa"/>
            <w:noWrap w:val="0"/>
            <w:vAlign w:val="center"/>
          </w:tcPr>
          <w:p w14:paraId="377222E7">
            <w:pPr>
              <w:adjustRightInd w:val="0"/>
              <w:snapToGrid w:val="0"/>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w:t>
            </w:r>
          </w:p>
        </w:tc>
        <w:tc>
          <w:tcPr>
            <w:tcW w:w="1757" w:type="dxa"/>
            <w:noWrap w:val="0"/>
            <w:vAlign w:val="center"/>
          </w:tcPr>
          <w:p w14:paraId="6F90EF09">
            <w:pPr>
              <w:adjustRightInd w:val="0"/>
              <w:snapToGrid w:val="0"/>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w:t>
            </w:r>
          </w:p>
        </w:tc>
      </w:tr>
      <w:tr w14:paraId="6D225B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78" w:type="dxa"/>
            <w:noWrap w:val="0"/>
            <w:vAlign w:val="center"/>
          </w:tcPr>
          <w:p w14:paraId="51BBF0C0">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固体废物</w:t>
            </w:r>
          </w:p>
        </w:tc>
        <w:tc>
          <w:tcPr>
            <w:tcW w:w="7022" w:type="dxa"/>
            <w:gridSpan w:val="4"/>
            <w:noWrap w:val="0"/>
            <w:vAlign w:val="center"/>
          </w:tcPr>
          <w:p w14:paraId="62BBE7BF">
            <w:pPr>
              <w:adjustRightInd w:val="0"/>
              <w:snapToGrid w:val="0"/>
              <w:jc w:val="center"/>
              <w:rPr>
                <w:rFonts w:hint="default" w:ascii="Times New Roman" w:hAnsi="Times New Roman" w:eastAsia="宋体" w:cs="Times New Roman"/>
                <w:color w:val="auto"/>
                <w:sz w:val="24"/>
                <w:szCs w:val="24"/>
                <w:lang w:val="en-US"/>
              </w:rPr>
            </w:pPr>
            <w:r>
              <w:rPr>
                <w:rFonts w:hint="eastAsia" w:ascii="宋体" w:hAnsi="宋体" w:cs="宋体"/>
                <w:color w:val="auto"/>
                <w:sz w:val="24"/>
                <w:szCs w:val="24"/>
                <w:lang w:val="en-US" w:eastAsia="zh-CN"/>
              </w:rPr>
              <w:t>生活垃圾集中收集后由环卫部门统一处理，污泥定期清掏运至建筑垃圾填埋场处置，废矿物油暂存在危险废物贮存点委托有资质单位处置</w:t>
            </w:r>
          </w:p>
        </w:tc>
      </w:tr>
      <w:tr w14:paraId="17F958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78" w:type="dxa"/>
            <w:noWrap w:val="0"/>
            <w:vAlign w:val="center"/>
          </w:tcPr>
          <w:p w14:paraId="440305AB">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土壤及地下水</w:t>
            </w:r>
          </w:p>
          <w:p w14:paraId="6E33EDAC">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污染防治措施</w:t>
            </w:r>
          </w:p>
        </w:tc>
        <w:tc>
          <w:tcPr>
            <w:tcW w:w="7022" w:type="dxa"/>
            <w:gridSpan w:val="4"/>
            <w:noWrap w:val="0"/>
            <w:vAlign w:val="top"/>
          </w:tcPr>
          <w:p w14:paraId="569F8CA7">
            <w:pPr>
              <w:adjustRightInd w:val="0"/>
              <w:snapToGrid w:val="0"/>
              <w:jc w:val="left"/>
              <w:rPr>
                <w:rFonts w:hint="default" w:ascii="Times New Roman" w:hAnsi="Times New Roman" w:eastAsia="宋体" w:cs="Times New Roman"/>
                <w:color w:val="auto"/>
                <w:sz w:val="24"/>
                <w:szCs w:val="24"/>
              </w:rPr>
            </w:pPr>
            <w:r>
              <w:rPr>
                <w:rFonts w:hint="default" w:ascii="Times New Roman" w:hAnsi="Times New Roman" w:cs="Times New Roman"/>
                <w:color w:val="auto"/>
                <w:sz w:val="24"/>
                <w:highlight w:val="none"/>
              </w:rPr>
              <w:t>分区防渗：</w:t>
            </w:r>
            <w:r>
              <w:rPr>
                <w:rFonts w:hint="default" w:ascii="Times New Roman" w:hAnsi="Times New Roman" w:eastAsia="宋体" w:cs="Times New Roman"/>
                <w:color w:val="auto"/>
                <w:sz w:val="24"/>
                <w:highlight w:val="none"/>
                <w:lang w:val="en-US" w:eastAsia="zh-CN"/>
              </w:rPr>
              <w:t>危废贮存点</w:t>
            </w:r>
            <w:r>
              <w:rPr>
                <w:rFonts w:hint="default" w:ascii="Times New Roman" w:hAnsi="Times New Roman" w:cs="Times New Roman"/>
                <w:color w:val="auto"/>
                <w:sz w:val="24"/>
                <w:highlight w:val="none"/>
              </w:rPr>
              <w:t>设置为重点防渗区，</w:t>
            </w:r>
            <w:r>
              <w:rPr>
                <w:rFonts w:hint="eastAsia" w:ascii="Times New Roman" w:hAnsi="Times New Roman" w:cs="Times New Roman"/>
                <w:color w:val="auto"/>
                <w:sz w:val="24"/>
                <w:highlight w:val="none"/>
                <w:lang w:val="en-US" w:eastAsia="zh-CN"/>
              </w:rPr>
              <w:t>沉淀池</w:t>
            </w:r>
            <w:r>
              <w:rPr>
                <w:rFonts w:hint="default" w:ascii="Times New Roman" w:hAnsi="Times New Roman" w:cs="Times New Roman"/>
                <w:color w:val="auto"/>
                <w:sz w:val="24"/>
                <w:highlight w:val="none"/>
              </w:rPr>
              <w:t>设置为一般防渗区，其他区域为简单防渗区。</w:t>
            </w:r>
          </w:p>
        </w:tc>
      </w:tr>
      <w:tr w14:paraId="00CAA7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78" w:type="dxa"/>
            <w:noWrap w:val="0"/>
            <w:vAlign w:val="center"/>
          </w:tcPr>
          <w:p w14:paraId="27A5BA6D">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生态保护措施</w:t>
            </w:r>
          </w:p>
        </w:tc>
        <w:tc>
          <w:tcPr>
            <w:tcW w:w="7022" w:type="dxa"/>
            <w:gridSpan w:val="4"/>
            <w:noWrap w:val="0"/>
            <w:vAlign w:val="center"/>
          </w:tcPr>
          <w:p w14:paraId="7CA34D5B">
            <w:pPr>
              <w:adjustRightInd w:val="0"/>
              <w:snapToGrid w:val="0"/>
              <w:jc w:val="center"/>
              <w:rPr>
                <w:rFonts w:hint="eastAsia" w:ascii="Times New Roman" w:hAnsi="Times New Roman" w:eastAsia="宋体" w:cs="Times New Roman"/>
                <w:color w:val="auto"/>
                <w:sz w:val="24"/>
                <w:szCs w:val="24"/>
                <w:lang w:val="en-US" w:eastAsia="zh-CN"/>
              </w:rPr>
            </w:pPr>
            <w:r>
              <w:rPr>
                <w:rFonts w:hint="eastAsia" w:ascii="Times New Roman" w:hAnsi="Times New Roman" w:eastAsia="宋体" w:cs="Times New Roman"/>
                <w:color w:val="auto"/>
                <w:sz w:val="24"/>
                <w:szCs w:val="24"/>
                <w:lang w:val="en-US" w:eastAsia="zh-CN"/>
              </w:rPr>
              <w:t>/</w:t>
            </w:r>
          </w:p>
        </w:tc>
      </w:tr>
      <w:tr w14:paraId="397595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78" w:type="dxa"/>
            <w:noWrap w:val="0"/>
            <w:vAlign w:val="center"/>
          </w:tcPr>
          <w:p w14:paraId="7ECE8110">
            <w:pPr>
              <w:adjustRightInd w:val="0"/>
              <w:snapToGrid w:val="0"/>
              <w:jc w:val="center"/>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spacing w:val="-8"/>
                <w:sz w:val="24"/>
                <w:szCs w:val="24"/>
              </w:rPr>
              <w:t>环境风险</w:t>
            </w:r>
          </w:p>
          <w:p w14:paraId="11A44EBD">
            <w:pPr>
              <w:adjustRightInd w:val="0"/>
              <w:snapToGrid w:val="0"/>
              <w:jc w:val="center"/>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spacing w:val="-8"/>
                <w:sz w:val="24"/>
                <w:szCs w:val="24"/>
              </w:rPr>
              <w:t>防范措施</w:t>
            </w:r>
          </w:p>
        </w:tc>
        <w:tc>
          <w:tcPr>
            <w:tcW w:w="7022" w:type="dxa"/>
            <w:gridSpan w:val="4"/>
            <w:noWrap w:val="0"/>
            <w:vAlign w:val="center"/>
          </w:tcPr>
          <w:p w14:paraId="3CE316F4">
            <w:pPr>
              <w:adjustRightInd w:val="0"/>
              <w:snapToGrid w:val="0"/>
              <w:jc w:val="center"/>
              <w:rPr>
                <w:rFonts w:hint="eastAsia" w:ascii="Times New Roman" w:hAnsi="Times New Roman" w:eastAsia="宋体" w:cs="Times New Roman"/>
                <w:color w:val="auto"/>
                <w:sz w:val="24"/>
                <w:szCs w:val="24"/>
                <w:lang w:eastAsia="zh-CN"/>
              </w:rPr>
            </w:pPr>
            <w:r>
              <w:rPr>
                <w:rFonts w:hint="eastAsia" w:ascii="Times New Roman" w:hAnsi="Times New Roman" w:eastAsia="宋体" w:cs="Times New Roman"/>
                <w:color w:val="auto"/>
                <w:sz w:val="24"/>
                <w:highlight w:val="none"/>
                <w:lang w:eastAsia="zh-CN"/>
              </w:rPr>
              <w:t>编制《突发环境事件应急预案》，完成备案，预案内容与昌吉市地方突发环境事件应急预案衔接；定期组织应急演练，落实风险常态化管控。</w:t>
            </w:r>
          </w:p>
        </w:tc>
      </w:tr>
      <w:tr w14:paraId="04C33F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778" w:type="dxa"/>
            <w:noWrap w:val="0"/>
            <w:vAlign w:val="center"/>
          </w:tcPr>
          <w:p w14:paraId="3A80DE4E">
            <w:pPr>
              <w:adjustRightInd w:val="0"/>
              <w:snapToGrid w:val="0"/>
              <w:jc w:val="center"/>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spacing w:val="-8"/>
                <w:sz w:val="24"/>
                <w:szCs w:val="24"/>
              </w:rPr>
              <w:t>其他环境</w:t>
            </w:r>
          </w:p>
          <w:p w14:paraId="5D95883D">
            <w:pPr>
              <w:adjustRightInd w:val="0"/>
              <w:snapToGrid w:val="0"/>
              <w:jc w:val="center"/>
              <w:rPr>
                <w:rFonts w:hint="default" w:ascii="Times New Roman" w:hAnsi="Times New Roman" w:eastAsia="宋体" w:cs="Times New Roman"/>
                <w:color w:val="auto"/>
                <w:spacing w:val="-8"/>
                <w:sz w:val="24"/>
                <w:szCs w:val="24"/>
              </w:rPr>
            </w:pPr>
            <w:r>
              <w:rPr>
                <w:rFonts w:hint="default" w:ascii="Times New Roman" w:hAnsi="Times New Roman" w:eastAsia="宋体" w:cs="Times New Roman"/>
                <w:color w:val="auto"/>
                <w:spacing w:val="-8"/>
                <w:sz w:val="24"/>
                <w:szCs w:val="24"/>
              </w:rPr>
              <w:t>管理要求</w:t>
            </w:r>
          </w:p>
        </w:tc>
        <w:tc>
          <w:tcPr>
            <w:tcW w:w="7022" w:type="dxa"/>
            <w:gridSpan w:val="4"/>
            <w:noWrap w:val="0"/>
            <w:vAlign w:val="top"/>
          </w:tcPr>
          <w:p w14:paraId="2FE8E184">
            <w:pPr>
              <w:adjustRightInd w:val="0"/>
              <w:snapToGrid w:val="0"/>
              <w:spacing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1、成立专门的责任机构，保证事故发生时组织相关力量及时控制事故的危害，</w:t>
            </w:r>
            <w:r>
              <w:rPr>
                <w:rFonts w:hint="eastAsia" w:ascii="Times New Roman" w:hAnsi="Times New Roman" w:eastAsia="宋体" w:cs="Times New Roman"/>
                <w:color w:val="auto"/>
                <w:sz w:val="24"/>
                <w:highlight w:val="none"/>
                <w:lang w:val="en-US" w:eastAsia="zh-CN"/>
              </w:rPr>
              <w:t>及时</w:t>
            </w:r>
            <w:r>
              <w:rPr>
                <w:rFonts w:hint="default" w:ascii="Times New Roman" w:hAnsi="Times New Roman" w:eastAsia="宋体" w:cs="Times New Roman"/>
                <w:color w:val="auto"/>
                <w:sz w:val="24"/>
                <w:highlight w:val="none"/>
              </w:rPr>
              <w:t>有效地控制事故污染，把事故危害减小到最少。</w:t>
            </w:r>
          </w:p>
          <w:p w14:paraId="538DDECC">
            <w:pPr>
              <w:adjustRightInd w:val="0"/>
              <w:snapToGrid w:val="0"/>
              <w:spacing w:line="360" w:lineRule="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2、健全各项制度，强化安全管理意识，禁止烟火，落实各项安全措施。</w:t>
            </w:r>
          </w:p>
          <w:p w14:paraId="7BCDD3FD">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default" w:ascii="Times New Roman" w:hAnsi="Times New Roman" w:eastAsia="宋体" w:cs="Times New Roman"/>
                <w:color w:val="auto"/>
                <w:sz w:val="24"/>
                <w:szCs w:val="24"/>
                <w:lang w:val="en-US" w:eastAsia="zh-CN"/>
              </w:rPr>
            </w:pPr>
          </w:p>
          <w:p w14:paraId="1705E54B">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default" w:ascii="Times New Roman" w:hAnsi="Times New Roman" w:eastAsia="宋体" w:cs="Times New Roman"/>
                <w:color w:val="auto"/>
                <w:sz w:val="24"/>
                <w:szCs w:val="24"/>
                <w:lang w:val="en-US" w:eastAsia="zh-CN"/>
              </w:rPr>
            </w:pPr>
          </w:p>
          <w:p w14:paraId="62279253">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default" w:ascii="Times New Roman" w:hAnsi="Times New Roman" w:eastAsia="宋体" w:cs="Times New Roman"/>
                <w:color w:val="auto"/>
                <w:sz w:val="24"/>
                <w:szCs w:val="24"/>
                <w:lang w:val="en-US" w:eastAsia="zh-CN"/>
              </w:rPr>
            </w:pPr>
          </w:p>
          <w:p w14:paraId="4D46A2D9">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default" w:ascii="Times New Roman" w:hAnsi="Times New Roman" w:eastAsia="宋体" w:cs="Times New Roman"/>
                <w:color w:val="auto"/>
                <w:sz w:val="24"/>
                <w:szCs w:val="24"/>
                <w:lang w:val="en-US" w:eastAsia="zh-CN"/>
              </w:rPr>
            </w:pPr>
          </w:p>
          <w:p w14:paraId="75963906">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default" w:ascii="Times New Roman" w:hAnsi="Times New Roman" w:eastAsia="宋体" w:cs="Times New Roman"/>
                <w:color w:val="auto"/>
                <w:sz w:val="24"/>
                <w:szCs w:val="24"/>
                <w:lang w:val="en-US" w:eastAsia="zh-CN"/>
              </w:rPr>
            </w:pPr>
          </w:p>
          <w:p w14:paraId="7EFC715A">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default" w:ascii="Times New Roman" w:hAnsi="Times New Roman" w:eastAsia="宋体" w:cs="Times New Roman"/>
                <w:color w:val="auto"/>
                <w:sz w:val="24"/>
                <w:szCs w:val="24"/>
                <w:lang w:val="en-US" w:eastAsia="zh-CN"/>
              </w:rPr>
            </w:pPr>
          </w:p>
          <w:p w14:paraId="7E09ABD7">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default" w:ascii="Times New Roman" w:hAnsi="Times New Roman" w:eastAsia="宋体" w:cs="Times New Roman"/>
                <w:color w:val="auto"/>
                <w:sz w:val="24"/>
                <w:szCs w:val="24"/>
                <w:lang w:val="en-US" w:eastAsia="zh-CN"/>
              </w:rPr>
            </w:pPr>
          </w:p>
          <w:p w14:paraId="22452C96">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default" w:ascii="Times New Roman" w:hAnsi="Times New Roman" w:eastAsia="宋体" w:cs="Times New Roman"/>
                <w:color w:val="auto"/>
                <w:sz w:val="24"/>
                <w:szCs w:val="24"/>
                <w:lang w:val="en-US" w:eastAsia="zh-CN"/>
              </w:rPr>
            </w:pPr>
          </w:p>
          <w:p w14:paraId="56B2EC28">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default" w:ascii="Times New Roman" w:hAnsi="Times New Roman" w:eastAsia="宋体" w:cs="Times New Roman"/>
                <w:color w:val="auto"/>
                <w:sz w:val="24"/>
                <w:szCs w:val="24"/>
                <w:lang w:val="en-US" w:eastAsia="zh-CN"/>
              </w:rPr>
            </w:pPr>
          </w:p>
          <w:p w14:paraId="7E7244B6">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default" w:ascii="Times New Roman" w:hAnsi="Times New Roman" w:eastAsia="宋体" w:cs="Times New Roman"/>
                <w:color w:val="auto"/>
                <w:sz w:val="24"/>
                <w:szCs w:val="24"/>
                <w:lang w:val="en-US" w:eastAsia="zh-CN"/>
              </w:rPr>
            </w:pPr>
          </w:p>
          <w:p w14:paraId="4E236FA2">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default" w:ascii="Times New Roman" w:hAnsi="Times New Roman" w:eastAsia="宋体" w:cs="Times New Roman"/>
                <w:color w:val="auto"/>
                <w:sz w:val="24"/>
                <w:szCs w:val="24"/>
                <w:lang w:val="en-US" w:eastAsia="zh-CN"/>
              </w:rPr>
            </w:pPr>
          </w:p>
          <w:p w14:paraId="312A4FD8">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default" w:ascii="Times New Roman" w:hAnsi="Times New Roman" w:eastAsia="宋体" w:cs="Times New Roman"/>
                <w:color w:val="auto"/>
                <w:sz w:val="24"/>
                <w:szCs w:val="24"/>
                <w:lang w:val="en-US" w:eastAsia="zh-CN"/>
              </w:rPr>
            </w:pPr>
          </w:p>
          <w:p w14:paraId="29FD6863">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default" w:ascii="Times New Roman" w:hAnsi="Times New Roman" w:eastAsia="宋体" w:cs="Times New Roman"/>
                <w:color w:val="auto"/>
                <w:sz w:val="24"/>
                <w:szCs w:val="24"/>
                <w:lang w:val="en-US" w:eastAsia="zh-CN"/>
              </w:rPr>
            </w:pPr>
          </w:p>
          <w:p w14:paraId="5EE3208A">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default" w:ascii="Times New Roman" w:hAnsi="Times New Roman" w:eastAsia="宋体" w:cs="Times New Roman"/>
                <w:color w:val="auto"/>
                <w:sz w:val="24"/>
                <w:szCs w:val="24"/>
                <w:lang w:val="en-US" w:eastAsia="zh-CN"/>
              </w:rPr>
            </w:pPr>
          </w:p>
          <w:p w14:paraId="26C918A7">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default" w:ascii="Times New Roman" w:hAnsi="Times New Roman" w:eastAsia="宋体" w:cs="Times New Roman"/>
                <w:color w:val="auto"/>
                <w:sz w:val="24"/>
                <w:szCs w:val="24"/>
                <w:lang w:val="en-US" w:eastAsia="zh-CN"/>
              </w:rPr>
            </w:pPr>
          </w:p>
          <w:p w14:paraId="695AB7CC">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default" w:ascii="Times New Roman" w:hAnsi="Times New Roman" w:eastAsia="宋体" w:cs="Times New Roman"/>
                <w:color w:val="auto"/>
                <w:sz w:val="24"/>
                <w:szCs w:val="24"/>
                <w:lang w:val="en-US" w:eastAsia="zh-CN"/>
              </w:rPr>
            </w:pPr>
          </w:p>
          <w:p w14:paraId="1F178C9B">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default" w:ascii="Times New Roman" w:hAnsi="Times New Roman" w:eastAsia="宋体" w:cs="Times New Roman"/>
                <w:color w:val="auto"/>
                <w:sz w:val="24"/>
                <w:szCs w:val="24"/>
                <w:lang w:val="en-US" w:eastAsia="zh-CN"/>
              </w:rPr>
            </w:pPr>
          </w:p>
          <w:p w14:paraId="146446A3">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default" w:ascii="Times New Roman" w:hAnsi="Times New Roman" w:eastAsia="宋体" w:cs="Times New Roman"/>
                <w:color w:val="auto"/>
                <w:sz w:val="24"/>
                <w:szCs w:val="24"/>
                <w:lang w:val="en-US" w:eastAsia="zh-CN"/>
              </w:rPr>
            </w:pPr>
          </w:p>
          <w:p w14:paraId="2DC205C9">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default" w:ascii="Times New Roman" w:hAnsi="Times New Roman" w:eastAsia="宋体" w:cs="Times New Roman"/>
                <w:color w:val="auto"/>
                <w:sz w:val="24"/>
                <w:szCs w:val="24"/>
                <w:lang w:val="en-US" w:eastAsia="zh-CN"/>
              </w:rPr>
            </w:pPr>
          </w:p>
          <w:p w14:paraId="1AF79485">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default" w:ascii="Times New Roman" w:hAnsi="Times New Roman" w:eastAsia="宋体" w:cs="Times New Roman"/>
                <w:color w:val="auto"/>
                <w:sz w:val="24"/>
                <w:szCs w:val="24"/>
                <w:lang w:val="en-US" w:eastAsia="zh-CN"/>
              </w:rPr>
            </w:pPr>
          </w:p>
          <w:p w14:paraId="0D707987">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default" w:ascii="Times New Roman" w:hAnsi="Times New Roman" w:eastAsia="宋体" w:cs="Times New Roman"/>
                <w:color w:val="auto"/>
                <w:sz w:val="24"/>
                <w:szCs w:val="24"/>
                <w:lang w:val="en-US" w:eastAsia="zh-CN"/>
              </w:rPr>
            </w:pPr>
          </w:p>
          <w:p w14:paraId="5A49924A">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default" w:ascii="Times New Roman" w:hAnsi="Times New Roman" w:eastAsia="宋体" w:cs="Times New Roman"/>
                <w:color w:val="auto"/>
                <w:sz w:val="24"/>
                <w:szCs w:val="24"/>
                <w:lang w:val="en-US" w:eastAsia="zh-CN"/>
              </w:rPr>
            </w:pPr>
          </w:p>
          <w:p w14:paraId="1F82BD4C">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default" w:ascii="Times New Roman" w:hAnsi="Times New Roman" w:eastAsia="宋体" w:cs="Times New Roman"/>
                <w:color w:val="auto"/>
                <w:sz w:val="24"/>
                <w:szCs w:val="24"/>
                <w:lang w:val="en-US" w:eastAsia="zh-CN"/>
              </w:rPr>
            </w:pPr>
          </w:p>
          <w:p w14:paraId="1F01B0B2">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default" w:ascii="Times New Roman" w:hAnsi="Times New Roman" w:eastAsia="宋体" w:cs="Times New Roman"/>
                <w:color w:val="auto"/>
                <w:sz w:val="24"/>
                <w:szCs w:val="24"/>
                <w:lang w:val="en-US" w:eastAsia="zh-CN"/>
              </w:rPr>
            </w:pPr>
          </w:p>
          <w:p w14:paraId="4B1B23C0">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default" w:ascii="Times New Roman" w:hAnsi="Times New Roman" w:eastAsia="宋体" w:cs="Times New Roman"/>
                <w:color w:val="auto"/>
                <w:sz w:val="24"/>
                <w:szCs w:val="24"/>
                <w:lang w:val="en-US" w:eastAsia="zh-CN"/>
              </w:rPr>
            </w:pPr>
          </w:p>
          <w:p w14:paraId="48C8B751">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default" w:ascii="Times New Roman" w:hAnsi="Times New Roman" w:eastAsia="宋体" w:cs="Times New Roman"/>
                <w:color w:val="auto"/>
                <w:sz w:val="24"/>
                <w:szCs w:val="24"/>
                <w:lang w:val="en-US" w:eastAsia="zh-CN"/>
              </w:rPr>
            </w:pPr>
          </w:p>
          <w:p w14:paraId="1F48EF5C">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default" w:ascii="Times New Roman" w:hAnsi="Times New Roman" w:eastAsia="宋体" w:cs="Times New Roman"/>
                <w:color w:val="auto"/>
                <w:sz w:val="24"/>
                <w:szCs w:val="24"/>
                <w:lang w:val="en-US" w:eastAsia="zh-CN"/>
              </w:rPr>
            </w:pPr>
          </w:p>
          <w:p w14:paraId="1A30FC89">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default" w:ascii="Times New Roman" w:hAnsi="Times New Roman" w:eastAsia="宋体" w:cs="Times New Roman"/>
                <w:color w:val="auto"/>
                <w:sz w:val="24"/>
                <w:szCs w:val="24"/>
                <w:lang w:val="en-US" w:eastAsia="zh-CN"/>
              </w:rPr>
            </w:pPr>
          </w:p>
          <w:p w14:paraId="77B8F5D4">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default" w:ascii="Times New Roman" w:hAnsi="Times New Roman" w:eastAsia="宋体" w:cs="Times New Roman"/>
                <w:color w:val="auto"/>
                <w:sz w:val="24"/>
                <w:szCs w:val="24"/>
                <w:lang w:val="en-US" w:eastAsia="zh-CN"/>
              </w:rPr>
            </w:pPr>
          </w:p>
          <w:p w14:paraId="1D2697AF">
            <w:pPr>
              <w:keepNext w:val="0"/>
              <w:keepLines w:val="0"/>
              <w:pageBreakBefore w:val="0"/>
              <w:widowControl w:val="0"/>
              <w:kinsoku/>
              <w:wordWrap/>
              <w:overflowPunct/>
              <w:topLinePunct w:val="0"/>
              <w:autoSpaceDE/>
              <w:autoSpaceDN/>
              <w:bidi w:val="0"/>
              <w:adjustRightInd w:val="0"/>
              <w:snapToGrid w:val="0"/>
              <w:spacing w:line="336" w:lineRule="auto"/>
              <w:ind w:firstLine="480" w:firstLineChars="200"/>
              <w:jc w:val="both"/>
              <w:textAlignment w:val="auto"/>
              <w:rPr>
                <w:rFonts w:hint="default" w:ascii="Times New Roman" w:hAnsi="Times New Roman" w:eastAsia="宋体" w:cs="Times New Roman"/>
                <w:color w:val="auto"/>
                <w:sz w:val="24"/>
                <w:szCs w:val="24"/>
                <w:lang w:val="en-US" w:eastAsia="zh-CN"/>
              </w:rPr>
            </w:pPr>
          </w:p>
          <w:p w14:paraId="422C943D">
            <w:pPr>
              <w:keepNext w:val="0"/>
              <w:keepLines w:val="0"/>
              <w:pageBreakBefore w:val="0"/>
              <w:widowControl w:val="0"/>
              <w:kinsoku/>
              <w:wordWrap/>
              <w:overflowPunct/>
              <w:topLinePunct w:val="0"/>
              <w:autoSpaceDE/>
              <w:autoSpaceDN/>
              <w:bidi w:val="0"/>
              <w:adjustRightInd w:val="0"/>
              <w:snapToGrid w:val="0"/>
              <w:spacing w:line="336" w:lineRule="auto"/>
              <w:jc w:val="both"/>
              <w:textAlignment w:val="auto"/>
              <w:rPr>
                <w:rFonts w:hint="default" w:ascii="Times New Roman" w:hAnsi="Times New Roman" w:eastAsia="宋体" w:cs="Times New Roman"/>
                <w:color w:val="auto"/>
                <w:sz w:val="24"/>
                <w:szCs w:val="24"/>
                <w:lang w:val="en-US" w:eastAsia="zh-CN"/>
              </w:rPr>
            </w:pPr>
          </w:p>
        </w:tc>
      </w:tr>
    </w:tbl>
    <w:p w14:paraId="74AE5C2F">
      <w:pPr>
        <w:pStyle w:val="24"/>
        <w:jc w:val="center"/>
        <w:outlineLvl w:val="0"/>
        <w:rPr>
          <w:rFonts w:ascii="黑体" w:hAnsi="黑体" w:eastAsia="黑体"/>
          <w:snapToGrid w:val="0"/>
          <w:color w:val="auto"/>
          <w:sz w:val="30"/>
          <w:szCs w:val="30"/>
        </w:rPr>
      </w:pPr>
      <w:r>
        <w:rPr>
          <w:snapToGrid w:val="0"/>
          <w:color w:val="auto"/>
        </w:rPr>
        <w:br w:type="page"/>
      </w:r>
      <w:r>
        <w:rPr>
          <w:rFonts w:hint="eastAsia" w:ascii="黑体" w:hAnsi="黑体" w:eastAsia="黑体"/>
          <w:snapToGrid w:val="0"/>
          <w:color w:val="auto"/>
          <w:sz w:val="30"/>
          <w:szCs w:val="30"/>
        </w:rPr>
        <w:t>六、结论</w:t>
      </w:r>
    </w:p>
    <w:tbl>
      <w:tblPr>
        <w:tblStyle w:val="27"/>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56C952D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noWrap w:val="0"/>
            <w:vAlign w:val="top"/>
          </w:tcPr>
          <w:p w14:paraId="09900DA4">
            <w:pPr>
              <w:keepNext w:val="0"/>
              <w:keepLines w:val="0"/>
              <w:pageBreakBefore w:val="0"/>
              <w:widowControl w:val="0"/>
              <w:kinsoku/>
              <w:wordWrap/>
              <w:overflowPunct/>
              <w:topLinePunct w:val="0"/>
              <w:autoSpaceDE/>
              <w:autoSpaceDN/>
              <w:bidi w:val="0"/>
              <w:adjustRightInd w:val="0"/>
              <w:snapToGrid/>
              <w:spacing w:line="560" w:lineRule="exact"/>
              <w:ind w:firstLine="480" w:firstLineChars="200"/>
              <w:jc w:val="both"/>
              <w:textAlignment w:val="auto"/>
              <w:rPr>
                <w:rFonts w:ascii="宋体" w:cs="宋体"/>
                <w:color w:val="auto"/>
                <w:sz w:val="24"/>
              </w:rPr>
            </w:pPr>
            <w:r>
              <w:rPr>
                <w:rFonts w:hint="eastAsia" w:ascii="宋体" w:cs="宋体"/>
                <w:color w:val="auto"/>
                <w:sz w:val="24"/>
                <w:lang w:val="en-US" w:eastAsia="zh-CN"/>
              </w:rPr>
              <w:t>本项目符合国家产业政策；采用的工艺技术成熟可行，通过采取有效的环保措施可实现达标排放，对周边环境的影响也能控制在可接受程度。建设单位在严格执行环保“三同时”制度，严格落实本报告提出的各项环保措施后，项目建设对环境的影响是可接受的。因此，从环保的角度分析，本项目的建设是可行的。</w:t>
            </w:r>
          </w:p>
        </w:tc>
      </w:tr>
    </w:tbl>
    <w:p w14:paraId="328D2726">
      <w:pPr>
        <w:rPr>
          <w:rFonts w:ascii="宋体"/>
          <w:color w:val="auto"/>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26865A0E">
      <w:pPr>
        <w:pStyle w:val="24"/>
        <w:adjustRightInd w:val="0"/>
        <w:snapToGrid w:val="0"/>
        <w:spacing w:before="0" w:beforeAutospacing="0" w:after="0" w:afterAutospacing="0" w:line="648" w:lineRule="auto"/>
        <w:outlineLvl w:val="0"/>
        <w:rPr>
          <w:rFonts w:ascii="黑体" w:hAnsi="黑体" w:eastAsia="黑体"/>
          <w:snapToGrid w:val="0"/>
          <w:color w:val="auto"/>
          <w:sz w:val="32"/>
          <w:szCs w:val="32"/>
        </w:rPr>
      </w:pPr>
      <w:r>
        <w:rPr>
          <w:rFonts w:hint="eastAsia" w:ascii="黑体" w:hAnsi="黑体" w:eastAsia="黑体"/>
          <w:snapToGrid w:val="0"/>
          <w:color w:val="auto"/>
          <w:sz w:val="32"/>
          <w:szCs w:val="32"/>
        </w:rPr>
        <w:t>附表</w:t>
      </w:r>
    </w:p>
    <w:p w14:paraId="2CEF40F8">
      <w:pPr>
        <w:pStyle w:val="24"/>
        <w:adjustRightInd w:val="0"/>
        <w:snapToGrid w:val="0"/>
        <w:spacing w:before="0" w:beforeAutospacing="0" w:after="0" w:afterAutospacing="0" w:line="240" w:lineRule="auto"/>
        <w:jc w:val="center"/>
        <w:outlineLvl w:val="0"/>
        <w:rPr>
          <w:rFonts w:hint="eastAsia" w:ascii="方正小标宋_GBK" w:hAnsi="黑体" w:eastAsia="方正小标宋_GBK"/>
          <w:snapToGrid w:val="0"/>
          <w:color w:val="auto"/>
          <w:sz w:val="38"/>
          <w:szCs w:val="38"/>
          <w:highlight w:val="none"/>
        </w:rPr>
      </w:pPr>
      <w:r>
        <w:rPr>
          <w:rFonts w:hint="eastAsia" w:ascii="方正小标宋_GBK" w:hAnsi="黑体" w:eastAsia="方正小标宋_GBK"/>
          <w:snapToGrid w:val="0"/>
          <w:color w:val="auto"/>
          <w:sz w:val="38"/>
          <w:szCs w:val="38"/>
          <w:highlight w:val="none"/>
        </w:rPr>
        <w:t>建设项目污染物排放量汇总表</w:t>
      </w:r>
    </w:p>
    <w:tbl>
      <w:tblPr>
        <w:tblStyle w:val="27"/>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88"/>
        <w:gridCol w:w="1417"/>
        <w:gridCol w:w="1701"/>
        <w:gridCol w:w="1276"/>
        <w:gridCol w:w="1701"/>
        <w:gridCol w:w="1559"/>
        <w:gridCol w:w="1761"/>
        <w:gridCol w:w="1743"/>
        <w:gridCol w:w="1042"/>
      </w:tblGrid>
      <w:tr w14:paraId="113D7E0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588" w:type="dxa"/>
            <w:tcBorders>
              <w:tl2br w:val="single" w:color="auto" w:sz="4" w:space="0"/>
            </w:tcBorders>
            <w:noWrap w:val="0"/>
            <w:tcMar>
              <w:left w:w="28" w:type="dxa"/>
              <w:right w:w="28" w:type="dxa"/>
            </w:tcMar>
            <w:vAlign w:val="center"/>
          </w:tcPr>
          <w:p w14:paraId="17707A71">
            <w:pPr>
              <w:pStyle w:val="34"/>
              <w:spacing w:beforeLines="0" w:afterLines="0" w:line="240" w:lineRule="auto"/>
              <w:jc w:val="right"/>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项目</w:t>
            </w:r>
          </w:p>
          <w:p w14:paraId="5279292B">
            <w:pPr>
              <w:pStyle w:val="34"/>
              <w:spacing w:beforeLines="0" w:afterLines="0" w:line="240" w:lineRule="auto"/>
              <w:jc w:val="left"/>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分类</w:t>
            </w:r>
          </w:p>
        </w:tc>
        <w:tc>
          <w:tcPr>
            <w:tcW w:w="1417" w:type="dxa"/>
            <w:noWrap w:val="0"/>
            <w:tcMar>
              <w:left w:w="28" w:type="dxa"/>
              <w:right w:w="28" w:type="dxa"/>
            </w:tcMar>
            <w:vAlign w:val="center"/>
          </w:tcPr>
          <w:p w14:paraId="11A9DDC8">
            <w:pPr>
              <w:pStyle w:val="34"/>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污染物名称</w:t>
            </w:r>
          </w:p>
        </w:tc>
        <w:tc>
          <w:tcPr>
            <w:tcW w:w="1701" w:type="dxa"/>
            <w:noWrap w:val="0"/>
            <w:tcMar>
              <w:left w:w="28" w:type="dxa"/>
              <w:right w:w="28" w:type="dxa"/>
            </w:tcMar>
            <w:vAlign w:val="center"/>
          </w:tcPr>
          <w:p w14:paraId="515767CF">
            <w:pPr>
              <w:pStyle w:val="34"/>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现有工程</w:t>
            </w:r>
          </w:p>
          <w:p w14:paraId="29D1E414">
            <w:pPr>
              <w:pStyle w:val="34"/>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排放量（固体废物产生量）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1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①</w:t>
            </w:r>
            <w:r>
              <w:rPr>
                <w:rFonts w:hint="default" w:ascii="Times New Roman" w:hAnsi="Times New Roman" w:eastAsia="黑体" w:cs="Times New Roman"/>
                <w:snapToGrid w:val="0"/>
                <w:color w:val="auto"/>
                <w:spacing w:val="-6"/>
                <w:kern w:val="21"/>
                <w:szCs w:val="21"/>
                <w:highlight w:val="none"/>
              </w:rPr>
              <w:fldChar w:fldCharType="end"/>
            </w:r>
          </w:p>
        </w:tc>
        <w:tc>
          <w:tcPr>
            <w:tcW w:w="1276" w:type="dxa"/>
            <w:noWrap w:val="0"/>
            <w:tcMar>
              <w:left w:w="28" w:type="dxa"/>
              <w:right w:w="28" w:type="dxa"/>
            </w:tcMar>
            <w:vAlign w:val="center"/>
          </w:tcPr>
          <w:p w14:paraId="22D8FA01">
            <w:pPr>
              <w:pStyle w:val="34"/>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现有工程</w:t>
            </w:r>
          </w:p>
          <w:p w14:paraId="79347B24">
            <w:pPr>
              <w:pStyle w:val="34"/>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许可排放量</w:t>
            </w:r>
          </w:p>
          <w:p w14:paraId="62592FD8">
            <w:pPr>
              <w:pStyle w:val="34"/>
              <w:spacing w:beforeLines="0" w:afterLines="0"/>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2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snapToGrid w:val="0"/>
                <w:color w:val="auto"/>
                <w:spacing w:val="-6"/>
                <w:kern w:val="21"/>
                <w:szCs w:val="21"/>
                <w:highlight w:val="none"/>
              </w:rPr>
              <w:t>②</w:t>
            </w:r>
            <w:r>
              <w:rPr>
                <w:rFonts w:hint="default" w:ascii="Times New Roman" w:hAnsi="Times New Roman" w:eastAsia="黑体" w:cs="Times New Roman"/>
                <w:snapToGrid w:val="0"/>
                <w:color w:val="auto"/>
                <w:spacing w:val="-6"/>
                <w:kern w:val="21"/>
                <w:szCs w:val="21"/>
                <w:highlight w:val="none"/>
              </w:rPr>
              <w:fldChar w:fldCharType="end"/>
            </w:r>
          </w:p>
        </w:tc>
        <w:tc>
          <w:tcPr>
            <w:tcW w:w="1701" w:type="dxa"/>
            <w:noWrap w:val="0"/>
            <w:tcMar>
              <w:left w:w="28" w:type="dxa"/>
              <w:right w:w="28" w:type="dxa"/>
            </w:tcMar>
            <w:vAlign w:val="center"/>
          </w:tcPr>
          <w:p w14:paraId="59E78177">
            <w:pPr>
              <w:pStyle w:val="34"/>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在建工程</w:t>
            </w:r>
          </w:p>
          <w:p w14:paraId="7F82C302">
            <w:pPr>
              <w:pStyle w:val="34"/>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排放量（固体废物产生量）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3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③</w:t>
            </w:r>
            <w:r>
              <w:rPr>
                <w:rFonts w:hint="default" w:ascii="Times New Roman" w:hAnsi="Times New Roman" w:eastAsia="黑体" w:cs="Times New Roman"/>
                <w:snapToGrid w:val="0"/>
                <w:color w:val="auto"/>
                <w:spacing w:val="-6"/>
                <w:kern w:val="21"/>
                <w:szCs w:val="21"/>
                <w:highlight w:val="none"/>
              </w:rPr>
              <w:fldChar w:fldCharType="end"/>
            </w:r>
          </w:p>
        </w:tc>
        <w:tc>
          <w:tcPr>
            <w:tcW w:w="1559" w:type="dxa"/>
            <w:noWrap w:val="0"/>
            <w:tcMar>
              <w:left w:w="28" w:type="dxa"/>
              <w:right w:w="28" w:type="dxa"/>
            </w:tcMar>
            <w:vAlign w:val="center"/>
          </w:tcPr>
          <w:p w14:paraId="7AAD4BD6">
            <w:pPr>
              <w:pStyle w:val="34"/>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本项目</w:t>
            </w:r>
          </w:p>
          <w:p w14:paraId="6528977D">
            <w:pPr>
              <w:pStyle w:val="34"/>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排放量（固体废物产生量）</w:t>
            </w: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4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④</w:t>
            </w:r>
            <w:r>
              <w:rPr>
                <w:rFonts w:hint="default" w:ascii="Times New Roman" w:hAnsi="Times New Roman" w:eastAsia="黑体" w:cs="Times New Roman"/>
                <w:snapToGrid w:val="0"/>
                <w:color w:val="auto"/>
                <w:spacing w:val="-6"/>
                <w:kern w:val="21"/>
                <w:szCs w:val="21"/>
                <w:highlight w:val="none"/>
              </w:rPr>
              <w:fldChar w:fldCharType="end"/>
            </w:r>
          </w:p>
        </w:tc>
        <w:tc>
          <w:tcPr>
            <w:tcW w:w="1761" w:type="dxa"/>
            <w:noWrap w:val="0"/>
            <w:tcMar>
              <w:left w:w="28" w:type="dxa"/>
              <w:right w:w="28" w:type="dxa"/>
            </w:tcMar>
            <w:vAlign w:val="center"/>
          </w:tcPr>
          <w:p w14:paraId="1B8BB763">
            <w:pPr>
              <w:pStyle w:val="34"/>
              <w:spacing w:beforeLines="0" w:afterLines="0" w:line="240" w:lineRule="auto"/>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以新带老削减量</w:t>
            </w:r>
          </w:p>
          <w:p w14:paraId="635B0213">
            <w:pPr>
              <w:pStyle w:val="34"/>
              <w:spacing w:beforeLines="0" w:afterLines="0" w:line="240" w:lineRule="auto"/>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（新建项目不填）</w:t>
            </w:r>
            <w:r>
              <w:rPr>
                <w:rFonts w:hint="default" w:ascii="Times New Roman" w:hAnsi="Times New Roman" w:eastAsia="黑体" w:cs="Times New Roman"/>
                <w:snapToGrid w:val="0"/>
                <w:color w:val="auto"/>
                <w:spacing w:val="-16"/>
                <w:kern w:val="21"/>
                <w:szCs w:val="21"/>
                <w:highlight w:val="none"/>
              </w:rPr>
              <w:fldChar w:fldCharType="begin"/>
            </w:r>
            <w:r>
              <w:rPr>
                <w:rFonts w:hint="default" w:ascii="Times New Roman" w:hAnsi="Times New Roman" w:eastAsia="黑体" w:cs="Times New Roman"/>
                <w:snapToGrid w:val="0"/>
                <w:color w:val="auto"/>
                <w:spacing w:val="-16"/>
                <w:kern w:val="21"/>
                <w:szCs w:val="21"/>
                <w:highlight w:val="none"/>
              </w:rPr>
              <w:instrText xml:space="preserve"> = 5 \* GB3 \* MERGEFORMAT </w:instrText>
            </w:r>
            <w:r>
              <w:rPr>
                <w:rFonts w:hint="default" w:ascii="Times New Roman" w:hAnsi="Times New Roman" w:eastAsia="黑体" w:cs="Times New Roman"/>
                <w:snapToGrid w:val="0"/>
                <w:color w:val="auto"/>
                <w:spacing w:val="-16"/>
                <w:kern w:val="21"/>
                <w:szCs w:val="21"/>
                <w:highlight w:val="none"/>
              </w:rPr>
              <w:fldChar w:fldCharType="separate"/>
            </w:r>
            <w:r>
              <w:rPr>
                <w:rFonts w:hint="default" w:ascii="Times New Roman" w:hAnsi="Times New Roman" w:eastAsia="黑体" w:cs="Times New Roman"/>
                <w:color w:val="auto"/>
                <w:kern w:val="2"/>
                <w:szCs w:val="21"/>
                <w:highlight w:val="none"/>
              </w:rPr>
              <w:t>⑤</w:t>
            </w:r>
            <w:r>
              <w:rPr>
                <w:rFonts w:hint="default" w:ascii="Times New Roman" w:hAnsi="Times New Roman" w:eastAsia="黑体" w:cs="Times New Roman"/>
                <w:snapToGrid w:val="0"/>
                <w:color w:val="auto"/>
                <w:spacing w:val="-16"/>
                <w:kern w:val="21"/>
                <w:szCs w:val="21"/>
                <w:highlight w:val="none"/>
              </w:rPr>
              <w:fldChar w:fldCharType="end"/>
            </w:r>
          </w:p>
        </w:tc>
        <w:tc>
          <w:tcPr>
            <w:tcW w:w="1743" w:type="dxa"/>
            <w:noWrap w:val="0"/>
            <w:tcMar>
              <w:left w:w="28" w:type="dxa"/>
              <w:right w:w="28" w:type="dxa"/>
            </w:tcMar>
            <w:vAlign w:val="center"/>
          </w:tcPr>
          <w:p w14:paraId="59E082E7">
            <w:pPr>
              <w:pStyle w:val="34"/>
              <w:spacing w:beforeLines="0" w:afterLines="0" w:line="240" w:lineRule="auto"/>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本项目建成后</w:t>
            </w:r>
          </w:p>
          <w:p w14:paraId="2A9EB7AB">
            <w:pPr>
              <w:pStyle w:val="34"/>
              <w:spacing w:beforeLines="0" w:afterLines="0" w:line="240" w:lineRule="auto"/>
              <w:rPr>
                <w:rFonts w:hint="default" w:ascii="Times New Roman" w:hAnsi="Times New Roman" w:eastAsia="黑体" w:cs="Times New Roman"/>
                <w:snapToGrid w:val="0"/>
                <w:color w:val="auto"/>
                <w:spacing w:val="-16"/>
                <w:kern w:val="21"/>
                <w:szCs w:val="21"/>
                <w:highlight w:val="none"/>
              </w:rPr>
            </w:pPr>
            <w:r>
              <w:rPr>
                <w:rFonts w:hint="default" w:ascii="Times New Roman" w:hAnsi="Times New Roman" w:eastAsia="黑体" w:cs="Times New Roman"/>
                <w:snapToGrid w:val="0"/>
                <w:color w:val="auto"/>
                <w:spacing w:val="-16"/>
                <w:kern w:val="21"/>
                <w:szCs w:val="21"/>
                <w:highlight w:val="none"/>
              </w:rPr>
              <w:t>全厂排放量（固体废物产生量）</w:t>
            </w:r>
            <w:r>
              <w:rPr>
                <w:rFonts w:hint="default" w:ascii="Times New Roman" w:hAnsi="Times New Roman" w:eastAsia="黑体" w:cs="Times New Roman"/>
                <w:snapToGrid w:val="0"/>
                <w:color w:val="auto"/>
                <w:spacing w:val="-16"/>
                <w:kern w:val="21"/>
                <w:szCs w:val="21"/>
                <w:highlight w:val="none"/>
              </w:rPr>
              <w:fldChar w:fldCharType="begin"/>
            </w:r>
            <w:r>
              <w:rPr>
                <w:rFonts w:hint="default" w:ascii="Times New Roman" w:hAnsi="Times New Roman" w:eastAsia="黑体" w:cs="Times New Roman"/>
                <w:snapToGrid w:val="0"/>
                <w:color w:val="auto"/>
                <w:spacing w:val="-16"/>
                <w:kern w:val="21"/>
                <w:szCs w:val="21"/>
                <w:highlight w:val="none"/>
              </w:rPr>
              <w:instrText xml:space="preserve"> = 6 \* GB3 \* MERGEFORMAT </w:instrText>
            </w:r>
            <w:r>
              <w:rPr>
                <w:rFonts w:hint="default" w:ascii="Times New Roman" w:hAnsi="Times New Roman" w:eastAsia="黑体" w:cs="Times New Roman"/>
                <w:snapToGrid w:val="0"/>
                <w:color w:val="auto"/>
                <w:spacing w:val="-16"/>
                <w:kern w:val="21"/>
                <w:szCs w:val="21"/>
                <w:highlight w:val="none"/>
              </w:rPr>
              <w:fldChar w:fldCharType="separate"/>
            </w:r>
            <w:r>
              <w:rPr>
                <w:rFonts w:hint="default" w:ascii="Times New Roman" w:hAnsi="Times New Roman" w:eastAsia="黑体" w:cs="Times New Roman"/>
                <w:color w:val="auto"/>
                <w:kern w:val="2"/>
                <w:szCs w:val="21"/>
                <w:highlight w:val="none"/>
              </w:rPr>
              <w:t>⑥</w:t>
            </w:r>
            <w:r>
              <w:rPr>
                <w:rFonts w:hint="default" w:ascii="Times New Roman" w:hAnsi="Times New Roman" w:eastAsia="黑体" w:cs="Times New Roman"/>
                <w:snapToGrid w:val="0"/>
                <w:color w:val="auto"/>
                <w:spacing w:val="-16"/>
                <w:kern w:val="21"/>
                <w:szCs w:val="21"/>
                <w:highlight w:val="none"/>
              </w:rPr>
              <w:fldChar w:fldCharType="end"/>
            </w:r>
          </w:p>
        </w:tc>
        <w:tc>
          <w:tcPr>
            <w:tcW w:w="1042" w:type="dxa"/>
            <w:noWrap w:val="0"/>
            <w:tcMar>
              <w:left w:w="28" w:type="dxa"/>
              <w:right w:w="28" w:type="dxa"/>
            </w:tcMar>
            <w:vAlign w:val="center"/>
          </w:tcPr>
          <w:p w14:paraId="33A639BD">
            <w:pPr>
              <w:pStyle w:val="34"/>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t>变化量</w:t>
            </w:r>
          </w:p>
          <w:p w14:paraId="10595FEE">
            <w:pPr>
              <w:pStyle w:val="34"/>
              <w:spacing w:beforeLines="0" w:afterLines="0" w:line="240" w:lineRule="auto"/>
              <w:rPr>
                <w:rFonts w:hint="default" w:ascii="Times New Roman" w:hAnsi="Times New Roman" w:eastAsia="黑体" w:cs="Times New Roman"/>
                <w:snapToGrid w:val="0"/>
                <w:color w:val="auto"/>
                <w:spacing w:val="-6"/>
                <w:kern w:val="21"/>
                <w:szCs w:val="21"/>
                <w:highlight w:val="none"/>
              </w:rPr>
            </w:pPr>
            <w:r>
              <w:rPr>
                <w:rFonts w:hint="default" w:ascii="Times New Roman" w:hAnsi="Times New Roman" w:eastAsia="黑体" w:cs="Times New Roman"/>
                <w:snapToGrid w:val="0"/>
                <w:color w:val="auto"/>
                <w:spacing w:val="-6"/>
                <w:kern w:val="21"/>
                <w:szCs w:val="21"/>
                <w:highlight w:val="none"/>
              </w:rPr>
              <w:fldChar w:fldCharType="begin"/>
            </w:r>
            <w:r>
              <w:rPr>
                <w:rFonts w:hint="default" w:ascii="Times New Roman" w:hAnsi="Times New Roman" w:eastAsia="黑体" w:cs="Times New Roman"/>
                <w:snapToGrid w:val="0"/>
                <w:color w:val="auto"/>
                <w:spacing w:val="-6"/>
                <w:kern w:val="21"/>
                <w:szCs w:val="21"/>
                <w:highlight w:val="none"/>
              </w:rPr>
              <w:instrText xml:space="preserve"> = 7 \* GB3 \* MERGEFORMAT </w:instrText>
            </w:r>
            <w:r>
              <w:rPr>
                <w:rFonts w:hint="default" w:ascii="Times New Roman" w:hAnsi="Times New Roman" w:eastAsia="黑体" w:cs="Times New Roman"/>
                <w:snapToGrid w:val="0"/>
                <w:color w:val="auto"/>
                <w:spacing w:val="-6"/>
                <w:kern w:val="21"/>
                <w:szCs w:val="21"/>
                <w:highlight w:val="none"/>
              </w:rPr>
              <w:fldChar w:fldCharType="separate"/>
            </w:r>
            <w:r>
              <w:rPr>
                <w:rFonts w:hint="default" w:ascii="Times New Roman" w:hAnsi="Times New Roman" w:eastAsia="黑体" w:cs="Times New Roman"/>
                <w:color w:val="auto"/>
                <w:kern w:val="2"/>
                <w:szCs w:val="21"/>
                <w:highlight w:val="none"/>
              </w:rPr>
              <w:t>⑦</w:t>
            </w:r>
            <w:r>
              <w:rPr>
                <w:rFonts w:hint="default" w:ascii="Times New Roman" w:hAnsi="Times New Roman" w:eastAsia="黑体" w:cs="Times New Roman"/>
                <w:snapToGrid w:val="0"/>
                <w:color w:val="auto"/>
                <w:spacing w:val="-6"/>
                <w:kern w:val="21"/>
                <w:szCs w:val="21"/>
                <w:highlight w:val="none"/>
              </w:rPr>
              <w:fldChar w:fldCharType="end"/>
            </w:r>
          </w:p>
        </w:tc>
      </w:tr>
      <w:tr w14:paraId="4EB7049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noWrap w:val="0"/>
            <w:vAlign w:val="center"/>
          </w:tcPr>
          <w:p w14:paraId="401FACED">
            <w:pPr>
              <w:pStyle w:val="34"/>
              <w:spacing w:beforeLines="0" w:afterLines="0" w:line="240" w:lineRule="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废气</w:t>
            </w:r>
          </w:p>
        </w:tc>
        <w:tc>
          <w:tcPr>
            <w:tcW w:w="1417" w:type="dxa"/>
            <w:noWrap w:val="0"/>
            <w:vAlign w:val="center"/>
          </w:tcPr>
          <w:p w14:paraId="3E339E7D">
            <w:pPr>
              <w:pStyle w:val="34"/>
              <w:spacing w:beforeLines="0" w:afterLines="0" w:line="240" w:lineRule="auto"/>
              <w:rPr>
                <w:rFonts w:hint="default" w:ascii="Times New Roman" w:hAnsi="Times New Roman"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颗粒物</w:t>
            </w:r>
          </w:p>
          <w:p w14:paraId="4BBAB328">
            <w:pPr>
              <w:pStyle w:val="34"/>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（无组织）</w:t>
            </w:r>
          </w:p>
        </w:tc>
        <w:tc>
          <w:tcPr>
            <w:tcW w:w="1701" w:type="dxa"/>
            <w:noWrap w:val="0"/>
            <w:vAlign w:val="center"/>
          </w:tcPr>
          <w:p w14:paraId="5930E270">
            <w:pPr>
              <w:pStyle w:val="34"/>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1276" w:type="dxa"/>
            <w:noWrap w:val="0"/>
            <w:vAlign w:val="center"/>
          </w:tcPr>
          <w:p w14:paraId="4D0DEE8A">
            <w:pPr>
              <w:pStyle w:val="34"/>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1701" w:type="dxa"/>
            <w:noWrap w:val="0"/>
            <w:vAlign w:val="center"/>
          </w:tcPr>
          <w:p w14:paraId="49621E81">
            <w:pPr>
              <w:pStyle w:val="34"/>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1559" w:type="dxa"/>
            <w:noWrap w:val="0"/>
            <w:vAlign w:val="center"/>
          </w:tcPr>
          <w:p w14:paraId="1AC775F5">
            <w:pPr>
              <w:pStyle w:val="34"/>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cs="Times New Roman"/>
                <w:snapToGrid w:val="0"/>
                <w:color w:val="auto"/>
                <w:kern w:val="21"/>
                <w:szCs w:val="21"/>
                <w:highlight w:val="none"/>
                <w:lang w:val="en-US" w:eastAsia="zh-CN"/>
              </w:rPr>
              <w:t>4.445</w:t>
            </w:r>
            <w:r>
              <w:rPr>
                <w:rFonts w:hint="eastAsia" w:ascii="Times New Roman" w:hAnsi="Times New Roman" w:cs="Times New Roman"/>
                <w:snapToGrid w:val="0"/>
                <w:color w:val="auto"/>
                <w:kern w:val="21"/>
                <w:szCs w:val="21"/>
                <w:highlight w:val="none"/>
                <w:lang w:val="en-US" w:eastAsia="zh-CN"/>
              </w:rPr>
              <w:t>t/a</w:t>
            </w:r>
          </w:p>
        </w:tc>
        <w:tc>
          <w:tcPr>
            <w:tcW w:w="1761" w:type="dxa"/>
            <w:noWrap w:val="0"/>
            <w:vAlign w:val="center"/>
          </w:tcPr>
          <w:p w14:paraId="24F27D86">
            <w:pPr>
              <w:pStyle w:val="34"/>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default" w:ascii="Times New Roman" w:hAnsi="Times New Roman" w:cs="Times New Roman"/>
                <w:snapToGrid w:val="0"/>
                <w:color w:val="auto"/>
                <w:kern w:val="21"/>
                <w:szCs w:val="21"/>
                <w:highlight w:val="none"/>
                <w:lang w:val="en-US" w:eastAsia="zh-CN"/>
              </w:rPr>
              <w:t>/</w:t>
            </w:r>
          </w:p>
        </w:tc>
        <w:tc>
          <w:tcPr>
            <w:tcW w:w="1743" w:type="dxa"/>
            <w:noWrap w:val="0"/>
            <w:vAlign w:val="center"/>
          </w:tcPr>
          <w:p w14:paraId="449D6884">
            <w:pPr>
              <w:pStyle w:val="34"/>
              <w:spacing w:beforeLines="0" w:afterLines="0" w:line="240" w:lineRule="auto"/>
              <w:rPr>
                <w:rFonts w:hint="default" w:ascii="Times New Roman" w:hAnsi="Times New Roman" w:cs="Times New Roman"/>
                <w:snapToGrid w:val="0"/>
                <w:color w:val="auto"/>
                <w:kern w:val="21"/>
                <w:szCs w:val="21"/>
                <w:highlight w:val="none"/>
              </w:rPr>
            </w:pPr>
            <w:r>
              <w:rPr>
                <w:rFonts w:hint="eastAsia" w:ascii="Times New Roman" w:cs="Times New Roman"/>
                <w:snapToGrid w:val="0"/>
                <w:color w:val="auto"/>
                <w:kern w:val="21"/>
                <w:szCs w:val="21"/>
                <w:highlight w:val="none"/>
                <w:lang w:val="en-US" w:eastAsia="zh-CN"/>
              </w:rPr>
              <w:t>4.445</w:t>
            </w:r>
            <w:r>
              <w:rPr>
                <w:rFonts w:hint="eastAsia" w:ascii="Times New Roman" w:hAnsi="Times New Roman" w:cs="Times New Roman"/>
                <w:snapToGrid w:val="0"/>
                <w:color w:val="auto"/>
                <w:kern w:val="21"/>
                <w:szCs w:val="21"/>
                <w:highlight w:val="none"/>
                <w:lang w:val="en-US" w:eastAsia="zh-CN"/>
              </w:rPr>
              <w:t>t/a</w:t>
            </w:r>
          </w:p>
        </w:tc>
        <w:tc>
          <w:tcPr>
            <w:tcW w:w="1042" w:type="dxa"/>
            <w:noWrap w:val="0"/>
            <w:vAlign w:val="center"/>
          </w:tcPr>
          <w:p w14:paraId="67DD5B68">
            <w:pPr>
              <w:pStyle w:val="34"/>
              <w:spacing w:beforeLines="0" w:afterLines="0" w:line="240" w:lineRule="auto"/>
              <w:rPr>
                <w:rFonts w:hint="default" w:ascii="Times New Roman" w:hAnsi="Times New Roman" w:cs="Times New Roman"/>
                <w:snapToGrid w:val="0"/>
                <w:color w:val="auto"/>
                <w:kern w:val="21"/>
                <w:szCs w:val="21"/>
                <w:highlight w:val="none"/>
              </w:rPr>
            </w:pPr>
            <w:r>
              <w:rPr>
                <w:rFonts w:hint="eastAsia" w:ascii="Times New Roman" w:hAnsi="Times New Roman" w:cs="Times New Roman"/>
                <w:snapToGrid w:val="0"/>
                <w:color w:val="auto"/>
                <w:kern w:val="21"/>
                <w:szCs w:val="21"/>
                <w:highlight w:val="none"/>
                <w:lang w:val="en-US" w:eastAsia="zh-CN"/>
              </w:rPr>
              <w:t>+</w:t>
            </w:r>
            <w:r>
              <w:rPr>
                <w:rFonts w:hint="eastAsia" w:ascii="Times New Roman" w:cs="Times New Roman"/>
                <w:snapToGrid w:val="0"/>
                <w:color w:val="auto"/>
                <w:kern w:val="21"/>
                <w:szCs w:val="21"/>
                <w:highlight w:val="none"/>
                <w:lang w:val="en-US" w:eastAsia="zh-CN"/>
              </w:rPr>
              <w:t>4.445</w:t>
            </w:r>
            <w:r>
              <w:rPr>
                <w:rFonts w:hint="eastAsia" w:ascii="Times New Roman" w:hAnsi="Times New Roman" w:cs="Times New Roman"/>
                <w:snapToGrid w:val="0"/>
                <w:color w:val="auto"/>
                <w:kern w:val="21"/>
                <w:szCs w:val="21"/>
                <w:highlight w:val="none"/>
                <w:lang w:val="en-US" w:eastAsia="zh-CN"/>
              </w:rPr>
              <w:t>t/a</w:t>
            </w:r>
          </w:p>
        </w:tc>
      </w:tr>
      <w:tr w14:paraId="6C6D46C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noWrap w:val="0"/>
            <w:vAlign w:val="center"/>
          </w:tcPr>
          <w:p w14:paraId="43AF6A74">
            <w:pPr>
              <w:pStyle w:val="34"/>
              <w:spacing w:beforeLines="0" w:afterLines="0" w:line="240" w:lineRule="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废水</w:t>
            </w:r>
          </w:p>
        </w:tc>
        <w:tc>
          <w:tcPr>
            <w:tcW w:w="1417" w:type="dxa"/>
            <w:noWrap w:val="0"/>
            <w:vAlign w:val="center"/>
          </w:tcPr>
          <w:p w14:paraId="4727DE0E">
            <w:pPr>
              <w:pStyle w:val="34"/>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COD</w:t>
            </w:r>
          </w:p>
        </w:tc>
        <w:tc>
          <w:tcPr>
            <w:tcW w:w="1701" w:type="dxa"/>
            <w:noWrap w:val="0"/>
            <w:vAlign w:val="center"/>
          </w:tcPr>
          <w:p w14:paraId="7FE987DE">
            <w:pPr>
              <w:pStyle w:val="34"/>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w:t>
            </w:r>
          </w:p>
        </w:tc>
        <w:tc>
          <w:tcPr>
            <w:tcW w:w="1276" w:type="dxa"/>
            <w:noWrap w:val="0"/>
            <w:vAlign w:val="center"/>
          </w:tcPr>
          <w:p w14:paraId="7EC5CDAA">
            <w:pPr>
              <w:pStyle w:val="34"/>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w:t>
            </w:r>
          </w:p>
        </w:tc>
        <w:tc>
          <w:tcPr>
            <w:tcW w:w="1701" w:type="dxa"/>
            <w:noWrap w:val="0"/>
            <w:vAlign w:val="center"/>
          </w:tcPr>
          <w:p w14:paraId="686BF6F6">
            <w:pPr>
              <w:pStyle w:val="34"/>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w:t>
            </w:r>
          </w:p>
        </w:tc>
        <w:tc>
          <w:tcPr>
            <w:tcW w:w="1559" w:type="dxa"/>
            <w:noWrap w:val="0"/>
            <w:vAlign w:val="center"/>
          </w:tcPr>
          <w:p w14:paraId="695F5A15">
            <w:pPr>
              <w:pStyle w:val="34"/>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w:t>
            </w:r>
          </w:p>
        </w:tc>
        <w:tc>
          <w:tcPr>
            <w:tcW w:w="1761" w:type="dxa"/>
            <w:noWrap w:val="0"/>
            <w:vAlign w:val="center"/>
          </w:tcPr>
          <w:p w14:paraId="069F3815">
            <w:pPr>
              <w:pStyle w:val="34"/>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w:t>
            </w:r>
          </w:p>
        </w:tc>
        <w:tc>
          <w:tcPr>
            <w:tcW w:w="1743" w:type="dxa"/>
            <w:noWrap w:val="0"/>
            <w:vAlign w:val="center"/>
          </w:tcPr>
          <w:p w14:paraId="0CE42FBB">
            <w:pPr>
              <w:pStyle w:val="34"/>
              <w:spacing w:beforeLines="0" w:afterLines="0" w:line="240" w:lineRule="auto"/>
              <w:rPr>
                <w:rFonts w:hint="default" w:ascii="Times New Roman" w:hAnsi="Times New Roman" w:eastAsia="宋体" w:cs="Times New Roman"/>
                <w:snapToGrid w:val="0"/>
                <w:color w:val="auto"/>
                <w:kern w:val="21"/>
                <w:sz w:val="21"/>
                <w:szCs w:val="21"/>
                <w:highlight w:val="none"/>
                <w:lang w:val="en-US" w:eastAsia="zh-CN" w:bidi="ar-SA"/>
              </w:rPr>
            </w:pPr>
            <w:r>
              <w:rPr>
                <w:rFonts w:hint="eastAsia" w:ascii="Times New Roman" w:hAnsi="Times New Roman" w:cs="Times New Roman"/>
                <w:snapToGrid w:val="0"/>
                <w:color w:val="auto"/>
                <w:kern w:val="21"/>
                <w:szCs w:val="21"/>
                <w:highlight w:val="none"/>
                <w:lang w:val="en-US" w:eastAsia="zh-CN"/>
              </w:rPr>
              <w:t>/</w:t>
            </w:r>
          </w:p>
        </w:tc>
        <w:tc>
          <w:tcPr>
            <w:tcW w:w="1042" w:type="dxa"/>
            <w:noWrap w:val="0"/>
            <w:vAlign w:val="center"/>
          </w:tcPr>
          <w:p w14:paraId="2EB7771F">
            <w:pPr>
              <w:pStyle w:val="34"/>
              <w:spacing w:beforeLines="0" w:afterLines="0" w:line="240" w:lineRule="auto"/>
              <w:rPr>
                <w:rFonts w:hint="default" w:ascii="Times New Roman" w:hAnsi="Times New Roman" w:eastAsia="宋体" w:cs="Times New Roman"/>
                <w:snapToGrid w:val="0"/>
                <w:color w:val="auto"/>
                <w:kern w:val="21"/>
                <w:sz w:val="21"/>
                <w:szCs w:val="21"/>
                <w:highlight w:val="none"/>
                <w:lang w:val="en-US" w:eastAsia="zh-CN" w:bidi="ar-SA"/>
              </w:rPr>
            </w:pPr>
            <w:r>
              <w:rPr>
                <w:rFonts w:hint="eastAsia" w:ascii="Times New Roman" w:hAnsi="Times New Roman" w:cs="Times New Roman"/>
                <w:snapToGrid w:val="0"/>
                <w:color w:val="auto"/>
                <w:kern w:val="21"/>
                <w:szCs w:val="21"/>
                <w:highlight w:val="none"/>
                <w:lang w:val="en-US" w:eastAsia="zh-CN"/>
              </w:rPr>
              <w:t>/</w:t>
            </w:r>
          </w:p>
        </w:tc>
      </w:tr>
      <w:tr w14:paraId="467A87D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0CDC1C56">
            <w:pPr>
              <w:pStyle w:val="34"/>
              <w:spacing w:beforeLines="0" w:afterLines="0" w:line="240" w:lineRule="auto"/>
              <w:rPr>
                <w:rFonts w:hint="default" w:ascii="Times New Roman" w:hAnsi="Times New Roman" w:cs="Times New Roman"/>
                <w:snapToGrid w:val="0"/>
                <w:color w:val="auto"/>
                <w:kern w:val="21"/>
                <w:szCs w:val="21"/>
                <w:highlight w:val="none"/>
              </w:rPr>
            </w:pPr>
          </w:p>
        </w:tc>
        <w:tc>
          <w:tcPr>
            <w:tcW w:w="1417" w:type="dxa"/>
            <w:noWrap w:val="0"/>
            <w:vAlign w:val="center"/>
          </w:tcPr>
          <w:p w14:paraId="1CD620E4">
            <w:pPr>
              <w:pStyle w:val="34"/>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BOD</w:t>
            </w:r>
            <w:r>
              <w:rPr>
                <w:rFonts w:hint="eastAsia" w:ascii="Times New Roman" w:hAnsi="Times New Roman" w:cs="Times New Roman"/>
                <w:snapToGrid w:val="0"/>
                <w:color w:val="auto"/>
                <w:kern w:val="21"/>
                <w:szCs w:val="21"/>
                <w:highlight w:val="none"/>
                <w:vertAlign w:val="subscript"/>
                <w:lang w:val="en-US" w:eastAsia="zh-CN"/>
              </w:rPr>
              <w:t>5</w:t>
            </w:r>
          </w:p>
        </w:tc>
        <w:tc>
          <w:tcPr>
            <w:tcW w:w="1701" w:type="dxa"/>
            <w:noWrap w:val="0"/>
            <w:vAlign w:val="center"/>
          </w:tcPr>
          <w:p w14:paraId="294F696C">
            <w:pPr>
              <w:pStyle w:val="34"/>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w:t>
            </w:r>
          </w:p>
        </w:tc>
        <w:tc>
          <w:tcPr>
            <w:tcW w:w="1276" w:type="dxa"/>
            <w:noWrap w:val="0"/>
            <w:vAlign w:val="center"/>
          </w:tcPr>
          <w:p w14:paraId="20449BCB">
            <w:pPr>
              <w:pStyle w:val="34"/>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w:t>
            </w:r>
          </w:p>
        </w:tc>
        <w:tc>
          <w:tcPr>
            <w:tcW w:w="1701" w:type="dxa"/>
            <w:noWrap w:val="0"/>
            <w:vAlign w:val="center"/>
          </w:tcPr>
          <w:p w14:paraId="73E953DA">
            <w:pPr>
              <w:pStyle w:val="34"/>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w:t>
            </w:r>
          </w:p>
        </w:tc>
        <w:tc>
          <w:tcPr>
            <w:tcW w:w="1559" w:type="dxa"/>
            <w:noWrap w:val="0"/>
            <w:vAlign w:val="center"/>
          </w:tcPr>
          <w:p w14:paraId="70ABD9FC">
            <w:pPr>
              <w:pStyle w:val="34"/>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w:t>
            </w:r>
          </w:p>
        </w:tc>
        <w:tc>
          <w:tcPr>
            <w:tcW w:w="1761" w:type="dxa"/>
            <w:noWrap w:val="0"/>
            <w:vAlign w:val="center"/>
          </w:tcPr>
          <w:p w14:paraId="110047C5">
            <w:pPr>
              <w:pStyle w:val="34"/>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w:t>
            </w:r>
          </w:p>
        </w:tc>
        <w:tc>
          <w:tcPr>
            <w:tcW w:w="1743" w:type="dxa"/>
            <w:noWrap w:val="0"/>
            <w:vAlign w:val="center"/>
          </w:tcPr>
          <w:p w14:paraId="33809984">
            <w:pPr>
              <w:pStyle w:val="34"/>
              <w:spacing w:beforeLines="0" w:afterLines="0" w:line="240" w:lineRule="auto"/>
              <w:rPr>
                <w:rFonts w:hint="default" w:ascii="Times New Roman" w:hAnsi="Times New Roman" w:eastAsia="宋体" w:cs="Times New Roman"/>
                <w:snapToGrid w:val="0"/>
                <w:color w:val="auto"/>
                <w:kern w:val="21"/>
                <w:sz w:val="21"/>
                <w:szCs w:val="21"/>
                <w:highlight w:val="none"/>
                <w:lang w:val="en-US" w:eastAsia="zh-CN" w:bidi="ar-SA"/>
              </w:rPr>
            </w:pPr>
            <w:r>
              <w:rPr>
                <w:rFonts w:hint="eastAsia" w:ascii="Times New Roman" w:hAnsi="Times New Roman" w:cs="Times New Roman"/>
                <w:snapToGrid w:val="0"/>
                <w:color w:val="auto"/>
                <w:kern w:val="21"/>
                <w:szCs w:val="21"/>
                <w:highlight w:val="none"/>
                <w:lang w:val="en-US" w:eastAsia="zh-CN"/>
              </w:rPr>
              <w:t>/</w:t>
            </w:r>
          </w:p>
        </w:tc>
        <w:tc>
          <w:tcPr>
            <w:tcW w:w="1042" w:type="dxa"/>
            <w:noWrap w:val="0"/>
            <w:vAlign w:val="center"/>
          </w:tcPr>
          <w:p w14:paraId="6672C359">
            <w:pPr>
              <w:pStyle w:val="34"/>
              <w:spacing w:beforeLines="0" w:afterLines="0" w:line="240" w:lineRule="auto"/>
              <w:rPr>
                <w:rFonts w:hint="default" w:ascii="Times New Roman" w:hAnsi="Times New Roman" w:eastAsia="宋体" w:cs="Times New Roman"/>
                <w:snapToGrid w:val="0"/>
                <w:color w:val="auto"/>
                <w:kern w:val="21"/>
                <w:sz w:val="21"/>
                <w:szCs w:val="21"/>
                <w:highlight w:val="none"/>
                <w:lang w:val="en-US" w:eastAsia="zh-CN" w:bidi="ar-SA"/>
              </w:rPr>
            </w:pPr>
            <w:r>
              <w:rPr>
                <w:rFonts w:hint="eastAsia" w:ascii="Times New Roman" w:hAnsi="Times New Roman" w:cs="Times New Roman"/>
                <w:snapToGrid w:val="0"/>
                <w:color w:val="auto"/>
                <w:kern w:val="21"/>
                <w:szCs w:val="21"/>
                <w:highlight w:val="none"/>
                <w:lang w:val="en-US" w:eastAsia="zh-CN"/>
              </w:rPr>
              <w:t>/</w:t>
            </w:r>
          </w:p>
        </w:tc>
      </w:tr>
      <w:tr w14:paraId="37441E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3B571460">
            <w:pPr>
              <w:pStyle w:val="34"/>
              <w:spacing w:beforeLines="0" w:afterLines="0" w:line="240" w:lineRule="auto"/>
              <w:rPr>
                <w:rFonts w:hint="default" w:ascii="Times New Roman" w:hAnsi="Times New Roman" w:cs="Times New Roman"/>
                <w:snapToGrid w:val="0"/>
                <w:color w:val="auto"/>
                <w:kern w:val="21"/>
                <w:szCs w:val="21"/>
                <w:highlight w:val="none"/>
              </w:rPr>
            </w:pPr>
          </w:p>
        </w:tc>
        <w:tc>
          <w:tcPr>
            <w:tcW w:w="1417" w:type="dxa"/>
            <w:noWrap w:val="0"/>
            <w:vAlign w:val="center"/>
          </w:tcPr>
          <w:p w14:paraId="47DFDC92">
            <w:pPr>
              <w:pStyle w:val="34"/>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SS</w:t>
            </w:r>
          </w:p>
        </w:tc>
        <w:tc>
          <w:tcPr>
            <w:tcW w:w="1701" w:type="dxa"/>
            <w:noWrap w:val="0"/>
            <w:vAlign w:val="center"/>
          </w:tcPr>
          <w:p w14:paraId="303F3474">
            <w:pPr>
              <w:pStyle w:val="34"/>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w:t>
            </w:r>
          </w:p>
        </w:tc>
        <w:tc>
          <w:tcPr>
            <w:tcW w:w="1276" w:type="dxa"/>
            <w:noWrap w:val="0"/>
            <w:vAlign w:val="center"/>
          </w:tcPr>
          <w:p w14:paraId="7B42E95A">
            <w:pPr>
              <w:pStyle w:val="34"/>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w:t>
            </w:r>
          </w:p>
        </w:tc>
        <w:tc>
          <w:tcPr>
            <w:tcW w:w="1701" w:type="dxa"/>
            <w:noWrap w:val="0"/>
            <w:vAlign w:val="center"/>
          </w:tcPr>
          <w:p w14:paraId="4F97F93B">
            <w:pPr>
              <w:pStyle w:val="34"/>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w:t>
            </w:r>
          </w:p>
        </w:tc>
        <w:tc>
          <w:tcPr>
            <w:tcW w:w="1559" w:type="dxa"/>
            <w:noWrap w:val="0"/>
            <w:vAlign w:val="center"/>
          </w:tcPr>
          <w:p w14:paraId="2D207EC2">
            <w:pPr>
              <w:pStyle w:val="34"/>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w:t>
            </w:r>
          </w:p>
        </w:tc>
        <w:tc>
          <w:tcPr>
            <w:tcW w:w="1761" w:type="dxa"/>
            <w:noWrap w:val="0"/>
            <w:vAlign w:val="center"/>
          </w:tcPr>
          <w:p w14:paraId="2D91E16F">
            <w:pPr>
              <w:pStyle w:val="34"/>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w:t>
            </w:r>
          </w:p>
        </w:tc>
        <w:tc>
          <w:tcPr>
            <w:tcW w:w="1743" w:type="dxa"/>
            <w:noWrap w:val="0"/>
            <w:vAlign w:val="center"/>
          </w:tcPr>
          <w:p w14:paraId="7AF04EF8">
            <w:pPr>
              <w:pStyle w:val="34"/>
              <w:spacing w:beforeLines="0" w:afterLines="0" w:line="240" w:lineRule="auto"/>
              <w:rPr>
                <w:rFonts w:hint="default" w:ascii="Times New Roman" w:hAnsi="Times New Roman" w:eastAsia="宋体" w:cs="Times New Roman"/>
                <w:snapToGrid w:val="0"/>
                <w:color w:val="auto"/>
                <w:kern w:val="21"/>
                <w:sz w:val="21"/>
                <w:szCs w:val="21"/>
                <w:highlight w:val="none"/>
                <w:lang w:val="en-US" w:eastAsia="zh-CN" w:bidi="ar-SA"/>
              </w:rPr>
            </w:pPr>
            <w:r>
              <w:rPr>
                <w:rFonts w:hint="eastAsia" w:ascii="Times New Roman" w:hAnsi="Times New Roman" w:cs="Times New Roman"/>
                <w:snapToGrid w:val="0"/>
                <w:color w:val="auto"/>
                <w:kern w:val="21"/>
                <w:szCs w:val="21"/>
                <w:highlight w:val="none"/>
                <w:lang w:val="en-US" w:eastAsia="zh-CN"/>
              </w:rPr>
              <w:t>/</w:t>
            </w:r>
          </w:p>
        </w:tc>
        <w:tc>
          <w:tcPr>
            <w:tcW w:w="1042" w:type="dxa"/>
            <w:noWrap w:val="0"/>
            <w:vAlign w:val="center"/>
          </w:tcPr>
          <w:p w14:paraId="716FA15D">
            <w:pPr>
              <w:pStyle w:val="34"/>
              <w:spacing w:beforeLines="0" w:afterLines="0" w:line="240" w:lineRule="auto"/>
              <w:rPr>
                <w:rFonts w:hint="default" w:ascii="Times New Roman" w:hAnsi="Times New Roman" w:eastAsia="宋体" w:cs="Times New Roman"/>
                <w:snapToGrid w:val="0"/>
                <w:color w:val="auto"/>
                <w:kern w:val="21"/>
                <w:sz w:val="21"/>
                <w:szCs w:val="21"/>
                <w:highlight w:val="none"/>
                <w:lang w:val="en-US" w:eastAsia="zh-CN" w:bidi="ar-SA"/>
              </w:rPr>
            </w:pPr>
            <w:r>
              <w:rPr>
                <w:rFonts w:hint="eastAsia" w:ascii="Times New Roman" w:hAnsi="Times New Roman" w:cs="Times New Roman"/>
                <w:snapToGrid w:val="0"/>
                <w:color w:val="auto"/>
                <w:kern w:val="21"/>
                <w:szCs w:val="21"/>
                <w:highlight w:val="none"/>
                <w:lang w:val="en-US" w:eastAsia="zh-CN"/>
              </w:rPr>
              <w:t>/</w:t>
            </w:r>
          </w:p>
        </w:tc>
      </w:tr>
      <w:tr w14:paraId="690F4A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2AE5E75D">
            <w:pPr>
              <w:pStyle w:val="34"/>
              <w:spacing w:beforeLines="0" w:afterLines="0" w:line="240" w:lineRule="auto"/>
              <w:rPr>
                <w:rFonts w:hint="default" w:ascii="Times New Roman" w:hAnsi="Times New Roman" w:cs="Times New Roman"/>
                <w:snapToGrid w:val="0"/>
                <w:color w:val="auto"/>
                <w:kern w:val="21"/>
                <w:szCs w:val="21"/>
                <w:highlight w:val="none"/>
              </w:rPr>
            </w:pPr>
          </w:p>
        </w:tc>
        <w:tc>
          <w:tcPr>
            <w:tcW w:w="1417" w:type="dxa"/>
            <w:noWrap w:val="0"/>
            <w:vAlign w:val="center"/>
          </w:tcPr>
          <w:p w14:paraId="49067655">
            <w:pPr>
              <w:pStyle w:val="34"/>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NH</w:t>
            </w:r>
            <w:r>
              <w:rPr>
                <w:rFonts w:hint="eastAsia" w:ascii="Times New Roman" w:hAnsi="Times New Roman" w:cs="Times New Roman"/>
                <w:snapToGrid w:val="0"/>
                <w:color w:val="auto"/>
                <w:kern w:val="21"/>
                <w:szCs w:val="21"/>
                <w:highlight w:val="none"/>
                <w:vertAlign w:val="subscript"/>
                <w:lang w:val="en-US" w:eastAsia="zh-CN"/>
              </w:rPr>
              <w:t>3</w:t>
            </w:r>
            <w:r>
              <w:rPr>
                <w:rFonts w:hint="eastAsia" w:ascii="Times New Roman" w:hAnsi="Times New Roman" w:cs="Times New Roman"/>
                <w:snapToGrid w:val="0"/>
                <w:color w:val="auto"/>
                <w:kern w:val="21"/>
                <w:szCs w:val="21"/>
                <w:highlight w:val="none"/>
                <w:lang w:val="en-US" w:eastAsia="zh-CN"/>
              </w:rPr>
              <w:t>-N</w:t>
            </w:r>
          </w:p>
        </w:tc>
        <w:tc>
          <w:tcPr>
            <w:tcW w:w="1701" w:type="dxa"/>
            <w:noWrap w:val="0"/>
            <w:vAlign w:val="center"/>
          </w:tcPr>
          <w:p w14:paraId="1930C1AD">
            <w:pPr>
              <w:pStyle w:val="34"/>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w:t>
            </w:r>
          </w:p>
        </w:tc>
        <w:tc>
          <w:tcPr>
            <w:tcW w:w="1276" w:type="dxa"/>
            <w:noWrap w:val="0"/>
            <w:vAlign w:val="center"/>
          </w:tcPr>
          <w:p w14:paraId="65553392">
            <w:pPr>
              <w:pStyle w:val="34"/>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w:t>
            </w:r>
          </w:p>
        </w:tc>
        <w:tc>
          <w:tcPr>
            <w:tcW w:w="1701" w:type="dxa"/>
            <w:noWrap w:val="0"/>
            <w:vAlign w:val="center"/>
          </w:tcPr>
          <w:p w14:paraId="401B1F7C">
            <w:pPr>
              <w:pStyle w:val="34"/>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w:t>
            </w:r>
          </w:p>
        </w:tc>
        <w:tc>
          <w:tcPr>
            <w:tcW w:w="1559" w:type="dxa"/>
            <w:noWrap w:val="0"/>
            <w:vAlign w:val="center"/>
          </w:tcPr>
          <w:p w14:paraId="4FA07CF0">
            <w:pPr>
              <w:pStyle w:val="34"/>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w:t>
            </w:r>
          </w:p>
        </w:tc>
        <w:tc>
          <w:tcPr>
            <w:tcW w:w="1761" w:type="dxa"/>
            <w:noWrap w:val="0"/>
            <w:vAlign w:val="center"/>
          </w:tcPr>
          <w:p w14:paraId="37FA0F86">
            <w:pPr>
              <w:pStyle w:val="34"/>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w:t>
            </w:r>
          </w:p>
        </w:tc>
        <w:tc>
          <w:tcPr>
            <w:tcW w:w="1743" w:type="dxa"/>
            <w:noWrap w:val="0"/>
            <w:vAlign w:val="center"/>
          </w:tcPr>
          <w:p w14:paraId="00EC09C4">
            <w:pPr>
              <w:pStyle w:val="34"/>
              <w:spacing w:beforeLines="0" w:afterLines="0" w:line="240" w:lineRule="auto"/>
              <w:rPr>
                <w:rFonts w:hint="default" w:ascii="Times New Roman" w:hAnsi="Times New Roman" w:eastAsia="宋体" w:cs="Times New Roman"/>
                <w:snapToGrid w:val="0"/>
                <w:color w:val="auto"/>
                <w:kern w:val="21"/>
                <w:sz w:val="21"/>
                <w:szCs w:val="21"/>
                <w:highlight w:val="none"/>
                <w:lang w:val="en-US" w:eastAsia="zh-CN" w:bidi="ar-SA"/>
              </w:rPr>
            </w:pPr>
            <w:r>
              <w:rPr>
                <w:rFonts w:hint="eastAsia" w:ascii="Times New Roman" w:hAnsi="Times New Roman" w:cs="Times New Roman"/>
                <w:snapToGrid w:val="0"/>
                <w:color w:val="auto"/>
                <w:kern w:val="21"/>
                <w:szCs w:val="21"/>
                <w:highlight w:val="none"/>
                <w:lang w:val="en-US" w:eastAsia="zh-CN"/>
              </w:rPr>
              <w:t>/</w:t>
            </w:r>
          </w:p>
        </w:tc>
        <w:tc>
          <w:tcPr>
            <w:tcW w:w="1042" w:type="dxa"/>
            <w:noWrap w:val="0"/>
            <w:vAlign w:val="center"/>
          </w:tcPr>
          <w:p w14:paraId="5519171A">
            <w:pPr>
              <w:pStyle w:val="34"/>
              <w:spacing w:beforeLines="0" w:afterLines="0" w:line="240" w:lineRule="auto"/>
              <w:rPr>
                <w:rFonts w:hint="default" w:ascii="Times New Roman" w:hAnsi="Times New Roman" w:eastAsia="宋体" w:cs="Times New Roman"/>
                <w:snapToGrid w:val="0"/>
                <w:color w:val="auto"/>
                <w:kern w:val="21"/>
                <w:sz w:val="21"/>
                <w:szCs w:val="21"/>
                <w:highlight w:val="none"/>
                <w:lang w:val="en-US" w:eastAsia="zh-CN" w:bidi="ar-SA"/>
              </w:rPr>
            </w:pPr>
            <w:r>
              <w:rPr>
                <w:rFonts w:hint="eastAsia" w:ascii="Times New Roman" w:hAnsi="Times New Roman" w:cs="Times New Roman"/>
                <w:snapToGrid w:val="0"/>
                <w:color w:val="auto"/>
                <w:kern w:val="21"/>
                <w:szCs w:val="21"/>
                <w:highlight w:val="none"/>
                <w:lang w:val="en-US" w:eastAsia="zh-CN"/>
              </w:rPr>
              <w:t>/</w:t>
            </w:r>
          </w:p>
        </w:tc>
      </w:tr>
      <w:tr w14:paraId="4CD2E4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restart"/>
            <w:noWrap w:val="0"/>
            <w:vAlign w:val="center"/>
          </w:tcPr>
          <w:p w14:paraId="7440A262">
            <w:pPr>
              <w:pStyle w:val="34"/>
              <w:spacing w:beforeLines="0" w:afterLines="0" w:line="240" w:lineRule="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一般工业</w:t>
            </w:r>
          </w:p>
          <w:p w14:paraId="6987866D">
            <w:pPr>
              <w:pStyle w:val="34"/>
              <w:spacing w:beforeLines="0" w:afterLines="0" w:line="240" w:lineRule="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固体废物</w:t>
            </w:r>
          </w:p>
        </w:tc>
        <w:tc>
          <w:tcPr>
            <w:tcW w:w="1417" w:type="dxa"/>
            <w:noWrap w:val="0"/>
            <w:vAlign w:val="center"/>
          </w:tcPr>
          <w:p w14:paraId="6982FD06">
            <w:pPr>
              <w:pStyle w:val="34"/>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生活垃圾</w:t>
            </w:r>
          </w:p>
        </w:tc>
        <w:tc>
          <w:tcPr>
            <w:tcW w:w="1701" w:type="dxa"/>
            <w:noWrap w:val="0"/>
            <w:vAlign w:val="center"/>
          </w:tcPr>
          <w:p w14:paraId="153B2968">
            <w:pPr>
              <w:pStyle w:val="34"/>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w:t>
            </w:r>
          </w:p>
        </w:tc>
        <w:tc>
          <w:tcPr>
            <w:tcW w:w="1276" w:type="dxa"/>
            <w:noWrap w:val="0"/>
            <w:vAlign w:val="center"/>
          </w:tcPr>
          <w:p w14:paraId="76EB58FA">
            <w:pPr>
              <w:pStyle w:val="34"/>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w:t>
            </w:r>
          </w:p>
        </w:tc>
        <w:tc>
          <w:tcPr>
            <w:tcW w:w="1701" w:type="dxa"/>
            <w:noWrap w:val="0"/>
            <w:vAlign w:val="center"/>
          </w:tcPr>
          <w:p w14:paraId="07FE4A27">
            <w:pPr>
              <w:pStyle w:val="34"/>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w:t>
            </w:r>
          </w:p>
        </w:tc>
        <w:tc>
          <w:tcPr>
            <w:tcW w:w="1559" w:type="dxa"/>
            <w:noWrap w:val="0"/>
            <w:vAlign w:val="center"/>
          </w:tcPr>
          <w:p w14:paraId="0800B35A">
            <w:pPr>
              <w:pStyle w:val="34"/>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1.5t/a</w:t>
            </w:r>
          </w:p>
        </w:tc>
        <w:tc>
          <w:tcPr>
            <w:tcW w:w="1761" w:type="dxa"/>
            <w:noWrap w:val="0"/>
            <w:vAlign w:val="center"/>
          </w:tcPr>
          <w:p w14:paraId="36823C42">
            <w:pPr>
              <w:pStyle w:val="34"/>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w:t>
            </w:r>
          </w:p>
        </w:tc>
        <w:tc>
          <w:tcPr>
            <w:tcW w:w="1743" w:type="dxa"/>
            <w:noWrap w:val="0"/>
            <w:vAlign w:val="center"/>
          </w:tcPr>
          <w:p w14:paraId="53E0F8CF">
            <w:pPr>
              <w:pStyle w:val="34"/>
              <w:spacing w:beforeLines="0" w:afterLines="0" w:line="240" w:lineRule="auto"/>
              <w:rPr>
                <w:rFonts w:hint="default" w:ascii="Times New Roman" w:hAnsi="Times New Roman" w:eastAsia="宋体" w:cs="Times New Roman"/>
                <w:snapToGrid w:val="0"/>
                <w:color w:val="auto"/>
                <w:kern w:val="21"/>
                <w:sz w:val="21"/>
                <w:szCs w:val="21"/>
                <w:highlight w:val="none"/>
                <w:lang w:val="en-US" w:eastAsia="zh-CN" w:bidi="ar-SA"/>
              </w:rPr>
            </w:pPr>
            <w:r>
              <w:rPr>
                <w:rFonts w:hint="eastAsia" w:ascii="Times New Roman" w:hAnsi="Times New Roman" w:cs="Times New Roman"/>
                <w:snapToGrid w:val="0"/>
                <w:color w:val="auto"/>
                <w:kern w:val="21"/>
                <w:szCs w:val="21"/>
                <w:highlight w:val="none"/>
                <w:lang w:val="en-US" w:eastAsia="zh-CN"/>
              </w:rPr>
              <w:t>1.5t/a</w:t>
            </w:r>
          </w:p>
        </w:tc>
        <w:tc>
          <w:tcPr>
            <w:tcW w:w="1042" w:type="dxa"/>
            <w:noWrap w:val="0"/>
            <w:vAlign w:val="center"/>
          </w:tcPr>
          <w:p w14:paraId="03410410">
            <w:pPr>
              <w:pStyle w:val="34"/>
              <w:spacing w:beforeLines="0" w:afterLines="0" w:line="240" w:lineRule="auto"/>
              <w:rPr>
                <w:rFonts w:hint="default" w:ascii="Times New Roman" w:hAnsi="Times New Roman" w:eastAsia="宋体" w:cs="Times New Roman"/>
                <w:snapToGrid w:val="0"/>
                <w:color w:val="auto"/>
                <w:kern w:val="21"/>
                <w:sz w:val="21"/>
                <w:szCs w:val="21"/>
                <w:highlight w:val="none"/>
                <w:lang w:val="en-US" w:eastAsia="zh-CN" w:bidi="ar-SA"/>
              </w:rPr>
            </w:pPr>
            <w:r>
              <w:rPr>
                <w:rFonts w:hint="eastAsia" w:ascii="Times New Roman" w:hAnsi="Times New Roman" w:cs="Times New Roman"/>
                <w:snapToGrid w:val="0"/>
                <w:color w:val="auto"/>
                <w:kern w:val="21"/>
                <w:szCs w:val="21"/>
                <w:highlight w:val="none"/>
                <w:lang w:val="en-US" w:eastAsia="zh-CN"/>
              </w:rPr>
              <w:t>+1.5t/a</w:t>
            </w:r>
          </w:p>
        </w:tc>
      </w:tr>
      <w:tr w14:paraId="7A79F07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vMerge w:val="continue"/>
            <w:noWrap w:val="0"/>
            <w:vAlign w:val="center"/>
          </w:tcPr>
          <w:p w14:paraId="4FC6F670">
            <w:pPr>
              <w:pStyle w:val="34"/>
              <w:spacing w:beforeLines="0" w:afterLines="0" w:line="240" w:lineRule="auto"/>
              <w:rPr>
                <w:rFonts w:hint="default" w:ascii="Times New Roman" w:hAnsi="Times New Roman" w:cs="Times New Roman"/>
                <w:snapToGrid w:val="0"/>
                <w:color w:val="auto"/>
                <w:kern w:val="21"/>
                <w:szCs w:val="21"/>
                <w:highlight w:val="none"/>
              </w:rPr>
            </w:pPr>
          </w:p>
        </w:tc>
        <w:tc>
          <w:tcPr>
            <w:tcW w:w="1417" w:type="dxa"/>
            <w:noWrap w:val="0"/>
            <w:vAlign w:val="center"/>
          </w:tcPr>
          <w:p w14:paraId="6267B6C3">
            <w:pPr>
              <w:pStyle w:val="34"/>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污泥</w:t>
            </w:r>
          </w:p>
        </w:tc>
        <w:tc>
          <w:tcPr>
            <w:tcW w:w="1701" w:type="dxa"/>
            <w:noWrap w:val="0"/>
            <w:vAlign w:val="center"/>
          </w:tcPr>
          <w:p w14:paraId="2C760DD9">
            <w:pPr>
              <w:pStyle w:val="34"/>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w:t>
            </w:r>
          </w:p>
        </w:tc>
        <w:tc>
          <w:tcPr>
            <w:tcW w:w="1276" w:type="dxa"/>
            <w:noWrap w:val="0"/>
            <w:vAlign w:val="center"/>
          </w:tcPr>
          <w:p w14:paraId="49B39446">
            <w:pPr>
              <w:pStyle w:val="34"/>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w:t>
            </w:r>
          </w:p>
        </w:tc>
        <w:tc>
          <w:tcPr>
            <w:tcW w:w="1701" w:type="dxa"/>
            <w:noWrap w:val="0"/>
            <w:vAlign w:val="center"/>
          </w:tcPr>
          <w:p w14:paraId="6E736B51">
            <w:pPr>
              <w:pStyle w:val="34"/>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w:t>
            </w:r>
          </w:p>
        </w:tc>
        <w:tc>
          <w:tcPr>
            <w:tcW w:w="1559" w:type="dxa"/>
            <w:noWrap w:val="0"/>
            <w:vAlign w:val="center"/>
          </w:tcPr>
          <w:p w14:paraId="6209DD36">
            <w:pPr>
              <w:pStyle w:val="34"/>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0.5t/a</w:t>
            </w:r>
          </w:p>
        </w:tc>
        <w:tc>
          <w:tcPr>
            <w:tcW w:w="1761" w:type="dxa"/>
            <w:noWrap w:val="0"/>
            <w:vAlign w:val="center"/>
          </w:tcPr>
          <w:p w14:paraId="25473B80">
            <w:pPr>
              <w:pStyle w:val="34"/>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w:t>
            </w:r>
          </w:p>
        </w:tc>
        <w:tc>
          <w:tcPr>
            <w:tcW w:w="1743" w:type="dxa"/>
            <w:noWrap w:val="0"/>
            <w:vAlign w:val="center"/>
          </w:tcPr>
          <w:p w14:paraId="11FB4C03">
            <w:pPr>
              <w:pStyle w:val="34"/>
              <w:spacing w:beforeLines="0" w:afterLines="0" w:line="240" w:lineRule="auto"/>
              <w:rPr>
                <w:rFonts w:hint="default" w:ascii="Times New Roman" w:hAnsi="Times New Roman" w:eastAsia="宋体" w:cs="Times New Roman"/>
                <w:snapToGrid w:val="0"/>
                <w:color w:val="auto"/>
                <w:kern w:val="21"/>
                <w:sz w:val="21"/>
                <w:szCs w:val="21"/>
                <w:highlight w:val="none"/>
                <w:lang w:val="en-US" w:eastAsia="zh-CN" w:bidi="ar-SA"/>
              </w:rPr>
            </w:pPr>
            <w:r>
              <w:rPr>
                <w:rFonts w:hint="eastAsia" w:ascii="Times New Roman" w:hAnsi="Times New Roman" w:cs="Times New Roman"/>
                <w:snapToGrid w:val="0"/>
                <w:color w:val="auto"/>
                <w:kern w:val="21"/>
                <w:szCs w:val="21"/>
                <w:highlight w:val="none"/>
                <w:lang w:val="en-US" w:eastAsia="zh-CN"/>
              </w:rPr>
              <w:t>0.5t/a</w:t>
            </w:r>
          </w:p>
        </w:tc>
        <w:tc>
          <w:tcPr>
            <w:tcW w:w="1042" w:type="dxa"/>
            <w:noWrap w:val="0"/>
            <w:vAlign w:val="center"/>
          </w:tcPr>
          <w:p w14:paraId="48D824CA">
            <w:pPr>
              <w:pStyle w:val="34"/>
              <w:spacing w:beforeLines="0" w:afterLines="0" w:line="240" w:lineRule="auto"/>
              <w:rPr>
                <w:rFonts w:hint="default" w:ascii="Times New Roman" w:hAnsi="Times New Roman" w:eastAsia="宋体" w:cs="Times New Roman"/>
                <w:snapToGrid w:val="0"/>
                <w:color w:val="auto"/>
                <w:kern w:val="21"/>
                <w:sz w:val="21"/>
                <w:szCs w:val="21"/>
                <w:highlight w:val="none"/>
                <w:lang w:val="en-US" w:eastAsia="zh-CN" w:bidi="ar-SA"/>
              </w:rPr>
            </w:pPr>
            <w:r>
              <w:rPr>
                <w:rFonts w:hint="eastAsia" w:ascii="Times New Roman" w:hAnsi="Times New Roman" w:cs="Times New Roman"/>
                <w:snapToGrid w:val="0"/>
                <w:color w:val="auto"/>
                <w:kern w:val="21"/>
                <w:szCs w:val="21"/>
                <w:highlight w:val="none"/>
                <w:lang w:val="en-US" w:eastAsia="zh-CN"/>
              </w:rPr>
              <w:t>+0.5t/a</w:t>
            </w:r>
          </w:p>
        </w:tc>
      </w:tr>
      <w:tr w14:paraId="2769BB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588" w:type="dxa"/>
            <w:noWrap w:val="0"/>
            <w:vAlign w:val="center"/>
          </w:tcPr>
          <w:p w14:paraId="6DCBE4FD">
            <w:pPr>
              <w:pStyle w:val="34"/>
              <w:spacing w:beforeLines="0" w:afterLines="0" w:line="240" w:lineRule="auto"/>
              <w:rPr>
                <w:rFonts w:hint="default" w:ascii="Times New Roman" w:hAnsi="Times New Roman" w:cs="Times New Roman"/>
                <w:snapToGrid w:val="0"/>
                <w:color w:val="auto"/>
                <w:kern w:val="21"/>
                <w:szCs w:val="21"/>
                <w:highlight w:val="none"/>
              </w:rPr>
            </w:pPr>
            <w:r>
              <w:rPr>
                <w:rFonts w:hint="default" w:ascii="Times New Roman" w:hAnsi="Times New Roman" w:cs="Times New Roman"/>
                <w:snapToGrid w:val="0"/>
                <w:color w:val="auto"/>
                <w:kern w:val="21"/>
                <w:szCs w:val="21"/>
                <w:highlight w:val="none"/>
              </w:rPr>
              <w:t>危险废物</w:t>
            </w:r>
          </w:p>
        </w:tc>
        <w:tc>
          <w:tcPr>
            <w:tcW w:w="1417" w:type="dxa"/>
            <w:noWrap w:val="0"/>
            <w:vAlign w:val="center"/>
          </w:tcPr>
          <w:p w14:paraId="43D0116C">
            <w:pPr>
              <w:pStyle w:val="34"/>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w:t>
            </w:r>
          </w:p>
        </w:tc>
        <w:tc>
          <w:tcPr>
            <w:tcW w:w="1701" w:type="dxa"/>
            <w:noWrap w:val="0"/>
            <w:vAlign w:val="center"/>
          </w:tcPr>
          <w:p w14:paraId="304FC287">
            <w:pPr>
              <w:pStyle w:val="34"/>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w:t>
            </w:r>
          </w:p>
        </w:tc>
        <w:tc>
          <w:tcPr>
            <w:tcW w:w="1276" w:type="dxa"/>
            <w:noWrap w:val="0"/>
            <w:vAlign w:val="center"/>
          </w:tcPr>
          <w:p w14:paraId="53F7B4D1">
            <w:pPr>
              <w:pStyle w:val="34"/>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w:t>
            </w:r>
          </w:p>
        </w:tc>
        <w:tc>
          <w:tcPr>
            <w:tcW w:w="1701" w:type="dxa"/>
            <w:noWrap w:val="0"/>
            <w:vAlign w:val="center"/>
          </w:tcPr>
          <w:p w14:paraId="3BEFED01">
            <w:pPr>
              <w:pStyle w:val="34"/>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w:t>
            </w:r>
          </w:p>
        </w:tc>
        <w:tc>
          <w:tcPr>
            <w:tcW w:w="1559" w:type="dxa"/>
            <w:noWrap w:val="0"/>
            <w:vAlign w:val="center"/>
          </w:tcPr>
          <w:p w14:paraId="6C665836">
            <w:pPr>
              <w:pStyle w:val="34"/>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0.5t/a</w:t>
            </w:r>
          </w:p>
        </w:tc>
        <w:tc>
          <w:tcPr>
            <w:tcW w:w="1761" w:type="dxa"/>
            <w:noWrap w:val="0"/>
            <w:vAlign w:val="center"/>
          </w:tcPr>
          <w:p w14:paraId="64EF8094">
            <w:pPr>
              <w:pStyle w:val="34"/>
              <w:spacing w:beforeLines="0" w:afterLines="0" w:line="240" w:lineRule="auto"/>
              <w:rPr>
                <w:rFonts w:hint="default"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w:t>
            </w:r>
          </w:p>
        </w:tc>
        <w:tc>
          <w:tcPr>
            <w:tcW w:w="1743" w:type="dxa"/>
            <w:noWrap w:val="0"/>
            <w:vAlign w:val="center"/>
          </w:tcPr>
          <w:p w14:paraId="6CBBC4ED">
            <w:pPr>
              <w:pStyle w:val="34"/>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0.5t/a</w:t>
            </w:r>
          </w:p>
        </w:tc>
        <w:tc>
          <w:tcPr>
            <w:tcW w:w="1042" w:type="dxa"/>
            <w:noWrap w:val="0"/>
            <w:vAlign w:val="center"/>
          </w:tcPr>
          <w:p w14:paraId="173E290D">
            <w:pPr>
              <w:pStyle w:val="34"/>
              <w:spacing w:beforeLines="0" w:afterLines="0" w:line="240" w:lineRule="auto"/>
              <w:rPr>
                <w:rFonts w:hint="eastAsia" w:ascii="Times New Roman" w:hAnsi="Times New Roman" w:eastAsia="宋体" w:cs="Times New Roman"/>
                <w:snapToGrid w:val="0"/>
                <w:color w:val="auto"/>
                <w:kern w:val="21"/>
                <w:szCs w:val="21"/>
                <w:highlight w:val="none"/>
                <w:lang w:val="en-US" w:eastAsia="zh-CN"/>
              </w:rPr>
            </w:pPr>
            <w:r>
              <w:rPr>
                <w:rFonts w:hint="eastAsia" w:ascii="Times New Roman" w:hAnsi="Times New Roman" w:cs="Times New Roman"/>
                <w:snapToGrid w:val="0"/>
                <w:color w:val="auto"/>
                <w:kern w:val="21"/>
                <w:szCs w:val="21"/>
                <w:highlight w:val="none"/>
                <w:lang w:val="en-US" w:eastAsia="zh-CN"/>
              </w:rPr>
              <w:t>+0.5t/a</w:t>
            </w:r>
          </w:p>
        </w:tc>
      </w:tr>
    </w:tbl>
    <w:p w14:paraId="3C8A5495">
      <w:pPr>
        <w:pStyle w:val="34"/>
        <w:spacing w:before="192" w:beforeLines="80" w:after="24"/>
        <w:jc w:val="left"/>
        <w:rPr>
          <w:rFonts w:hint="eastAsia" w:hAnsi="宋体"/>
          <w:snapToGrid w:val="0"/>
          <w:color w:val="auto"/>
          <w:spacing w:val="-6"/>
          <w:kern w:val="21"/>
          <w:szCs w:val="21"/>
        </w:rPr>
      </w:pPr>
      <w:r>
        <w:rPr>
          <w:rFonts w:hAnsi="宋体"/>
          <w:snapToGrid w:val="0"/>
          <w:color w:val="auto"/>
          <w:kern w:val="21"/>
          <w:szCs w:val="21"/>
        </w:rPr>
        <w:t>注：</w:t>
      </w:r>
      <w:r>
        <w:rPr>
          <w:rFonts w:hAnsi="宋体"/>
          <w:snapToGrid w:val="0"/>
          <w:color w:val="auto"/>
          <w:spacing w:val="-16"/>
          <w:kern w:val="21"/>
          <w:szCs w:val="21"/>
        </w:rPr>
        <w:fldChar w:fldCharType="begin"/>
      </w:r>
      <w:r>
        <w:rPr>
          <w:rFonts w:hAnsi="宋体"/>
          <w:snapToGrid w:val="0"/>
          <w:color w:val="auto"/>
          <w:spacing w:val="-16"/>
          <w:kern w:val="21"/>
          <w:szCs w:val="21"/>
        </w:rPr>
        <w:instrText xml:space="preserve"> = 6 \* GB3 \* MERGEFORMAT </w:instrText>
      </w:r>
      <w:r>
        <w:rPr>
          <w:rFonts w:hAnsi="宋体"/>
          <w:snapToGrid w:val="0"/>
          <w:color w:val="auto"/>
          <w:spacing w:val="-16"/>
          <w:kern w:val="21"/>
          <w:szCs w:val="21"/>
        </w:rPr>
        <w:fldChar w:fldCharType="separate"/>
      </w:r>
      <w:r>
        <w:rPr>
          <w:rFonts w:hint="eastAsia" w:hAnsi="宋体"/>
          <w:color w:val="auto"/>
          <w:szCs w:val="21"/>
        </w:rPr>
        <w:t>⑥</w:t>
      </w:r>
      <w:r>
        <w:rPr>
          <w:rFonts w:hAnsi="宋体"/>
          <w:snapToGrid w:val="0"/>
          <w:color w:val="auto"/>
          <w:spacing w:val="-16"/>
          <w:kern w:val="21"/>
          <w:szCs w:val="21"/>
        </w:rPr>
        <w:fldChar w:fldCharType="end"/>
      </w:r>
      <w:r>
        <w:rPr>
          <w:rFonts w:hAnsi="宋体"/>
          <w:snapToGrid w:val="0"/>
          <w:color w:val="auto"/>
          <w:spacing w:val="-16"/>
          <w:kern w:val="21"/>
          <w:szCs w:val="21"/>
        </w:rPr>
        <w:t>=</w:t>
      </w:r>
      <w:r>
        <w:rPr>
          <w:rFonts w:hAnsi="宋体"/>
          <w:snapToGrid w:val="0"/>
          <w:color w:val="auto"/>
          <w:spacing w:val="-6"/>
          <w:kern w:val="21"/>
          <w:szCs w:val="21"/>
        </w:rPr>
        <w:fldChar w:fldCharType="begin"/>
      </w:r>
      <w:r>
        <w:rPr>
          <w:rFonts w:hAnsi="宋体"/>
          <w:snapToGrid w:val="0"/>
          <w:color w:val="auto"/>
          <w:spacing w:val="-6"/>
          <w:kern w:val="21"/>
          <w:szCs w:val="21"/>
        </w:rPr>
        <w:instrText xml:space="preserve"> = 1 \* GB3 \* MERGEFORMAT </w:instrText>
      </w:r>
      <w:r>
        <w:rPr>
          <w:rFonts w:hAnsi="宋体"/>
          <w:snapToGrid w:val="0"/>
          <w:color w:val="auto"/>
          <w:spacing w:val="-6"/>
          <w:kern w:val="21"/>
          <w:szCs w:val="21"/>
        </w:rPr>
        <w:fldChar w:fldCharType="separate"/>
      </w:r>
      <w:r>
        <w:rPr>
          <w:rFonts w:hint="eastAsia" w:hAnsi="宋体"/>
          <w:color w:val="auto"/>
          <w:szCs w:val="21"/>
        </w:rPr>
        <w:t>①</w:t>
      </w:r>
      <w:r>
        <w:rPr>
          <w:rFonts w:hAnsi="宋体"/>
          <w:snapToGrid w:val="0"/>
          <w:color w:val="auto"/>
          <w:spacing w:val="-6"/>
          <w:kern w:val="21"/>
          <w:szCs w:val="21"/>
        </w:rPr>
        <w:fldChar w:fldCharType="end"/>
      </w:r>
      <w:r>
        <w:rPr>
          <w:rFonts w:hAnsi="宋体"/>
          <w:snapToGrid w:val="0"/>
          <w:color w:val="auto"/>
          <w:spacing w:val="-6"/>
          <w:kern w:val="21"/>
          <w:szCs w:val="21"/>
        </w:rPr>
        <w:t>+</w:t>
      </w:r>
      <w:r>
        <w:rPr>
          <w:rFonts w:hAnsi="宋体"/>
          <w:snapToGrid w:val="0"/>
          <w:color w:val="auto"/>
          <w:spacing w:val="-6"/>
          <w:kern w:val="21"/>
          <w:szCs w:val="21"/>
        </w:rPr>
        <w:fldChar w:fldCharType="begin"/>
      </w:r>
      <w:r>
        <w:rPr>
          <w:rFonts w:hAnsi="宋体"/>
          <w:snapToGrid w:val="0"/>
          <w:color w:val="auto"/>
          <w:spacing w:val="-6"/>
          <w:kern w:val="21"/>
          <w:szCs w:val="21"/>
        </w:rPr>
        <w:instrText xml:space="preserve"> = 3 \* GB3 \* MERGEFORMAT </w:instrText>
      </w:r>
      <w:r>
        <w:rPr>
          <w:rFonts w:hAnsi="宋体"/>
          <w:snapToGrid w:val="0"/>
          <w:color w:val="auto"/>
          <w:spacing w:val="-6"/>
          <w:kern w:val="21"/>
          <w:szCs w:val="21"/>
        </w:rPr>
        <w:fldChar w:fldCharType="separate"/>
      </w:r>
      <w:r>
        <w:rPr>
          <w:rFonts w:hint="eastAsia" w:hAnsi="宋体"/>
          <w:color w:val="auto"/>
          <w:szCs w:val="21"/>
        </w:rPr>
        <w:t>③</w:t>
      </w:r>
      <w:r>
        <w:rPr>
          <w:rFonts w:hAnsi="宋体"/>
          <w:snapToGrid w:val="0"/>
          <w:color w:val="auto"/>
          <w:spacing w:val="-6"/>
          <w:kern w:val="21"/>
          <w:szCs w:val="21"/>
        </w:rPr>
        <w:fldChar w:fldCharType="end"/>
      </w:r>
      <w:r>
        <w:rPr>
          <w:rFonts w:hAnsi="宋体"/>
          <w:snapToGrid w:val="0"/>
          <w:color w:val="auto"/>
          <w:spacing w:val="-6"/>
          <w:kern w:val="21"/>
          <w:szCs w:val="21"/>
        </w:rPr>
        <w:t>+</w:t>
      </w:r>
      <w:r>
        <w:rPr>
          <w:rFonts w:hAnsi="宋体"/>
          <w:snapToGrid w:val="0"/>
          <w:color w:val="auto"/>
          <w:spacing w:val="-6"/>
          <w:kern w:val="21"/>
          <w:szCs w:val="21"/>
        </w:rPr>
        <w:fldChar w:fldCharType="begin"/>
      </w:r>
      <w:r>
        <w:rPr>
          <w:rFonts w:hAnsi="宋体"/>
          <w:snapToGrid w:val="0"/>
          <w:color w:val="auto"/>
          <w:spacing w:val="-6"/>
          <w:kern w:val="21"/>
          <w:szCs w:val="21"/>
        </w:rPr>
        <w:instrText xml:space="preserve"> = 4 \* GB3 \* MERGEFORMAT </w:instrText>
      </w:r>
      <w:r>
        <w:rPr>
          <w:rFonts w:hAnsi="宋体"/>
          <w:snapToGrid w:val="0"/>
          <w:color w:val="auto"/>
          <w:spacing w:val="-6"/>
          <w:kern w:val="21"/>
          <w:szCs w:val="21"/>
        </w:rPr>
        <w:fldChar w:fldCharType="separate"/>
      </w:r>
      <w:r>
        <w:rPr>
          <w:rFonts w:hint="eastAsia" w:hAnsi="宋体"/>
          <w:color w:val="auto"/>
          <w:szCs w:val="21"/>
        </w:rPr>
        <w:t>④</w:t>
      </w:r>
      <w:r>
        <w:rPr>
          <w:rFonts w:hAnsi="宋体"/>
          <w:snapToGrid w:val="0"/>
          <w:color w:val="auto"/>
          <w:spacing w:val="-6"/>
          <w:kern w:val="21"/>
          <w:szCs w:val="21"/>
        </w:rPr>
        <w:fldChar w:fldCharType="end"/>
      </w:r>
      <w:r>
        <w:rPr>
          <w:rFonts w:hAnsi="宋体"/>
          <w:snapToGrid w:val="0"/>
          <w:color w:val="auto"/>
          <w:spacing w:val="-6"/>
          <w:kern w:val="21"/>
          <w:szCs w:val="21"/>
        </w:rPr>
        <w:t>-</w:t>
      </w:r>
      <w:r>
        <w:rPr>
          <w:rFonts w:hAnsi="宋体"/>
          <w:snapToGrid w:val="0"/>
          <w:color w:val="auto"/>
          <w:spacing w:val="-16"/>
          <w:kern w:val="21"/>
          <w:szCs w:val="21"/>
        </w:rPr>
        <w:fldChar w:fldCharType="begin"/>
      </w:r>
      <w:r>
        <w:rPr>
          <w:rFonts w:hAnsi="宋体"/>
          <w:snapToGrid w:val="0"/>
          <w:color w:val="auto"/>
          <w:spacing w:val="-16"/>
          <w:kern w:val="21"/>
          <w:szCs w:val="21"/>
        </w:rPr>
        <w:instrText xml:space="preserve"> = 5 \* GB3 \* MERGEFORMAT </w:instrText>
      </w:r>
      <w:r>
        <w:rPr>
          <w:rFonts w:hAnsi="宋体"/>
          <w:snapToGrid w:val="0"/>
          <w:color w:val="auto"/>
          <w:spacing w:val="-16"/>
          <w:kern w:val="21"/>
          <w:szCs w:val="21"/>
        </w:rPr>
        <w:fldChar w:fldCharType="separate"/>
      </w:r>
      <w:r>
        <w:rPr>
          <w:rFonts w:hint="eastAsia" w:hAnsi="宋体"/>
          <w:color w:val="auto"/>
          <w:szCs w:val="21"/>
        </w:rPr>
        <w:t>⑤</w:t>
      </w:r>
      <w:r>
        <w:rPr>
          <w:rFonts w:hAnsi="宋体"/>
          <w:snapToGrid w:val="0"/>
          <w:color w:val="auto"/>
          <w:spacing w:val="-16"/>
          <w:kern w:val="21"/>
          <w:szCs w:val="21"/>
        </w:rPr>
        <w:fldChar w:fldCharType="end"/>
      </w:r>
      <w:r>
        <w:rPr>
          <w:rFonts w:hAnsi="宋体"/>
          <w:snapToGrid w:val="0"/>
          <w:color w:val="auto"/>
          <w:spacing w:val="-16"/>
          <w:kern w:val="21"/>
          <w:szCs w:val="21"/>
        </w:rPr>
        <w:t>；</w:t>
      </w:r>
      <w:r>
        <w:rPr>
          <w:rFonts w:hAnsi="宋体"/>
          <w:snapToGrid w:val="0"/>
          <w:color w:val="auto"/>
          <w:spacing w:val="-6"/>
          <w:kern w:val="21"/>
          <w:szCs w:val="21"/>
        </w:rPr>
        <w:fldChar w:fldCharType="begin"/>
      </w:r>
      <w:r>
        <w:rPr>
          <w:rFonts w:hAnsi="宋体"/>
          <w:snapToGrid w:val="0"/>
          <w:color w:val="auto"/>
          <w:spacing w:val="-6"/>
          <w:kern w:val="21"/>
          <w:szCs w:val="21"/>
        </w:rPr>
        <w:instrText xml:space="preserve"> = 7 \* GB3 \* MERGEFORMAT </w:instrText>
      </w:r>
      <w:r>
        <w:rPr>
          <w:rFonts w:hAnsi="宋体"/>
          <w:snapToGrid w:val="0"/>
          <w:color w:val="auto"/>
          <w:spacing w:val="-6"/>
          <w:kern w:val="21"/>
          <w:szCs w:val="21"/>
        </w:rPr>
        <w:fldChar w:fldCharType="separate"/>
      </w:r>
      <w:r>
        <w:rPr>
          <w:rFonts w:hint="eastAsia" w:hAnsi="宋体"/>
          <w:color w:val="auto"/>
          <w:szCs w:val="21"/>
        </w:rPr>
        <w:t>⑦</w:t>
      </w:r>
      <w:r>
        <w:rPr>
          <w:rFonts w:hAnsi="宋体"/>
          <w:snapToGrid w:val="0"/>
          <w:color w:val="auto"/>
          <w:spacing w:val="-6"/>
          <w:kern w:val="21"/>
          <w:szCs w:val="21"/>
        </w:rPr>
        <w:fldChar w:fldCharType="end"/>
      </w:r>
      <w:r>
        <w:rPr>
          <w:rFonts w:hAnsi="宋体"/>
          <w:snapToGrid w:val="0"/>
          <w:color w:val="auto"/>
          <w:spacing w:val="-6"/>
          <w:kern w:val="21"/>
          <w:szCs w:val="21"/>
        </w:rPr>
        <w:t>=</w:t>
      </w:r>
      <w:r>
        <w:rPr>
          <w:rFonts w:hAnsi="宋体"/>
          <w:snapToGrid w:val="0"/>
          <w:color w:val="auto"/>
          <w:spacing w:val="-16"/>
          <w:kern w:val="21"/>
          <w:szCs w:val="21"/>
        </w:rPr>
        <w:fldChar w:fldCharType="begin"/>
      </w:r>
      <w:r>
        <w:rPr>
          <w:rFonts w:hAnsi="宋体"/>
          <w:snapToGrid w:val="0"/>
          <w:color w:val="auto"/>
          <w:spacing w:val="-16"/>
          <w:kern w:val="21"/>
          <w:szCs w:val="21"/>
        </w:rPr>
        <w:instrText xml:space="preserve"> = 6 \* GB3 \* MERGEFORMAT </w:instrText>
      </w:r>
      <w:r>
        <w:rPr>
          <w:rFonts w:hAnsi="宋体"/>
          <w:snapToGrid w:val="0"/>
          <w:color w:val="auto"/>
          <w:spacing w:val="-16"/>
          <w:kern w:val="21"/>
          <w:szCs w:val="21"/>
        </w:rPr>
        <w:fldChar w:fldCharType="separate"/>
      </w:r>
      <w:r>
        <w:rPr>
          <w:rFonts w:hint="eastAsia" w:hAnsi="宋体"/>
          <w:color w:val="auto"/>
          <w:szCs w:val="21"/>
        </w:rPr>
        <w:t>⑥</w:t>
      </w:r>
      <w:r>
        <w:rPr>
          <w:rFonts w:hAnsi="宋体"/>
          <w:snapToGrid w:val="0"/>
          <w:color w:val="auto"/>
          <w:spacing w:val="-16"/>
          <w:kern w:val="21"/>
          <w:szCs w:val="21"/>
        </w:rPr>
        <w:fldChar w:fldCharType="end"/>
      </w:r>
      <w:r>
        <w:rPr>
          <w:rFonts w:hAnsi="宋体"/>
          <w:snapToGrid w:val="0"/>
          <w:color w:val="auto"/>
          <w:spacing w:val="-16"/>
          <w:kern w:val="21"/>
          <w:szCs w:val="21"/>
        </w:rPr>
        <w:t>-</w:t>
      </w:r>
      <w:r>
        <w:rPr>
          <w:rFonts w:hAnsi="宋体"/>
          <w:snapToGrid w:val="0"/>
          <w:color w:val="auto"/>
          <w:spacing w:val="-6"/>
          <w:kern w:val="21"/>
          <w:szCs w:val="21"/>
        </w:rPr>
        <w:fldChar w:fldCharType="begin"/>
      </w:r>
      <w:r>
        <w:rPr>
          <w:rFonts w:hAnsi="宋体"/>
          <w:snapToGrid w:val="0"/>
          <w:color w:val="auto"/>
          <w:spacing w:val="-6"/>
          <w:kern w:val="21"/>
          <w:szCs w:val="21"/>
        </w:rPr>
        <w:instrText xml:space="preserve"> = 1 \* GB3 \* MERGEFORMAT </w:instrText>
      </w:r>
      <w:r>
        <w:rPr>
          <w:rFonts w:hAnsi="宋体"/>
          <w:snapToGrid w:val="0"/>
          <w:color w:val="auto"/>
          <w:spacing w:val="-6"/>
          <w:kern w:val="21"/>
          <w:szCs w:val="21"/>
        </w:rPr>
        <w:fldChar w:fldCharType="separate"/>
      </w:r>
      <w:r>
        <w:rPr>
          <w:rFonts w:hint="eastAsia" w:hAnsi="宋体"/>
          <w:color w:val="auto"/>
          <w:szCs w:val="21"/>
        </w:rPr>
        <w:t>①</w:t>
      </w:r>
      <w:r>
        <w:rPr>
          <w:rFonts w:hAnsi="宋体"/>
          <w:snapToGrid w:val="0"/>
          <w:color w:val="auto"/>
          <w:spacing w:val="-6"/>
          <w:kern w:val="21"/>
          <w:szCs w:val="21"/>
        </w:rPr>
        <w:fldChar w:fldCharType="end"/>
      </w:r>
    </w:p>
    <w:p w14:paraId="1D847109">
      <w:pPr>
        <w:pStyle w:val="11"/>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default" w:ascii="Times New Roman" w:hAnsi="Times New Roman" w:cs="Times New Roman"/>
          <w:b/>
          <w:bCs/>
          <w:color w:val="auto"/>
          <w:sz w:val="28"/>
          <w:szCs w:val="28"/>
          <w:lang w:val="en-US" w:eastAsia="zh-CN"/>
        </w:rPr>
        <w:sectPr>
          <w:footerReference r:id="rId6" w:type="default"/>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pPr>
    </w:p>
    <w:p w14:paraId="7A4EB74F">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宋体" w:cs="Times New Roman"/>
          <w:color w:val="auto"/>
          <w:sz w:val="28"/>
          <w:szCs w:val="28"/>
          <w:lang w:val="en-US" w:eastAsia="zh-CN"/>
        </w:rPr>
      </w:pPr>
      <w:r>
        <w:rPr>
          <w:rFonts w:hint="eastAsia" w:ascii="Times New Roman" w:hAnsi="Times New Roman" w:eastAsia="宋体" w:cs="Times New Roman"/>
          <w:b/>
          <w:bCs/>
          <w:color w:val="auto"/>
          <w:sz w:val="28"/>
          <w:szCs w:val="28"/>
          <w:lang w:val="en-US" w:eastAsia="zh-CN"/>
        </w:rPr>
        <w:t>附件</w:t>
      </w:r>
    </w:p>
    <w:p w14:paraId="67CBBFC4">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宋体" w:cs="Times New Roman"/>
          <w:color w:val="auto"/>
          <w:sz w:val="28"/>
          <w:szCs w:val="28"/>
          <w:lang w:val="en-US" w:eastAsia="zh-CN"/>
        </w:rPr>
      </w:pPr>
      <w:r>
        <w:rPr>
          <w:rFonts w:hint="eastAsia" w:ascii="Times New Roman" w:hAnsi="Times New Roman" w:eastAsia="宋体" w:cs="Times New Roman"/>
          <w:color w:val="auto"/>
          <w:sz w:val="28"/>
          <w:szCs w:val="28"/>
          <w:lang w:val="en-US" w:eastAsia="zh-CN"/>
        </w:rPr>
        <w:t>附件1：委托书</w:t>
      </w:r>
    </w:p>
    <w:p w14:paraId="4087CC7C">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Times New Roman" w:hAnsi="Times New Roman" w:eastAsia="宋体" w:cs="Times New Roman"/>
          <w:color w:val="auto"/>
          <w:sz w:val="28"/>
          <w:szCs w:val="28"/>
          <w:lang w:val="en-US" w:eastAsia="zh-CN"/>
        </w:rPr>
      </w:pPr>
      <w:r>
        <w:rPr>
          <w:rFonts w:hint="eastAsia" w:ascii="Times New Roman" w:hAnsi="Times New Roman" w:eastAsia="宋体" w:cs="Times New Roman"/>
          <w:color w:val="auto"/>
          <w:sz w:val="28"/>
          <w:szCs w:val="28"/>
          <w:lang w:val="en-US" w:eastAsia="zh-CN"/>
        </w:rPr>
        <w:t>附件2：立项文件</w:t>
      </w:r>
    </w:p>
    <w:p w14:paraId="23326437">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宋体" w:cs="Times New Roman"/>
          <w:color w:val="auto"/>
          <w:sz w:val="28"/>
          <w:szCs w:val="28"/>
          <w:lang w:val="en-US" w:eastAsia="zh-CN"/>
        </w:rPr>
      </w:pPr>
      <w:r>
        <w:rPr>
          <w:rFonts w:hint="eastAsia" w:ascii="Times New Roman" w:hAnsi="Times New Roman" w:eastAsia="宋体" w:cs="Times New Roman"/>
          <w:color w:val="auto"/>
          <w:sz w:val="28"/>
          <w:szCs w:val="28"/>
          <w:lang w:val="en-US" w:eastAsia="zh-CN"/>
        </w:rPr>
        <w:t>附件</w:t>
      </w:r>
      <w:r>
        <w:rPr>
          <w:rFonts w:hint="eastAsia" w:cs="Times New Roman"/>
          <w:color w:val="auto"/>
          <w:sz w:val="28"/>
          <w:szCs w:val="28"/>
          <w:lang w:val="en-US" w:eastAsia="zh-CN"/>
        </w:rPr>
        <w:t>3</w:t>
      </w:r>
      <w:r>
        <w:rPr>
          <w:rFonts w:hint="eastAsia" w:ascii="Times New Roman" w:hAnsi="Times New Roman" w:eastAsia="宋体" w:cs="Times New Roman"/>
          <w:color w:val="auto"/>
          <w:sz w:val="28"/>
          <w:szCs w:val="28"/>
          <w:lang w:val="en-US" w:eastAsia="zh-CN"/>
        </w:rPr>
        <w:t>：</w:t>
      </w:r>
      <w:r>
        <w:rPr>
          <w:rFonts w:hint="eastAsia" w:cs="Times New Roman"/>
          <w:color w:val="auto"/>
          <w:sz w:val="28"/>
          <w:szCs w:val="28"/>
          <w:lang w:val="en-US" w:eastAsia="zh-CN"/>
        </w:rPr>
        <w:t>常务会会议纪要</w:t>
      </w:r>
    </w:p>
    <w:p w14:paraId="3B27BA1B">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宋体" w:cs="Times New Roman"/>
          <w:color w:val="auto"/>
          <w:sz w:val="28"/>
          <w:szCs w:val="28"/>
          <w:lang w:val="en-US" w:eastAsia="zh-CN"/>
        </w:rPr>
      </w:pPr>
      <w:r>
        <w:rPr>
          <w:rFonts w:hint="eastAsia" w:ascii="Times New Roman" w:hAnsi="Times New Roman" w:eastAsia="宋体" w:cs="Times New Roman"/>
          <w:color w:val="auto"/>
          <w:sz w:val="28"/>
          <w:szCs w:val="28"/>
          <w:lang w:val="en-US" w:eastAsia="zh-CN"/>
        </w:rPr>
        <w:t>附件</w:t>
      </w:r>
      <w:r>
        <w:rPr>
          <w:rFonts w:hint="eastAsia" w:cs="Times New Roman"/>
          <w:color w:val="auto"/>
          <w:sz w:val="28"/>
          <w:szCs w:val="28"/>
          <w:lang w:val="en-US" w:eastAsia="zh-CN"/>
        </w:rPr>
        <w:t>4</w:t>
      </w:r>
      <w:r>
        <w:rPr>
          <w:rFonts w:hint="eastAsia" w:ascii="Times New Roman" w:hAnsi="Times New Roman" w:eastAsia="宋体" w:cs="Times New Roman"/>
          <w:color w:val="auto"/>
          <w:sz w:val="28"/>
          <w:szCs w:val="28"/>
          <w:lang w:val="en-US" w:eastAsia="zh-CN"/>
        </w:rPr>
        <w:t>：土地手续</w:t>
      </w:r>
    </w:p>
    <w:p w14:paraId="222AA7BE">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Times New Roman" w:hAnsi="Times New Roman" w:eastAsia="宋体" w:cs="Times New Roman"/>
          <w:color w:val="auto"/>
          <w:sz w:val="28"/>
          <w:szCs w:val="28"/>
          <w:lang w:val="en-US" w:eastAsia="zh-CN"/>
        </w:rPr>
      </w:pPr>
      <w:r>
        <w:rPr>
          <w:rFonts w:hint="eastAsia" w:ascii="Times New Roman" w:hAnsi="Times New Roman" w:eastAsia="宋体" w:cs="Times New Roman"/>
          <w:color w:val="auto"/>
          <w:sz w:val="28"/>
          <w:szCs w:val="28"/>
          <w:lang w:val="en-US" w:eastAsia="zh-CN"/>
        </w:rPr>
        <w:t>附件</w:t>
      </w:r>
      <w:r>
        <w:rPr>
          <w:rFonts w:hint="eastAsia" w:cs="Times New Roman"/>
          <w:color w:val="auto"/>
          <w:sz w:val="28"/>
          <w:szCs w:val="28"/>
          <w:lang w:val="en-US" w:eastAsia="zh-CN"/>
        </w:rPr>
        <w:t>5</w:t>
      </w:r>
      <w:r>
        <w:rPr>
          <w:rFonts w:hint="eastAsia" w:ascii="Times New Roman" w:hAnsi="Times New Roman" w:eastAsia="宋体" w:cs="Times New Roman"/>
          <w:color w:val="auto"/>
          <w:sz w:val="28"/>
          <w:szCs w:val="28"/>
          <w:lang w:val="en-US" w:eastAsia="zh-CN"/>
        </w:rPr>
        <w:t>：监测报告</w:t>
      </w:r>
    </w:p>
    <w:p w14:paraId="4343D601">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宋体" w:cs="Times New Roman"/>
          <w:color w:val="auto"/>
          <w:sz w:val="28"/>
          <w:szCs w:val="28"/>
          <w:lang w:val="en-US" w:eastAsia="zh-CN"/>
        </w:rPr>
      </w:pPr>
      <w:r>
        <w:rPr>
          <w:rFonts w:hint="eastAsia" w:ascii="Times New Roman" w:hAnsi="Times New Roman" w:eastAsia="宋体" w:cs="Times New Roman"/>
          <w:color w:val="auto"/>
          <w:sz w:val="28"/>
          <w:szCs w:val="28"/>
          <w:lang w:val="en-US" w:eastAsia="zh-CN"/>
        </w:rPr>
        <w:t>附件</w:t>
      </w:r>
      <w:r>
        <w:rPr>
          <w:rFonts w:hint="eastAsia" w:cs="Times New Roman"/>
          <w:color w:val="auto"/>
          <w:sz w:val="28"/>
          <w:szCs w:val="28"/>
          <w:lang w:val="en-US" w:eastAsia="zh-CN"/>
        </w:rPr>
        <w:t>6</w:t>
      </w:r>
      <w:r>
        <w:rPr>
          <w:rFonts w:hint="eastAsia" w:ascii="Times New Roman" w:hAnsi="Times New Roman" w:eastAsia="宋体" w:cs="Times New Roman"/>
          <w:color w:val="auto"/>
          <w:sz w:val="28"/>
          <w:szCs w:val="28"/>
          <w:lang w:val="en-US" w:eastAsia="zh-CN"/>
        </w:rPr>
        <w:t>：</w:t>
      </w:r>
      <w:r>
        <w:rPr>
          <w:rFonts w:hint="eastAsia" w:cs="Times New Roman"/>
          <w:color w:val="auto"/>
          <w:sz w:val="28"/>
          <w:szCs w:val="28"/>
          <w:lang w:val="en-US" w:eastAsia="zh-CN"/>
        </w:rPr>
        <w:t>建筑垃圾填埋场批复</w:t>
      </w:r>
    </w:p>
    <w:p w14:paraId="6AB47FD0">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宋体" w:cs="Times New Roman"/>
          <w:color w:val="auto"/>
          <w:sz w:val="28"/>
          <w:szCs w:val="28"/>
          <w:lang w:val="en-US" w:eastAsia="zh-CN"/>
        </w:rPr>
      </w:pPr>
      <w:r>
        <w:rPr>
          <w:rFonts w:hint="eastAsia" w:ascii="Times New Roman" w:hAnsi="Times New Roman" w:eastAsia="宋体" w:cs="Times New Roman"/>
          <w:color w:val="auto"/>
          <w:sz w:val="28"/>
          <w:szCs w:val="28"/>
          <w:lang w:val="en-US" w:eastAsia="zh-CN"/>
        </w:rPr>
        <w:t>附件</w:t>
      </w:r>
      <w:r>
        <w:rPr>
          <w:rFonts w:hint="eastAsia" w:cs="Times New Roman"/>
          <w:color w:val="auto"/>
          <w:sz w:val="28"/>
          <w:szCs w:val="28"/>
          <w:lang w:val="en-US" w:eastAsia="zh-CN"/>
        </w:rPr>
        <w:t>7</w:t>
      </w:r>
      <w:r>
        <w:rPr>
          <w:rFonts w:hint="eastAsia" w:ascii="Times New Roman" w:hAnsi="Times New Roman" w:eastAsia="宋体" w:cs="Times New Roman"/>
          <w:color w:val="auto"/>
          <w:sz w:val="28"/>
          <w:szCs w:val="28"/>
          <w:lang w:val="en-US" w:eastAsia="zh-CN"/>
        </w:rPr>
        <w:t>：</w:t>
      </w:r>
      <w:r>
        <w:rPr>
          <w:rFonts w:hint="eastAsia" w:cs="Times New Roman"/>
          <w:color w:val="auto"/>
          <w:sz w:val="28"/>
          <w:szCs w:val="28"/>
          <w:lang w:val="en-US" w:eastAsia="zh-CN"/>
        </w:rPr>
        <w:t>建筑垃圾资源化利用项目（临时）批复</w:t>
      </w:r>
    </w:p>
    <w:p w14:paraId="03809BC4">
      <w:pPr>
        <w:keepNext w:val="0"/>
        <w:keepLines w:val="0"/>
        <w:pageBreakBefore w:val="0"/>
        <w:widowControl w:val="0"/>
        <w:kinsoku/>
        <w:wordWrap/>
        <w:overflowPunct/>
        <w:topLinePunct w:val="0"/>
        <w:autoSpaceDE/>
        <w:autoSpaceDN/>
        <w:bidi w:val="0"/>
        <w:adjustRightInd/>
        <w:snapToGrid w:val="0"/>
        <w:spacing w:line="560" w:lineRule="exact"/>
        <w:textAlignment w:val="auto"/>
        <w:rPr>
          <w:rFonts w:hint="eastAsia" w:ascii="Times New Roman" w:hAnsi="Times New Roman" w:eastAsia="宋体" w:cs="Times New Roman"/>
          <w:color w:val="auto"/>
          <w:sz w:val="28"/>
          <w:szCs w:val="28"/>
          <w:lang w:val="en-US" w:eastAsia="zh-CN"/>
        </w:rPr>
      </w:pPr>
    </w:p>
    <w:p w14:paraId="40ED7242">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vertAlign w:val="baseline"/>
          <w:lang w:val="en-US" w:eastAsia="zh-CN"/>
        </w:rPr>
      </w:pPr>
    </w:p>
    <w:sectPr>
      <w:footerReference r:id="rId7" w:type="default"/>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D15E99E-A8BD-4F1E-9F78-731DBA7E158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embedRegular r:id="rId2" w:fontKey="{182007C2-DD6D-4AA8-B241-181CB8CA499E}"/>
  </w:font>
  <w:font w:name="Calibri">
    <w:panose1 w:val="020F0502020204030204"/>
    <w:charset w:val="00"/>
    <w:family w:val="swiss"/>
    <w:pitch w:val="default"/>
    <w:sig w:usb0="E4002EFF" w:usb1="C200247B" w:usb2="00000009" w:usb3="00000000" w:csb0="200001FF" w:csb1="00000000"/>
    <w:embedRegular r:id="rId3" w:fontKey="{04A4151A-EB59-4C26-AFC1-FDC9E2C09969}"/>
  </w:font>
  <w:font w:name="仿宋_GB2312">
    <w:altName w:val="仿宋"/>
    <w:panose1 w:val="02010609030101010101"/>
    <w:charset w:val="86"/>
    <w:family w:val="modern"/>
    <w:pitch w:val="default"/>
    <w:sig w:usb0="00000000" w:usb1="00000000" w:usb2="00000000" w:usb3="00000000" w:csb0="00040000" w:csb1="00000000"/>
    <w:embedRegular r:id="rId4" w:fontKey="{0AA20247-E479-4211-9809-C34601E567AF}"/>
  </w:font>
  <w:font w:name="仿宋">
    <w:panose1 w:val="02010609060101010101"/>
    <w:charset w:val="86"/>
    <w:family w:val="modern"/>
    <w:pitch w:val="default"/>
    <w:sig w:usb0="800002BF" w:usb1="38CF7CFA" w:usb2="00000016" w:usb3="00000000" w:csb0="00040001" w:csb1="00000000"/>
    <w:embedRegular r:id="rId5" w:fontKey="{F356FB15-0D4C-4A33-8472-30A8D21E8B75}"/>
  </w:font>
  <w:font w:name="ˎ̥">
    <w:altName w:val="Times New Roman"/>
    <w:panose1 w:val="00000000000000000000"/>
    <w:charset w:val="00"/>
    <w:family w:val="roman"/>
    <w:pitch w:val="default"/>
    <w:sig w:usb0="00000000" w:usb1="00000000" w:usb2="00000000" w:usb3="00000000" w:csb0="00040001" w:csb1="00000000"/>
  </w:font>
  <w:font w:name="楷体_GB2312">
    <w:altName w:val="楷体"/>
    <w:panose1 w:val="02010609030101010101"/>
    <w:charset w:val="86"/>
    <w:family w:val="modern"/>
    <w:pitch w:val="default"/>
    <w:sig w:usb0="00000000" w:usb1="00000000" w:usb2="00000010" w:usb3="00000000" w:csb0="00040000" w:csb1="00000000"/>
    <w:embedRegular r:id="rId6" w:fontKey="{6D9C0DDA-A27A-43ED-9945-0517BF9ECE8B}"/>
  </w:font>
  <w:font w:name="楷体">
    <w:panose1 w:val="02010609060101010101"/>
    <w:charset w:val="86"/>
    <w:family w:val="auto"/>
    <w:pitch w:val="default"/>
    <w:sig w:usb0="800002BF" w:usb1="38CF7CFA" w:usb2="00000016" w:usb3="00000000" w:csb0="00040001" w:csb1="00000000"/>
  </w:font>
  <w:font w:name="方正小标宋简体">
    <w:panose1 w:val="02000000000000000000"/>
    <w:charset w:val="86"/>
    <w:family w:val="auto"/>
    <w:pitch w:val="default"/>
    <w:sig w:usb0="00000001" w:usb1="08000000" w:usb2="00000000" w:usb3="00000000" w:csb0="00040000" w:csb1="00000000"/>
    <w:embedRegular r:id="rId7" w:fontKey="{95154E4B-F3FC-4CF3-823D-5D46944AFFDB}"/>
  </w:font>
  <w:font w:name="Wingdings 2">
    <w:panose1 w:val="05020102010507070707"/>
    <w:charset w:val="02"/>
    <w:family w:val="auto"/>
    <w:pitch w:val="default"/>
    <w:sig w:usb0="00000000" w:usb1="00000000" w:usb2="00000000" w:usb3="00000000" w:csb0="80000000" w:csb1="00000000"/>
    <w:embedRegular r:id="rId8" w:fontKey="{F7EAFD3E-6077-43F2-879C-4F44E826B5D6}"/>
  </w:font>
  <w:font w:name="Segoe UI Emoji">
    <w:panose1 w:val="020B0502040204020203"/>
    <w:charset w:val="00"/>
    <w:family w:val="auto"/>
    <w:pitch w:val="default"/>
    <w:sig w:usb0="00000001" w:usb1="02000000" w:usb2="08000000" w:usb3="00000000" w:csb0="00000001" w:csb1="00000000"/>
    <w:embedRegular r:id="rId9" w:fontKey="{F1FCB38D-E5EB-476C-B165-5EE1A00EF208}"/>
  </w:font>
  <w:font w:name="方正小标宋_GBK">
    <w:panose1 w:val="02000000000000000000"/>
    <w:charset w:val="86"/>
    <w:family w:val="script"/>
    <w:pitch w:val="default"/>
    <w:sig w:usb0="A00002BF" w:usb1="38CF7CFA" w:usb2="00082016" w:usb3="00000000" w:csb0="00040001" w:csb1="00000000"/>
    <w:embedRegular r:id="rId10" w:fontKey="{400FB580-E155-46E3-A4B6-70EEB9DA24B3}"/>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1D9C0D">
    <w:pPr>
      <w:pStyle w:val="18"/>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8E2BD8">
    <w:pPr>
      <w:pStyle w:val="18"/>
      <w:ind w:right="360" w:firstLine="360"/>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20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D511115">
                          <w:pPr>
                            <w:pStyle w:val="18"/>
                          </w:pPr>
                          <w:r>
                            <w:fldChar w:fldCharType="begin"/>
                          </w:r>
                          <w:r>
                            <w:instrText xml:space="preserve"> PAGE  \* MERGEFORMAT </w:instrText>
                          </w:r>
                          <w:r>
                            <w:fldChar w:fldCharType="separate"/>
                          </w:r>
                          <w:r>
                            <w:t>1</w:t>
                          </w:r>
                          <w:r>
                            <w:fldChar w:fldCharType="end"/>
                          </w:r>
                        </w:p>
                      </w:txbxContent>
                    </wps:txbx>
                    <wps:bodyPr wrap="none" lIns="0" tIns="0" rIns="0" bIns="0" upright="0">
                      <a:spAutoFit/>
                    </wps:bodyPr>
                  </wps:wsp>
                </a:graphicData>
              </a:graphic>
            </wp:anchor>
          </w:drawing>
        </mc:Choice>
        <mc:Fallback>
          <w:pict>
            <v:shape id="文本框 205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BhfatzLAQAAnQMAAA4AAAAAAAAAAQAgAAAAHgEAAGRycy9lMm9E&#10;b2MueG1sUEsFBgAAAAAGAAYAWQEAAFsFAAAAAA==&#10;">
              <v:fill on="f" focussize="0,0"/>
              <v:stroke on="f"/>
              <v:imagedata o:title=""/>
              <o:lock v:ext="edit" aspectratio="f"/>
              <v:textbox inset="0mm,0mm,0mm,0mm" style="mso-fit-shape-to-text:t;">
                <w:txbxContent>
                  <w:p w14:paraId="1D511115">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659A7D">
    <w:pPr>
      <w:pStyle w:val="18"/>
      <w:ind w:right="360"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20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763E640">
                          <w:pPr>
                            <w:pStyle w:val="18"/>
                          </w:pPr>
                          <w:r>
                            <w:fldChar w:fldCharType="begin"/>
                          </w:r>
                          <w:r>
                            <w:instrText xml:space="preserve"> PAGE  \* MERGEFORMAT </w:instrText>
                          </w:r>
                          <w:r>
                            <w:fldChar w:fldCharType="separate"/>
                          </w:r>
                          <w:r>
                            <w:t>85</w:t>
                          </w:r>
                          <w:r>
                            <w:fldChar w:fldCharType="end"/>
                          </w:r>
                        </w:p>
                      </w:txbxContent>
                    </wps:txbx>
                    <wps:bodyPr vert="horz" wrap="none" lIns="0" tIns="0" rIns="0" bIns="0" anchor="t" anchorCtr="0" upright="0">
                      <a:spAutoFit/>
                    </wps:bodyPr>
                  </wps:wsp>
                </a:graphicData>
              </a:graphic>
            </wp:anchor>
          </w:drawing>
        </mc:Choice>
        <mc:Fallback>
          <w:pict>
            <v:shape id="文本框 205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zql5uc8AAAAFAQAADwAAAAAAAAAB&#10;ACAAAAAiAAAAZHJzL2Rvd25yZXYueG1sUEsBAhQAFAAAAAgAh07iQIXD4wTgAQAAwgMAAA4AAAAA&#10;AAAAAQAgAAAAHgEAAGRycy9lMm9Eb2MueG1sUEsFBgAAAAAGAAYAWQEAAHAFAAAAAA==&#10;">
              <v:fill on="f" focussize="0,0"/>
              <v:stroke on="f"/>
              <v:imagedata o:title=""/>
              <o:lock v:ext="edit" aspectratio="f"/>
              <v:textbox inset="0mm,0mm,0mm,0mm" style="mso-fit-shape-to-text:t;">
                <w:txbxContent>
                  <w:p w14:paraId="4763E640">
                    <w:pPr>
                      <w:pStyle w:val="18"/>
                    </w:pPr>
                    <w:r>
                      <w:fldChar w:fldCharType="begin"/>
                    </w:r>
                    <w:r>
                      <w:instrText xml:space="preserve"> PAGE  \* MERGEFORMAT </w:instrText>
                    </w:r>
                    <w:r>
                      <w:fldChar w:fldCharType="separate"/>
                    </w:r>
                    <w:r>
                      <w:t>85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AB5A23">
    <w:pPr>
      <w:pStyle w:val="18"/>
      <w:ind w:right="360" w:firstLine="36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20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CE6E73">
                          <w:pPr>
                            <w:pStyle w:val="18"/>
                          </w:pPr>
                          <w:r>
                            <w:fldChar w:fldCharType="begin"/>
                          </w:r>
                          <w:r>
                            <w:instrText xml:space="preserve"> PAGE  \* MERGEFORMAT </w:instrText>
                          </w:r>
                          <w:r>
                            <w:fldChar w:fldCharType="separate"/>
                          </w:r>
                          <w:r>
                            <w:t>85</w:t>
                          </w:r>
                          <w:r>
                            <w:fldChar w:fldCharType="end"/>
                          </w:r>
                        </w:p>
                      </w:txbxContent>
                    </wps:txbx>
                    <wps:bodyPr wrap="none" lIns="0" tIns="0" rIns="0" bIns="0" upright="0">
                      <a:spAutoFit/>
                    </wps:bodyPr>
                  </wps:wsp>
                </a:graphicData>
              </a:graphic>
            </wp:anchor>
          </w:drawing>
        </mc:Choice>
        <mc:Fallback>
          <w:pict>
            <v:shape id="文本框 205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PYzix3LAQAAnQMAAA4AAAAAAAAAAQAgAAAAHgEAAGRycy9lMm9E&#10;b2MueG1sUEsFBgAAAAAGAAYAWQEAAFsFAAAAAA==&#10;">
              <v:fill on="f" focussize="0,0"/>
              <v:stroke on="f"/>
              <v:imagedata o:title=""/>
              <o:lock v:ext="edit" aspectratio="f"/>
              <v:textbox inset="0mm,0mm,0mm,0mm" style="mso-fit-shape-to-text:t;">
                <w:txbxContent>
                  <w:p w14:paraId="63CE6E73">
                    <w:pPr>
                      <w:pStyle w:val="18"/>
                    </w:pPr>
                    <w:r>
                      <w:fldChar w:fldCharType="begin"/>
                    </w:r>
                    <w:r>
                      <w:instrText xml:space="preserve"> PAGE  \* MERGEFORMAT </w:instrText>
                    </w:r>
                    <w:r>
                      <w:fldChar w:fldCharType="separate"/>
                    </w:r>
                    <w:r>
                      <w:t>85</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CA9A6">
    <w:pPr>
      <w:pStyle w:val="19"/>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6287C06"/>
    <w:multiLevelType w:val="multilevel"/>
    <w:tmpl w:val="C6287C06"/>
    <w:lvl w:ilvl="0" w:tentative="0">
      <w:start w:val="1"/>
      <w:numFmt w:val="none"/>
      <w:pStyle w:val="6"/>
      <w:isLgl/>
      <w:suff w:val="space"/>
      <w:lvlText w:val="表1.1-1%1"/>
      <w:lvlJc w:val="center"/>
      <w:pPr>
        <w:tabs>
          <w:tab w:val="left" w:pos="0"/>
        </w:tabs>
        <w:ind w:left="0" w:firstLine="2268"/>
      </w:pPr>
      <w:rPr>
        <w:rFonts w:hint="default" w:ascii="宋体" w:hAnsi="宋体" w:eastAsia="宋体" w:cs="宋体"/>
        <w:sz w:val="24"/>
        <w:szCs w:val="24"/>
        <w:lang w:val="en-US"/>
      </w:rPr>
    </w:lvl>
    <w:lvl w:ilvl="1" w:tentative="0">
      <w:start w:val="1"/>
      <w:numFmt w:val="lowerLetter"/>
      <w:lvlText w:val="%2)"/>
      <w:lvlJc w:val="left"/>
      <w:pPr>
        <w:tabs>
          <w:tab w:val="left" w:pos="420"/>
        </w:tabs>
        <w:ind w:left="840" w:hanging="420"/>
      </w:pPr>
      <w:rPr>
        <w:rFonts w:hint="default"/>
        <w:sz w:val="21"/>
        <w:szCs w:val="21"/>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
    <w:nsid w:val="CDA7A02A"/>
    <w:multiLevelType w:val="singleLevel"/>
    <w:tmpl w:val="CDA7A02A"/>
    <w:lvl w:ilvl="0" w:tentative="0">
      <w:start w:val="1"/>
      <w:numFmt w:val="bullet"/>
      <w:pStyle w:val="14"/>
      <w:lvlText w:val=""/>
      <w:lvlJc w:val="left"/>
      <w:pPr>
        <w:tabs>
          <w:tab w:val="left" w:pos="2040"/>
        </w:tabs>
        <w:ind w:left="2040" w:hanging="360"/>
      </w:pPr>
      <w:rPr>
        <w:rFonts w:hint="default" w:ascii="Wingdings" w:hAnsi="Wingdings"/>
      </w:rPr>
    </w:lvl>
  </w:abstractNum>
  <w:abstractNum w:abstractNumId="2">
    <w:nsid w:val="D079D15E"/>
    <w:multiLevelType w:val="multilevel"/>
    <w:tmpl w:val="D079D15E"/>
    <w:lvl w:ilvl="0" w:tentative="0">
      <w:start w:val="1"/>
      <w:numFmt w:val="decimal"/>
      <w:lvlText w:val="%1."/>
      <w:lvlJc w:val="left"/>
      <w:pPr>
        <w:ind w:left="432" w:hanging="432"/>
      </w:pPr>
      <w:rPr>
        <w:rFonts w:hint="default"/>
      </w:rPr>
    </w:lvl>
    <w:lvl w:ilvl="1" w:tentative="0">
      <w:start w:val="1"/>
      <w:numFmt w:val="decimal"/>
      <w:pStyle w:val="3"/>
      <w:lvlText w:val="%1.%2"/>
      <w:lvlJc w:val="left"/>
      <w:pPr>
        <w:ind w:left="0" w:firstLine="0"/>
      </w:pPr>
      <w:rPr>
        <w:rFonts w:hint="default"/>
      </w:rPr>
    </w:lvl>
    <w:lvl w:ilvl="2" w:tentative="0">
      <w:start w:val="1"/>
      <w:numFmt w:val="decimal"/>
      <w:lvlText w:val="%1.%2.%3"/>
      <w:lvlJc w:val="left"/>
      <w:pPr>
        <w:ind w:left="0" w:firstLine="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3">
    <w:nsid w:val="E8E06280"/>
    <w:multiLevelType w:val="singleLevel"/>
    <w:tmpl w:val="E8E06280"/>
    <w:lvl w:ilvl="0" w:tentative="0">
      <w:start w:val="1"/>
      <w:numFmt w:val="decimal"/>
      <w:suff w:val="nothing"/>
      <w:lvlText w:val="（%1）"/>
      <w:lvlJc w:val="left"/>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hdrShapeDefaults>
    <o:shapelayout v:ext="edit">
      <o:idmap v:ext="edit" data="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IzYjFiMDcxNjBhMjMwZjg5YWM5OTExNDI4MWRiNmYifQ=="/>
  </w:docVars>
  <w:rsids>
    <w:rsidRoot w:val="00A14947"/>
    <w:rsid w:val="000060B3"/>
    <w:rsid w:val="0004364B"/>
    <w:rsid w:val="00061B1F"/>
    <w:rsid w:val="000733C4"/>
    <w:rsid w:val="00074783"/>
    <w:rsid w:val="0008070B"/>
    <w:rsid w:val="000810AC"/>
    <w:rsid w:val="00081A02"/>
    <w:rsid w:val="00082231"/>
    <w:rsid w:val="00092D38"/>
    <w:rsid w:val="0009377B"/>
    <w:rsid w:val="000A20C9"/>
    <w:rsid w:val="000B058F"/>
    <w:rsid w:val="000B4467"/>
    <w:rsid w:val="000B4DB9"/>
    <w:rsid w:val="000C09AC"/>
    <w:rsid w:val="000C767F"/>
    <w:rsid w:val="000D5A44"/>
    <w:rsid w:val="000E3ED2"/>
    <w:rsid w:val="00131F42"/>
    <w:rsid w:val="001357F1"/>
    <w:rsid w:val="00140FA8"/>
    <w:rsid w:val="00142FEB"/>
    <w:rsid w:val="00143A2D"/>
    <w:rsid w:val="00145A41"/>
    <w:rsid w:val="00151675"/>
    <w:rsid w:val="00157435"/>
    <w:rsid w:val="0017504D"/>
    <w:rsid w:val="0017671A"/>
    <w:rsid w:val="00177422"/>
    <w:rsid w:val="00184590"/>
    <w:rsid w:val="001870D1"/>
    <w:rsid w:val="0018781E"/>
    <w:rsid w:val="0019262D"/>
    <w:rsid w:val="001A1B35"/>
    <w:rsid w:val="001A48A2"/>
    <w:rsid w:val="001A6F61"/>
    <w:rsid w:val="001B72B8"/>
    <w:rsid w:val="001C69B3"/>
    <w:rsid w:val="001D5595"/>
    <w:rsid w:val="001D7874"/>
    <w:rsid w:val="001D7F22"/>
    <w:rsid w:val="001F0F17"/>
    <w:rsid w:val="001F3347"/>
    <w:rsid w:val="001F69E4"/>
    <w:rsid w:val="002125B4"/>
    <w:rsid w:val="002155B8"/>
    <w:rsid w:val="00224839"/>
    <w:rsid w:val="002249B2"/>
    <w:rsid w:val="00226574"/>
    <w:rsid w:val="002278EC"/>
    <w:rsid w:val="0023280E"/>
    <w:rsid w:val="002377D1"/>
    <w:rsid w:val="002506BC"/>
    <w:rsid w:val="00254345"/>
    <w:rsid w:val="00264557"/>
    <w:rsid w:val="002805AB"/>
    <w:rsid w:val="00284204"/>
    <w:rsid w:val="00291773"/>
    <w:rsid w:val="002A168C"/>
    <w:rsid w:val="002A3DC7"/>
    <w:rsid w:val="002A494F"/>
    <w:rsid w:val="002B49E2"/>
    <w:rsid w:val="002B7B00"/>
    <w:rsid w:val="002B7C44"/>
    <w:rsid w:val="002C2B17"/>
    <w:rsid w:val="002D3DD0"/>
    <w:rsid w:val="002E1F3A"/>
    <w:rsid w:val="002E298A"/>
    <w:rsid w:val="00301978"/>
    <w:rsid w:val="0030332C"/>
    <w:rsid w:val="003051C2"/>
    <w:rsid w:val="00312296"/>
    <w:rsid w:val="00314F0E"/>
    <w:rsid w:val="00321D8E"/>
    <w:rsid w:val="00325928"/>
    <w:rsid w:val="00332863"/>
    <w:rsid w:val="0033684D"/>
    <w:rsid w:val="00337B42"/>
    <w:rsid w:val="00341B42"/>
    <w:rsid w:val="0034348F"/>
    <w:rsid w:val="00356653"/>
    <w:rsid w:val="0035743F"/>
    <w:rsid w:val="00357BE2"/>
    <w:rsid w:val="0036170C"/>
    <w:rsid w:val="00366E0F"/>
    <w:rsid w:val="00381A72"/>
    <w:rsid w:val="00384676"/>
    <w:rsid w:val="00390857"/>
    <w:rsid w:val="003A4BF3"/>
    <w:rsid w:val="003B420D"/>
    <w:rsid w:val="003C6C16"/>
    <w:rsid w:val="003D794D"/>
    <w:rsid w:val="003E3058"/>
    <w:rsid w:val="003E76A9"/>
    <w:rsid w:val="003F0809"/>
    <w:rsid w:val="003F6A8C"/>
    <w:rsid w:val="003F755C"/>
    <w:rsid w:val="00406F01"/>
    <w:rsid w:val="00416D50"/>
    <w:rsid w:val="00416FD5"/>
    <w:rsid w:val="00417772"/>
    <w:rsid w:val="00420E6A"/>
    <w:rsid w:val="00425A9E"/>
    <w:rsid w:val="00426D6B"/>
    <w:rsid w:val="00431E6C"/>
    <w:rsid w:val="00433CE7"/>
    <w:rsid w:val="00452738"/>
    <w:rsid w:val="00456091"/>
    <w:rsid w:val="00466321"/>
    <w:rsid w:val="00484B9B"/>
    <w:rsid w:val="004855F6"/>
    <w:rsid w:val="0048661E"/>
    <w:rsid w:val="00494670"/>
    <w:rsid w:val="004A3823"/>
    <w:rsid w:val="004E6946"/>
    <w:rsid w:val="004F1AD8"/>
    <w:rsid w:val="005039CB"/>
    <w:rsid w:val="0050558F"/>
    <w:rsid w:val="00506286"/>
    <w:rsid w:val="00510813"/>
    <w:rsid w:val="00511990"/>
    <w:rsid w:val="00511DE0"/>
    <w:rsid w:val="00514870"/>
    <w:rsid w:val="00514B9B"/>
    <w:rsid w:val="00517F02"/>
    <w:rsid w:val="00524303"/>
    <w:rsid w:val="005258A2"/>
    <w:rsid w:val="005401AE"/>
    <w:rsid w:val="00542E07"/>
    <w:rsid w:val="00545424"/>
    <w:rsid w:val="00554A7B"/>
    <w:rsid w:val="0055572C"/>
    <w:rsid w:val="0056106A"/>
    <w:rsid w:val="005720AE"/>
    <w:rsid w:val="00594D77"/>
    <w:rsid w:val="005969E4"/>
    <w:rsid w:val="005A06B7"/>
    <w:rsid w:val="005A1759"/>
    <w:rsid w:val="005A68A7"/>
    <w:rsid w:val="005D36AB"/>
    <w:rsid w:val="00617CC3"/>
    <w:rsid w:val="006377A6"/>
    <w:rsid w:val="00637A3D"/>
    <w:rsid w:val="006411EF"/>
    <w:rsid w:val="006748B8"/>
    <w:rsid w:val="006775C3"/>
    <w:rsid w:val="0069290A"/>
    <w:rsid w:val="0069775A"/>
    <w:rsid w:val="00697813"/>
    <w:rsid w:val="006A3EE8"/>
    <w:rsid w:val="006A72BF"/>
    <w:rsid w:val="006B03F2"/>
    <w:rsid w:val="006B37DC"/>
    <w:rsid w:val="006B4F68"/>
    <w:rsid w:val="006C0592"/>
    <w:rsid w:val="006C272E"/>
    <w:rsid w:val="006C5479"/>
    <w:rsid w:val="006D13B5"/>
    <w:rsid w:val="006E12FF"/>
    <w:rsid w:val="006E607E"/>
    <w:rsid w:val="00706C5D"/>
    <w:rsid w:val="00732922"/>
    <w:rsid w:val="0075162E"/>
    <w:rsid w:val="00754034"/>
    <w:rsid w:val="00756556"/>
    <w:rsid w:val="007618C4"/>
    <w:rsid w:val="00767980"/>
    <w:rsid w:val="00770B19"/>
    <w:rsid w:val="0077463F"/>
    <w:rsid w:val="007836EA"/>
    <w:rsid w:val="00784CDA"/>
    <w:rsid w:val="007906C4"/>
    <w:rsid w:val="007940EA"/>
    <w:rsid w:val="007967E8"/>
    <w:rsid w:val="007A2170"/>
    <w:rsid w:val="007A22BF"/>
    <w:rsid w:val="007A3323"/>
    <w:rsid w:val="007B72B8"/>
    <w:rsid w:val="007B7A58"/>
    <w:rsid w:val="007C21B5"/>
    <w:rsid w:val="007E4BD2"/>
    <w:rsid w:val="00801393"/>
    <w:rsid w:val="00802F88"/>
    <w:rsid w:val="0081293E"/>
    <w:rsid w:val="00815465"/>
    <w:rsid w:val="00817E9A"/>
    <w:rsid w:val="008306BD"/>
    <w:rsid w:val="00831A80"/>
    <w:rsid w:val="00833743"/>
    <w:rsid w:val="008340A4"/>
    <w:rsid w:val="0087135F"/>
    <w:rsid w:val="00872D94"/>
    <w:rsid w:val="00880364"/>
    <w:rsid w:val="00891592"/>
    <w:rsid w:val="00891E9E"/>
    <w:rsid w:val="008A2F68"/>
    <w:rsid w:val="008B4FA6"/>
    <w:rsid w:val="008B5282"/>
    <w:rsid w:val="008B7C17"/>
    <w:rsid w:val="008C2D01"/>
    <w:rsid w:val="008C40E6"/>
    <w:rsid w:val="008D0F7A"/>
    <w:rsid w:val="008D68E4"/>
    <w:rsid w:val="008E0506"/>
    <w:rsid w:val="008E0CFF"/>
    <w:rsid w:val="008E5D6B"/>
    <w:rsid w:val="008E76F0"/>
    <w:rsid w:val="008F15FE"/>
    <w:rsid w:val="008F2D29"/>
    <w:rsid w:val="008F5187"/>
    <w:rsid w:val="008F60D8"/>
    <w:rsid w:val="00902727"/>
    <w:rsid w:val="0090312B"/>
    <w:rsid w:val="0091736D"/>
    <w:rsid w:val="0093037A"/>
    <w:rsid w:val="0094154D"/>
    <w:rsid w:val="0095155F"/>
    <w:rsid w:val="00954429"/>
    <w:rsid w:val="009563CE"/>
    <w:rsid w:val="00976328"/>
    <w:rsid w:val="0097680D"/>
    <w:rsid w:val="00982438"/>
    <w:rsid w:val="0098404C"/>
    <w:rsid w:val="00985283"/>
    <w:rsid w:val="00995992"/>
    <w:rsid w:val="009A03E5"/>
    <w:rsid w:val="009A0F3B"/>
    <w:rsid w:val="009A1BB4"/>
    <w:rsid w:val="009A2628"/>
    <w:rsid w:val="009A3200"/>
    <w:rsid w:val="009B0897"/>
    <w:rsid w:val="009B7BD9"/>
    <w:rsid w:val="009C7DD5"/>
    <w:rsid w:val="009E227D"/>
    <w:rsid w:val="009E5019"/>
    <w:rsid w:val="00A04F1B"/>
    <w:rsid w:val="00A0501B"/>
    <w:rsid w:val="00A14947"/>
    <w:rsid w:val="00A32A83"/>
    <w:rsid w:val="00A368DB"/>
    <w:rsid w:val="00A423AA"/>
    <w:rsid w:val="00A53EC6"/>
    <w:rsid w:val="00A55C0F"/>
    <w:rsid w:val="00A8713F"/>
    <w:rsid w:val="00A90BA1"/>
    <w:rsid w:val="00A97A9A"/>
    <w:rsid w:val="00AA0671"/>
    <w:rsid w:val="00AA2531"/>
    <w:rsid w:val="00AB1E09"/>
    <w:rsid w:val="00AB5330"/>
    <w:rsid w:val="00AB7747"/>
    <w:rsid w:val="00AC14CE"/>
    <w:rsid w:val="00AC2A56"/>
    <w:rsid w:val="00AD055E"/>
    <w:rsid w:val="00AD47A7"/>
    <w:rsid w:val="00AF0CBF"/>
    <w:rsid w:val="00AF257F"/>
    <w:rsid w:val="00AF33CF"/>
    <w:rsid w:val="00AF4D50"/>
    <w:rsid w:val="00AF6179"/>
    <w:rsid w:val="00B1295A"/>
    <w:rsid w:val="00B20A45"/>
    <w:rsid w:val="00B22C5C"/>
    <w:rsid w:val="00B24F30"/>
    <w:rsid w:val="00B31ABF"/>
    <w:rsid w:val="00B33BE3"/>
    <w:rsid w:val="00B53B5D"/>
    <w:rsid w:val="00B6055E"/>
    <w:rsid w:val="00B6317D"/>
    <w:rsid w:val="00B7723F"/>
    <w:rsid w:val="00B80534"/>
    <w:rsid w:val="00B8433C"/>
    <w:rsid w:val="00B87491"/>
    <w:rsid w:val="00BA29E9"/>
    <w:rsid w:val="00BA7142"/>
    <w:rsid w:val="00BB237C"/>
    <w:rsid w:val="00BB41A3"/>
    <w:rsid w:val="00BC32DC"/>
    <w:rsid w:val="00BC35B6"/>
    <w:rsid w:val="00BD1B51"/>
    <w:rsid w:val="00BD4596"/>
    <w:rsid w:val="00BE1405"/>
    <w:rsid w:val="00BE312D"/>
    <w:rsid w:val="00BF1C20"/>
    <w:rsid w:val="00C10578"/>
    <w:rsid w:val="00C135BC"/>
    <w:rsid w:val="00C15C95"/>
    <w:rsid w:val="00C2596A"/>
    <w:rsid w:val="00C27537"/>
    <w:rsid w:val="00C328FE"/>
    <w:rsid w:val="00C33507"/>
    <w:rsid w:val="00C4409D"/>
    <w:rsid w:val="00C44E72"/>
    <w:rsid w:val="00C45A06"/>
    <w:rsid w:val="00C47E5B"/>
    <w:rsid w:val="00C61E4B"/>
    <w:rsid w:val="00C64BFF"/>
    <w:rsid w:val="00C704E9"/>
    <w:rsid w:val="00C763C9"/>
    <w:rsid w:val="00C80057"/>
    <w:rsid w:val="00C82232"/>
    <w:rsid w:val="00C82913"/>
    <w:rsid w:val="00C972B1"/>
    <w:rsid w:val="00CA2CCE"/>
    <w:rsid w:val="00CA43FD"/>
    <w:rsid w:val="00CA7EF8"/>
    <w:rsid w:val="00CC489B"/>
    <w:rsid w:val="00CD2BCD"/>
    <w:rsid w:val="00CD3A4C"/>
    <w:rsid w:val="00CE10E9"/>
    <w:rsid w:val="00CE2910"/>
    <w:rsid w:val="00CE5393"/>
    <w:rsid w:val="00CF36BE"/>
    <w:rsid w:val="00CF6000"/>
    <w:rsid w:val="00D003F3"/>
    <w:rsid w:val="00D0364F"/>
    <w:rsid w:val="00D06834"/>
    <w:rsid w:val="00D308ED"/>
    <w:rsid w:val="00D36D86"/>
    <w:rsid w:val="00D428AA"/>
    <w:rsid w:val="00D50A34"/>
    <w:rsid w:val="00D53EFA"/>
    <w:rsid w:val="00D94A7C"/>
    <w:rsid w:val="00D95896"/>
    <w:rsid w:val="00DB2983"/>
    <w:rsid w:val="00DC1257"/>
    <w:rsid w:val="00DC3DC0"/>
    <w:rsid w:val="00DC5B2B"/>
    <w:rsid w:val="00DD318D"/>
    <w:rsid w:val="00DF2E12"/>
    <w:rsid w:val="00DF514A"/>
    <w:rsid w:val="00DF6690"/>
    <w:rsid w:val="00DF6804"/>
    <w:rsid w:val="00E0358D"/>
    <w:rsid w:val="00E04323"/>
    <w:rsid w:val="00E070A2"/>
    <w:rsid w:val="00E2656A"/>
    <w:rsid w:val="00E412D0"/>
    <w:rsid w:val="00E56322"/>
    <w:rsid w:val="00E60982"/>
    <w:rsid w:val="00E62C62"/>
    <w:rsid w:val="00E654C1"/>
    <w:rsid w:val="00E65D97"/>
    <w:rsid w:val="00E72A5A"/>
    <w:rsid w:val="00E73354"/>
    <w:rsid w:val="00E9242D"/>
    <w:rsid w:val="00EB5255"/>
    <w:rsid w:val="00EB5C47"/>
    <w:rsid w:val="00ED0639"/>
    <w:rsid w:val="00EF4755"/>
    <w:rsid w:val="00EF7135"/>
    <w:rsid w:val="00F027DB"/>
    <w:rsid w:val="00F14A7A"/>
    <w:rsid w:val="00F22985"/>
    <w:rsid w:val="00F3383E"/>
    <w:rsid w:val="00F465A7"/>
    <w:rsid w:val="00F50B7C"/>
    <w:rsid w:val="00F550E6"/>
    <w:rsid w:val="00F74345"/>
    <w:rsid w:val="00F80A0A"/>
    <w:rsid w:val="00F82B19"/>
    <w:rsid w:val="00F9212D"/>
    <w:rsid w:val="00F965DA"/>
    <w:rsid w:val="00FA406A"/>
    <w:rsid w:val="00FB503A"/>
    <w:rsid w:val="00FB516C"/>
    <w:rsid w:val="00FD0236"/>
    <w:rsid w:val="00FD18F4"/>
    <w:rsid w:val="00FD54DB"/>
    <w:rsid w:val="00FD619F"/>
    <w:rsid w:val="01290F7E"/>
    <w:rsid w:val="015D1E09"/>
    <w:rsid w:val="018207C5"/>
    <w:rsid w:val="01F40F97"/>
    <w:rsid w:val="022867DA"/>
    <w:rsid w:val="02697903"/>
    <w:rsid w:val="02EF1E8A"/>
    <w:rsid w:val="02F96569"/>
    <w:rsid w:val="033667C1"/>
    <w:rsid w:val="03A03D81"/>
    <w:rsid w:val="03B4054D"/>
    <w:rsid w:val="03EA7B21"/>
    <w:rsid w:val="03FB6F9B"/>
    <w:rsid w:val="04214E65"/>
    <w:rsid w:val="053E5B68"/>
    <w:rsid w:val="05F83EAE"/>
    <w:rsid w:val="063E7D85"/>
    <w:rsid w:val="067407D1"/>
    <w:rsid w:val="07293586"/>
    <w:rsid w:val="07295285"/>
    <w:rsid w:val="07636392"/>
    <w:rsid w:val="07770C56"/>
    <w:rsid w:val="08594552"/>
    <w:rsid w:val="08E638BF"/>
    <w:rsid w:val="092217DD"/>
    <w:rsid w:val="093A7294"/>
    <w:rsid w:val="097F70D9"/>
    <w:rsid w:val="09D55BD0"/>
    <w:rsid w:val="0A0928C7"/>
    <w:rsid w:val="0A263993"/>
    <w:rsid w:val="0A2D3AC2"/>
    <w:rsid w:val="0AA755DF"/>
    <w:rsid w:val="0ABD66C3"/>
    <w:rsid w:val="0AC3108A"/>
    <w:rsid w:val="0ADF5150"/>
    <w:rsid w:val="0B120D44"/>
    <w:rsid w:val="0BD27BF6"/>
    <w:rsid w:val="0BDB0969"/>
    <w:rsid w:val="0C3B3C7D"/>
    <w:rsid w:val="0CAB2EAE"/>
    <w:rsid w:val="0D621C7D"/>
    <w:rsid w:val="0E73034D"/>
    <w:rsid w:val="0F13775A"/>
    <w:rsid w:val="0F5D0D44"/>
    <w:rsid w:val="0F5F45FE"/>
    <w:rsid w:val="0F9A112B"/>
    <w:rsid w:val="0FE812E0"/>
    <w:rsid w:val="100B388F"/>
    <w:rsid w:val="10306581"/>
    <w:rsid w:val="106D2F64"/>
    <w:rsid w:val="10993131"/>
    <w:rsid w:val="10B63710"/>
    <w:rsid w:val="10F10820"/>
    <w:rsid w:val="111C2F7A"/>
    <w:rsid w:val="116577BB"/>
    <w:rsid w:val="11665CA1"/>
    <w:rsid w:val="11705912"/>
    <w:rsid w:val="118E17D1"/>
    <w:rsid w:val="11DC7A7D"/>
    <w:rsid w:val="11F425AC"/>
    <w:rsid w:val="12420D4C"/>
    <w:rsid w:val="12721BE5"/>
    <w:rsid w:val="12777ACF"/>
    <w:rsid w:val="1376344E"/>
    <w:rsid w:val="13951726"/>
    <w:rsid w:val="13CA37B7"/>
    <w:rsid w:val="14396509"/>
    <w:rsid w:val="145757D1"/>
    <w:rsid w:val="145D3469"/>
    <w:rsid w:val="14DD2C3C"/>
    <w:rsid w:val="16087E1D"/>
    <w:rsid w:val="164D0F49"/>
    <w:rsid w:val="16DC7743"/>
    <w:rsid w:val="17701D14"/>
    <w:rsid w:val="17735226"/>
    <w:rsid w:val="181779C8"/>
    <w:rsid w:val="187D363C"/>
    <w:rsid w:val="18831547"/>
    <w:rsid w:val="189F624C"/>
    <w:rsid w:val="1A1C66C0"/>
    <w:rsid w:val="1A42393B"/>
    <w:rsid w:val="1A4E1AB7"/>
    <w:rsid w:val="1A8A5528"/>
    <w:rsid w:val="1AAD45DE"/>
    <w:rsid w:val="1B046F80"/>
    <w:rsid w:val="1B216501"/>
    <w:rsid w:val="1B3267B5"/>
    <w:rsid w:val="1B40161D"/>
    <w:rsid w:val="1B441859"/>
    <w:rsid w:val="1B4C2CD0"/>
    <w:rsid w:val="1B510505"/>
    <w:rsid w:val="1B6606B1"/>
    <w:rsid w:val="1BE07DDA"/>
    <w:rsid w:val="1C4353EA"/>
    <w:rsid w:val="1C5E7925"/>
    <w:rsid w:val="1C9C7D46"/>
    <w:rsid w:val="1CD06430"/>
    <w:rsid w:val="1CFD070F"/>
    <w:rsid w:val="1D5F6196"/>
    <w:rsid w:val="1D6132A5"/>
    <w:rsid w:val="1D8E56D5"/>
    <w:rsid w:val="1DFA4A6E"/>
    <w:rsid w:val="1E1C3D76"/>
    <w:rsid w:val="1E7A43DA"/>
    <w:rsid w:val="1E8F40C9"/>
    <w:rsid w:val="1F1620F4"/>
    <w:rsid w:val="1F525822"/>
    <w:rsid w:val="1FE7539E"/>
    <w:rsid w:val="2006455C"/>
    <w:rsid w:val="20106925"/>
    <w:rsid w:val="20671BE0"/>
    <w:rsid w:val="206A08FA"/>
    <w:rsid w:val="20963CB8"/>
    <w:rsid w:val="20A81A1B"/>
    <w:rsid w:val="20B07FB6"/>
    <w:rsid w:val="20B646FB"/>
    <w:rsid w:val="213B74B1"/>
    <w:rsid w:val="215A2310"/>
    <w:rsid w:val="21DE318A"/>
    <w:rsid w:val="21EF5B80"/>
    <w:rsid w:val="22280ABD"/>
    <w:rsid w:val="22576990"/>
    <w:rsid w:val="22D1274E"/>
    <w:rsid w:val="22F47480"/>
    <w:rsid w:val="23BF40CE"/>
    <w:rsid w:val="23CF53F9"/>
    <w:rsid w:val="23DE1C48"/>
    <w:rsid w:val="240210CD"/>
    <w:rsid w:val="242A7E94"/>
    <w:rsid w:val="24521E21"/>
    <w:rsid w:val="24AA3A0B"/>
    <w:rsid w:val="24BF09F7"/>
    <w:rsid w:val="250C58A9"/>
    <w:rsid w:val="252D53FE"/>
    <w:rsid w:val="257D4F96"/>
    <w:rsid w:val="25C42742"/>
    <w:rsid w:val="25E7595B"/>
    <w:rsid w:val="25EC2D81"/>
    <w:rsid w:val="265B4229"/>
    <w:rsid w:val="2767750D"/>
    <w:rsid w:val="277057A2"/>
    <w:rsid w:val="27840543"/>
    <w:rsid w:val="27996026"/>
    <w:rsid w:val="27DD4FE7"/>
    <w:rsid w:val="27E12A19"/>
    <w:rsid w:val="28210363"/>
    <w:rsid w:val="28615A1C"/>
    <w:rsid w:val="29127DD1"/>
    <w:rsid w:val="29206EB8"/>
    <w:rsid w:val="292C0F27"/>
    <w:rsid w:val="29595666"/>
    <w:rsid w:val="297464FE"/>
    <w:rsid w:val="29874881"/>
    <w:rsid w:val="29E325E0"/>
    <w:rsid w:val="2A452503"/>
    <w:rsid w:val="2AB40A5D"/>
    <w:rsid w:val="2BA936A8"/>
    <w:rsid w:val="2C315A5A"/>
    <w:rsid w:val="2C4B1C25"/>
    <w:rsid w:val="2CA24CA4"/>
    <w:rsid w:val="2CE20511"/>
    <w:rsid w:val="2D9E56F5"/>
    <w:rsid w:val="2DC65B65"/>
    <w:rsid w:val="2DDA5646"/>
    <w:rsid w:val="2E4A16A3"/>
    <w:rsid w:val="2E667F96"/>
    <w:rsid w:val="2E8226AB"/>
    <w:rsid w:val="2EC102CF"/>
    <w:rsid w:val="2FD065E6"/>
    <w:rsid w:val="2FD96870"/>
    <w:rsid w:val="30580BC9"/>
    <w:rsid w:val="307716C5"/>
    <w:rsid w:val="30A824D8"/>
    <w:rsid w:val="311E2ED7"/>
    <w:rsid w:val="315619EE"/>
    <w:rsid w:val="315C449C"/>
    <w:rsid w:val="31B82709"/>
    <w:rsid w:val="31D05482"/>
    <w:rsid w:val="31F273E3"/>
    <w:rsid w:val="31F60AB4"/>
    <w:rsid w:val="323D319B"/>
    <w:rsid w:val="32400B34"/>
    <w:rsid w:val="328C3483"/>
    <w:rsid w:val="329E6876"/>
    <w:rsid w:val="3316231E"/>
    <w:rsid w:val="333015F2"/>
    <w:rsid w:val="334A0512"/>
    <w:rsid w:val="334B6320"/>
    <w:rsid w:val="33D934D4"/>
    <w:rsid w:val="33FD1212"/>
    <w:rsid w:val="33FE2F6A"/>
    <w:rsid w:val="340E07E5"/>
    <w:rsid w:val="34235BF7"/>
    <w:rsid w:val="353B18DC"/>
    <w:rsid w:val="358C5FA8"/>
    <w:rsid w:val="35C15DF1"/>
    <w:rsid w:val="360311CD"/>
    <w:rsid w:val="36074A7F"/>
    <w:rsid w:val="3660796C"/>
    <w:rsid w:val="36923549"/>
    <w:rsid w:val="36A603E4"/>
    <w:rsid w:val="36B75FBF"/>
    <w:rsid w:val="36BD0C45"/>
    <w:rsid w:val="37517DC5"/>
    <w:rsid w:val="377826F9"/>
    <w:rsid w:val="37BC1633"/>
    <w:rsid w:val="37E00298"/>
    <w:rsid w:val="38B302F9"/>
    <w:rsid w:val="38D442E5"/>
    <w:rsid w:val="38F12CD3"/>
    <w:rsid w:val="38F94775"/>
    <w:rsid w:val="392971ED"/>
    <w:rsid w:val="39325651"/>
    <w:rsid w:val="39740298"/>
    <w:rsid w:val="39A45B32"/>
    <w:rsid w:val="39EF6B5F"/>
    <w:rsid w:val="3A0451BC"/>
    <w:rsid w:val="3A824D89"/>
    <w:rsid w:val="3A872856"/>
    <w:rsid w:val="3B2C4D22"/>
    <w:rsid w:val="3B2F32BC"/>
    <w:rsid w:val="3B3763D1"/>
    <w:rsid w:val="3BE850ED"/>
    <w:rsid w:val="3BEC2EC6"/>
    <w:rsid w:val="3C2F6E1E"/>
    <w:rsid w:val="3C4F64BA"/>
    <w:rsid w:val="3C5D1E98"/>
    <w:rsid w:val="3C6B37A0"/>
    <w:rsid w:val="3CDA245A"/>
    <w:rsid w:val="3CF04547"/>
    <w:rsid w:val="3D03031F"/>
    <w:rsid w:val="3D1E06B7"/>
    <w:rsid w:val="3D5B7D81"/>
    <w:rsid w:val="3E8912B2"/>
    <w:rsid w:val="3ED951C1"/>
    <w:rsid w:val="3EDA0523"/>
    <w:rsid w:val="3F5D4D99"/>
    <w:rsid w:val="3F7237B6"/>
    <w:rsid w:val="3F90211F"/>
    <w:rsid w:val="407A6407"/>
    <w:rsid w:val="40AD0790"/>
    <w:rsid w:val="41214BFD"/>
    <w:rsid w:val="41D97533"/>
    <w:rsid w:val="4200449D"/>
    <w:rsid w:val="4234201E"/>
    <w:rsid w:val="423A3BCC"/>
    <w:rsid w:val="424E57D2"/>
    <w:rsid w:val="426B4687"/>
    <w:rsid w:val="42B26C49"/>
    <w:rsid w:val="42BB6260"/>
    <w:rsid w:val="431F542F"/>
    <w:rsid w:val="433340CF"/>
    <w:rsid w:val="433A6FE6"/>
    <w:rsid w:val="43480868"/>
    <w:rsid w:val="4350713C"/>
    <w:rsid w:val="436653E0"/>
    <w:rsid w:val="43BF48F9"/>
    <w:rsid w:val="43C4431A"/>
    <w:rsid w:val="43E55BA0"/>
    <w:rsid w:val="44155D7E"/>
    <w:rsid w:val="44577515"/>
    <w:rsid w:val="445D64CB"/>
    <w:rsid w:val="44B951CC"/>
    <w:rsid w:val="44CD14E0"/>
    <w:rsid w:val="44F20B0B"/>
    <w:rsid w:val="452E5F4C"/>
    <w:rsid w:val="454669E0"/>
    <w:rsid w:val="45612018"/>
    <w:rsid w:val="458946E9"/>
    <w:rsid w:val="45A47C0E"/>
    <w:rsid w:val="45AB50FC"/>
    <w:rsid w:val="46577FD6"/>
    <w:rsid w:val="46B61944"/>
    <w:rsid w:val="46D955A7"/>
    <w:rsid w:val="47133957"/>
    <w:rsid w:val="47A07E0C"/>
    <w:rsid w:val="47F84C3D"/>
    <w:rsid w:val="481D4A12"/>
    <w:rsid w:val="4870272E"/>
    <w:rsid w:val="49DC7715"/>
    <w:rsid w:val="4A023139"/>
    <w:rsid w:val="4A2E3665"/>
    <w:rsid w:val="4A7B576F"/>
    <w:rsid w:val="4A8226C0"/>
    <w:rsid w:val="4AF561A9"/>
    <w:rsid w:val="4B6752F9"/>
    <w:rsid w:val="4BAC5BEF"/>
    <w:rsid w:val="4C4A0649"/>
    <w:rsid w:val="4C7E5ECA"/>
    <w:rsid w:val="4C876AA5"/>
    <w:rsid w:val="4D0E00FB"/>
    <w:rsid w:val="4D176606"/>
    <w:rsid w:val="4D565C2E"/>
    <w:rsid w:val="4DC4528E"/>
    <w:rsid w:val="4DEC4FB0"/>
    <w:rsid w:val="4E075D8A"/>
    <w:rsid w:val="4E1C1FB4"/>
    <w:rsid w:val="4EC00FAD"/>
    <w:rsid w:val="4ECA2430"/>
    <w:rsid w:val="4F1B6958"/>
    <w:rsid w:val="4F7C3B12"/>
    <w:rsid w:val="4F7D74A2"/>
    <w:rsid w:val="4F9843DC"/>
    <w:rsid w:val="4FC05409"/>
    <w:rsid w:val="4FC62A8C"/>
    <w:rsid w:val="4FE20F0D"/>
    <w:rsid w:val="4FE51552"/>
    <w:rsid w:val="504514CC"/>
    <w:rsid w:val="50504C4B"/>
    <w:rsid w:val="509C6E7C"/>
    <w:rsid w:val="50C77614"/>
    <w:rsid w:val="51051E45"/>
    <w:rsid w:val="51402E7D"/>
    <w:rsid w:val="5162104E"/>
    <w:rsid w:val="517B03BC"/>
    <w:rsid w:val="51F36142"/>
    <w:rsid w:val="53035F10"/>
    <w:rsid w:val="53083527"/>
    <w:rsid w:val="53A039CC"/>
    <w:rsid w:val="53A1505A"/>
    <w:rsid w:val="53A65329"/>
    <w:rsid w:val="53AD48C1"/>
    <w:rsid w:val="53D17DBD"/>
    <w:rsid w:val="53D227D0"/>
    <w:rsid w:val="54063E08"/>
    <w:rsid w:val="543437E8"/>
    <w:rsid w:val="544C1098"/>
    <w:rsid w:val="54686973"/>
    <w:rsid w:val="54F73313"/>
    <w:rsid w:val="54F80955"/>
    <w:rsid w:val="54F904C1"/>
    <w:rsid w:val="54FA3343"/>
    <w:rsid w:val="5532486D"/>
    <w:rsid w:val="555170A7"/>
    <w:rsid w:val="5587536D"/>
    <w:rsid w:val="559B174B"/>
    <w:rsid w:val="55CE0CF4"/>
    <w:rsid w:val="568F37FA"/>
    <w:rsid w:val="56B22A9C"/>
    <w:rsid w:val="577E6EE9"/>
    <w:rsid w:val="578773D6"/>
    <w:rsid w:val="57A24B5A"/>
    <w:rsid w:val="57B72A76"/>
    <w:rsid w:val="57C3426C"/>
    <w:rsid w:val="57CE1F93"/>
    <w:rsid w:val="588743D1"/>
    <w:rsid w:val="5887701A"/>
    <w:rsid w:val="58B23912"/>
    <w:rsid w:val="5952374E"/>
    <w:rsid w:val="596F0DF1"/>
    <w:rsid w:val="59C0439F"/>
    <w:rsid w:val="5A28757D"/>
    <w:rsid w:val="5A8E2EAB"/>
    <w:rsid w:val="5ABE2233"/>
    <w:rsid w:val="5B084A0C"/>
    <w:rsid w:val="5B2A25B4"/>
    <w:rsid w:val="5BDF5D95"/>
    <w:rsid w:val="5BFE7528"/>
    <w:rsid w:val="5C177AB2"/>
    <w:rsid w:val="5D4D05CC"/>
    <w:rsid w:val="5E2467F1"/>
    <w:rsid w:val="5E8F3DCD"/>
    <w:rsid w:val="5E987ECC"/>
    <w:rsid w:val="5EB53D82"/>
    <w:rsid w:val="5F0115D5"/>
    <w:rsid w:val="5F1A2B43"/>
    <w:rsid w:val="5F27742B"/>
    <w:rsid w:val="5F451802"/>
    <w:rsid w:val="5F4C51C5"/>
    <w:rsid w:val="5FB837BB"/>
    <w:rsid w:val="60675D31"/>
    <w:rsid w:val="60CC405A"/>
    <w:rsid w:val="61133ED7"/>
    <w:rsid w:val="61215C6A"/>
    <w:rsid w:val="613A51F3"/>
    <w:rsid w:val="613B0140"/>
    <w:rsid w:val="61B14255"/>
    <w:rsid w:val="61DE18A1"/>
    <w:rsid w:val="61E215D8"/>
    <w:rsid w:val="621B3775"/>
    <w:rsid w:val="62364782"/>
    <w:rsid w:val="63340EB5"/>
    <w:rsid w:val="6394356A"/>
    <w:rsid w:val="63C61B2C"/>
    <w:rsid w:val="63D40BE9"/>
    <w:rsid w:val="64102431"/>
    <w:rsid w:val="643227D1"/>
    <w:rsid w:val="64456B57"/>
    <w:rsid w:val="64A5243A"/>
    <w:rsid w:val="64BE3A59"/>
    <w:rsid w:val="64F531DE"/>
    <w:rsid w:val="651C6D89"/>
    <w:rsid w:val="65373578"/>
    <w:rsid w:val="65C63252"/>
    <w:rsid w:val="66101A71"/>
    <w:rsid w:val="662C66AE"/>
    <w:rsid w:val="667A63DF"/>
    <w:rsid w:val="671F124A"/>
    <w:rsid w:val="67726944"/>
    <w:rsid w:val="677A33C6"/>
    <w:rsid w:val="677B56B6"/>
    <w:rsid w:val="67AC671F"/>
    <w:rsid w:val="681F6961"/>
    <w:rsid w:val="68610A2F"/>
    <w:rsid w:val="68805514"/>
    <w:rsid w:val="69316E2F"/>
    <w:rsid w:val="69464619"/>
    <w:rsid w:val="694E2071"/>
    <w:rsid w:val="69766163"/>
    <w:rsid w:val="697A3B33"/>
    <w:rsid w:val="69817558"/>
    <w:rsid w:val="69D44760"/>
    <w:rsid w:val="6A520EC7"/>
    <w:rsid w:val="6AF87E20"/>
    <w:rsid w:val="6B015AEE"/>
    <w:rsid w:val="6B322639"/>
    <w:rsid w:val="6B482266"/>
    <w:rsid w:val="6BBC56A6"/>
    <w:rsid w:val="6C636C38"/>
    <w:rsid w:val="6CC24AC2"/>
    <w:rsid w:val="6DB34098"/>
    <w:rsid w:val="6DB545B6"/>
    <w:rsid w:val="6DE02FB4"/>
    <w:rsid w:val="6E102DF4"/>
    <w:rsid w:val="6E483C86"/>
    <w:rsid w:val="6E514CED"/>
    <w:rsid w:val="6E732416"/>
    <w:rsid w:val="6EA2262A"/>
    <w:rsid w:val="6EB563D5"/>
    <w:rsid w:val="6ED92677"/>
    <w:rsid w:val="6F225983"/>
    <w:rsid w:val="6FEA4288"/>
    <w:rsid w:val="6FFC5590"/>
    <w:rsid w:val="706D1DD0"/>
    <w:rsid w:val="706F478E"/>
    <w:rsid w:val="70856B87"/>
    <w:rsid w:val="70D527EE"/>
    <w:rsid w:val="711A01F9"/>
    <w:rsid w:val="715B5300"/>
    <w:rsid w:val="71D27F8A"/>
    <w:rsid w:val="71E573FD"/>
    <w:rsid w:val="71F65BB9"/>
    <w:rsid w:val="723B526F"/>
    <w:rsid w:val="72403C7E"/>
    <w:rsid w:val="72553024"/>
    <w:rsid w:val="726F4F19"/>
    <w:rsid w:val="73122968"/>
    <w:rsid w:val="731F5D5E"/>
    <w:rsid w:val="734451F0"/>
    <w:rsid w:val="73555EBD"/>
    <w:rsid w:val="73C51AD5"/>
    <w:rsid w:val="741E793C"/>
    <w:rsid w:val="745E3944"/>
    <w:rsid w:val="752062B5"/>
    <w:rsid w:val="75BE41ED"/>
    <w:rsid w:val="7635099D"/>
    <w:rsid w:val="76CF5F86"/>
    <w:rsid w:val="77120D85"/>
    <w:rsid w:val="77762421"/>
    <w:rsid w:val="77B56B1F"/>
    <w:rsid w:val="780F09F4"/>
    <w:rsid w:val="78A04A56"/>
    <w:rsid w:val="78A90480"/>
    <w:rsid w:val="78BD1F5B"/>
    <w:rsid w:val="7959575E"/>
    <w:rsid w:val="796572BA"/>
    <w:rsid w:val="79A32154"/>
    <w:rsid w:val="7A364017"/>
    <w:rsid w:val="7A8265E1"/>
    <w:rsid w:val="7A9B68AB"/>
    <w:rsid w:val="7B686D42"/>
    <w:rsid w:val="7B841746"/>
    <w:rsid w:val="7C6C5AC7"/>
    <w:rsid w:val="7CC6544B"/>
    <w:rsid w:val="7CD02412"/>
    <w:rsid w:val="7D0239FF"/>
    <w:rsid w:val="7D340283"/>
    <w:rsid w:val="7D5E40CD"/>
    <w:rsid w:val="7DCD56F2"/>
    <w:rsid w:val="7E0623F5"/>
    <w:rsid w:val="7E1837E5"/>
    <w:rsid w:val="7F001CE7"/>
    <w:rsid w:val="7F5F7C9A"/>
    <w:rsid w:val="7F7D6F04"/>
    <w:rsid w:val="7FE47E5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0" w:semiHidden="0" w:name="heading 2" w:locked="1"/>
    <w:lsdException w:qFormat="1"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qFormat="1"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unhideWhenUsed="0" w:uiPriority="0" w:semiHidden="0" w:name="toc 1" w:locked="1"/>
    <w:lsdException w:qFormat="1" w:unhideWhenUsed="0" w:uiPriority="39"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iPriority="99"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iPriority="0" w:semiHidden="0" w:name="caption" w:locked="1"/>
    <w:lsdException w:qFormat="1" w:unhideWhenUsed="0" w:uiPriority="99"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qFormat="1"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qFormat="1"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unhideWhenUsed="0" w:uiPriority="0" w:semiHidden="0" w:name="Body Text First Indent" w:locked="1"/>
    <w:lsdException w:qFormat="1" w:unhideWhenUsed="0" w:uiPriority="0" w:semiHidden="0" w:name="Body Text First Indent 2" w:locked="1"/>
    <w:lsdException w:unhideWhenUsed="0" w:uiPriority="0" w:semiHidden="0" w:name="Note Heading" w:locked="1"/>
    <w:lsdException w:qFormat="1" w:uiPriority="99" w:semiHidden="0" w:name="Body Text 2" w:locked="1"/>
    <w:lsdException w:qFormat="1" w:unhideWhenUsed="0" w:uiPriority="0" w:semiHidden="0" w:name="Body Text 3" w:locked="1"/>
    <w:lsdException w:qFormat="1" w:unhideWhenUsed="0" w:uiPriority="0" w:semiHidden="0" w:name="Body Text Indent 2" w:locked="1"/>
    <w:lsdException w:unhideWhenUsed="0" w:uiPriority="0" w:semiHidden="0" w:name="Body Text Indent 3" w:locked="1"/>
    <w:lsdException w:unhideWhenUsed="0" w:uiPriority="0" w:semiHidden="0" w:name="Block Text" w:locked="1"/>
    <w:lsdException w:unhideWhenUsed="0" w:uiPriority="0"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qFormat="1"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nhideWhenUsed="0" w:uiPriority="0" w:name="Normal Table"/>
    <w:lsdException w:qFormat="1" w:unhideWhenUsed="0" w:uiPriority="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name="Balloon Text"/>
    <w:lsdException w:qFormat="1" w:unhideWhenUsed="0" w:uiPriority="0" w:semiHidden="0" w:name="Table Grid"/>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locked/>
    <w:uiPriority w:val="99"/>
    <w:pPr>
      <w:keepNext/>
      <w:overflowPunct w:val="0"/>
      <w:snapToGrid w:val="0"/>
      <w:spacing w:line="360" w:lineRule="auto"/>
      <w:ind w:left="0" w:firstLine="0"/>
      <w:jc w:val="center"/>
      <w:outlineLvl w:val="0"/>
    </w:pPr>
    <w:rPr>
      <w:rFonts w:ascii="Times New Roman" w:hAnsi="Times New Roman" w:eastAsia="黑体"/>
      <w:b/>
      <w:bCs/>
      <w:color w:val="000000"/>
      <w:kern w:val="44"/>
      <w:sz w:val="30"/>
      <w:szCs w:val="30"/>
    </w:rPr>
  </w:style>
  <w:style w:type="paragraph" w:styleId="3">
    <w:name w:val="heading 2"/>
    <w:basedOn w:val="1"/>
    <w:next w:val="1"/>
    <w:unhideWhenUsed/>
    <w:qFormat/>
    <w:locked/>
    <w:uiPriority w:val="0"/>
    <w:pPr>
      <w:keepNext/>
      <w:keepLines/>
      <w:numPr>
        <w:ilvl w:val="1"/>
        <w:numId w:val="1"/>
      </w:numPr>
      <w:tabs>
        <w:tab w:val="left" w:pos="0"/>
      </w:tabs>
      <w:spacing w:line="360" w:lineRule="auto"/>
      <w:ind w:left="0" w:firstLine="0"/>
      <w:outlineLvl w:val="1"/>
    </w:pPr>
    <w:rPr>
      <w:rFonts w:ascii="Times New Roman" w:hAnsi="Times New Roman" w:eastAsia="宋体"/>
      <w:b/>
      <w:bCs/>
      <w:sz w:val="24"/>
      <w:szCs w:val="28"/>
    </w:rPr>
  </w:style>
  <w:style w:type="paragraph" w:styleId="4">
    <w:name w:val="heading 3"/>
    <w:basedOn w:val="1"/>
    <w:next w:val="1"/>
    <w:unhideWhenUsed/>
    <w:qFormat/>
    <w:locked/>
    <w:uiPriority w:val="0"/>
    <w:pPr>
      <w:keepNext/>
      <w:keepLines/>
      <w:spacing w:before="260" w:beforeLines="0" w:beforeAutospacing="0" w:after="260" w:afterLines="0" w:afterAutospacing="0" w:line="413" w:lineRule="auto"/>
      <w:outlineLvl w:val="2"/>
    </w:pPr>
    <w:rPr>
      <w:b/>
      <w:sz w:val="32"/>
    </w:rPr>
  </w:style>
  <w:style w:type="character" w:default="1" w:styleId="29">
    <w:name w:val="Default Paragraph Font"/>
    <w:semiHidden/>
    <w:qFormat/>
    <w:uiPriority w:val="0"/>
  </w:style>
  <w:style w:type="table" w:default="1" w:styleId="27">
    <w:name w:val="Normal Table"/>
    <w:semiHidden/>
    <w:qFormat/>
    <w:uiPriority w:val="0"/>
    <w:tblPr>
      <w:tblCellMar>
        <w:top w:w="0" w:type="dxa"/>
        <w:left w:w="108" w:type="dxa"/>
        <w:bottom w:w="0" w:type="dxa"/>
        <w:right w:w="108" w:type="dxa"/>
      </w:tblCellMar>
    </w:tblPr>
  </w:style>
  <w:style w:type="paragraph" w:styleId="5">
    <w:name w:val="Normal Indent"/>
    <w:basedOn w:val="1"/>
    <w:next w:val="1"/>
    <w:unhideWhenUsed/>
    <w:qFormat/>
    <w:locked/>
    <w:uiPriority w:val="99"/>
    <w:pPr>
      <w:adjustRightInd w:val="0"/>
      <w:snapToGrid w:val="0"/>
      <w:spacing w:line="300" w:lineRule="auto"/>
      <w:ind w:firstLine="200" w:firstLineChars="200"/>
    </w:pPr>
    <w:rPr>
      <w:rFonts w:ascii="仿宋_GB2312" w:eastAsia="仿宋_GB2312"/>
      <w:color w:val="000000"/>
      <w:sz w:val="28"/>
    </w:rPr>
  </w:style>
  <w:style w:type="paragraph" w:styleId="6">
    <w:name w:val="caption"/>
    <w:basedOn w:val="1"/>
    <w:next w:val="1"/>
    <w:unhideWhenUsed/>
    <w:qFormat/>
    <w:locked/>
    <w:uiPriority w:val="0"/>
    <w:pPr>
      <w:numPr>
        <w:ilvl w:val="0"/>
        <w:numId w:val="2"/>
      </w:numPr>
      <w:jc w:val="center"/>
    </w:pPr>
    <w:rPr>
      <w:rFonts w:ascii="Times New Roman" w:hAnsi="Times New Roman" w:eastAsia="宋体" w:cs="Times New Roman"/>
      <w:sz w:val="21"/>
      <w:szCs w:val="21"/>
    </w:rPr>
  </w:style>
  <w:style w:type="paragraph" w:styleId="7">
    <w:name w:val="annotation text"/>
    <w:basedOn w:val="1"/>
    <w:link w:val="36"/>
    <w:semiHidden/>
    <w:qFormat/>
    <w:uiPriority w:val="0"/>
    <w:pPr>
      <w:jc w:val="left"/>
    </w:pPr>
    <w:rPr>
      <w:kern w:val="0"/>
      <w:sz w:val="24"/>
      <w:szCs w:val="20"/>
    </w:rPr>
  </w:style>
  <w:style w:type="paragraph" w:styleId="8">
    <w:name w:val="index 6"/>
    <w:next w:val="1"/>
    <w:qFormat/>
    <w:locked/>
    <w:uiPriority w:val="0"/>
    <w:pPr>
      <w:widowControl w:val="0"/>
      <w:spacing w:line="600" w:lineRule="exact"/>
      <w:ind w:left="2100" w:firstLine="480"/>
      <w:jc w:val="both"/>
    </w:pPr>
    <w:rPr>
      <w:rFonts w:ascii="仿宋_GB2312" w:hAnsi="Times New Roman" w:eastAsia="仿宋_GB2312" w:cs="Times New Roman"/>
      <w:kern w:val="2"/>
      <w:sz w:val="28"/>
      <w:szCs w:val="20"/>
      <w:lang w:val="en-US" w:eastAsia="zh-CN" w:bidi="ar-SA"/>
    </w:rPr>
  </w:style>
  <w:style w:type="paragraph" w:styleId="9">
    <w:name w:val="Body Text 3"/>
    <w:basedOn w:val="1"/>
    <w:qFormat/>
    <w:locked/>
    <w:uiPriority w:val="0"/>
    <w:pPr>
      <w:snapToGrid/>
      <w:spacing w:before="25" w:beforeLines="25" w:after="25" w:afterLines="25" w:line="360" w:lineRule="auto"/>
      <w:ind w:firstLine="600" w:firstLineChars="200"/>
      <w:jc w:val="both"/>
    </w:pPr>
    <w:rPr>
      <w:rFonts w:ascii="Times New Roman" w:hAnsi="Times New Roman" w:eastAsia="宋体"/>
      <w:kern w:val="0"/>
      <w:sz w:val="24"/>
      <w:szCs w:val="24"/>
    </w:rPr>
  </w:style>
  <w:style w:type="paragraph" w:styleId="10">
    <w:name w:val="Body Text"/>
    <w:basedOn w:val="1"/>
    <w:next w:val="11"/>
    <w:link w:val="37"/>
    <w:qFormat/>
    <w:uiPriority w:val="0"/>
    <w:pPr>
      <w:widowControl/>
      <w:snapToGrid w:val="0"/>
      <w:spacing w:before="60" w:after="160" w:line="259" w:lineRule="auto"/>
      <w:ind w:right="113"/>
    </w:pPr>
    <w:rPr>
      <w:kern w:val="0"/>
      <w:sz w:val="18"/>
      <w:szCs w:val="20"/>
    </w:rPr>
  </w:style>
  <w:style w:type="paragraph" w:customStyle="1" w:styleId="11">
    <w:name w:val="Body Text 21"/>
    <w:basedOn w:val="1"/>
    <w:qFormat/>
    <w:uiPriority w:val="0"/>
    <w:pPr>
      <w:spacing w:after="120" w:line="480" w:lineRule="auto"/>
    </w:pPr>
  </w:style>
  <w:style w:type="paragraph" w:styleId="12">
    <w:name w:val="Body Text Indent"/>
    <w:basedOn w:val="1"/>
    <w:link w:val="38"/>
    <w:qFormat/>
    <w:uiPriority w:val="0"/>
    <w:pPr>
      <w:spacing w:after="120"/>
      <w:ind w:left="420" w:leftChars="200"/>
    </w:pPr>
    <w:rPr>
      <w:kern w:val="0"/>
      <w:sz w:val="24"/>
      <w:szCs w:val="20"/>
    </w:rPr>
  </w:style>
  <w:style w:type="paragraph" w:styleId="13">
    <w:name w:val="Plain Text"/>
    <w:basedOn w:val="1"/>
    <w:qFormat/>
    <w:locked/>
    <w:uiPriority w:val="0"/>
    <w:pPr>
      <w:widowControl/>
      <w:spacing w:before="100" w:beforeAutospacing="1" w:after="100" w:afterAutospacing="1"/>
      <w:jc w:val="left"/>
    </w:pPr>
    <w:rPr>
      <w:rFonts w:ascii="ˎ̥" w:hAnsi="ˎ̥"/>
      <w:kern w:val="0"/>
      <w:sz w:val="18"/>
      <w:szCs w:val="18"/>
    </w:rPr>
  </w:style>
  <w:style w:type="paragraph" w:styleId="14">
    <w:name w:val="List Bullet 5"/>
    <w:basedOn w:val="1"/>
    <w:qFormat/>
    <w:locked/>
    <w:uiPriority w:val="0"/>
    <w:pPr>
      <w:numPr>
        <w:ilvl w:val="0"/>
        <w:numId w:val="3"/>
      </w:numPr>
    </w:pPr>
  </w:style>
  <w:style w:type="paragraph" w:styleId="15">
    <w:name w:val="Date"/>
    <w:basedOn w:val="1"/>
    <w:next w:val="1"/>
    <w:link w:val="39"/>
    <w:qFormat/>
    <w:uiPriority w:val="0"/>
    <w:pPr>
      <w:ind w:left="100" w:leftChars="2500"/>
    </w:pPr>
    <w:rPr>
      <w:kern w:val="0"/>
      <w:sz w:val="24"/>
      <w:szCs w:val="20"/>
    </w:rPr>
  </w:style>
  <w:style w:type="paragraph" w:styleId="16">
    <w:name w:val="Body Text Indent 2"/>
    <w:basedOn w:val="1"/>
    <w:next w:val="1"/>
    <w:qFormat/>
    <w:locked/>
    <w:uiPriority w:val="0"/>
    <w:pPr>
      <w:ind w:firstLine="720"/>
    </w:pPr>
    <w:rPr>
      <w:sz w:val="32"/>
    </w:rPr>
  </w:style>
  <w:style w:type="paragraph" w:styleId="17">
    <w:name w:val="Balloon Text"/>
    <w:basedOn w:val="1"/>
    <w:link w:val="40"/>
    <w:semiHidden/>
    <w:qFormat/>
    <w:uiPriority w:val="0"/>
    <w:rPr>
      <w:kern w:val="0"/>
      <w:sz w:val="18"/>
      <w:szCs w:val="20"/>
    </w:rPr>
  </w:style>
  <w:style w:type="paragraph" w:styleId="18">
    <w:name w:val="footer"/>
    <w:basedOn w:val="1"/>
    <w:link w:val="41"/>
    <w:qFormat/>
    <w:uiPriority w:val="99"/>
    <w:pPr>
      <w:tabs>
        <w:tab w:val="center" w:pos="4153"/>
        <w:tab w:val="right" w:pos="8306"/>
      </w:tabs>
      <w:snapToGrid w:val="0"/>
      <w:jc w:val="left"/>
    </w:pPr>
    <w:rPr>
      <w:kern w:val="0"/>
      <w:sz w:val="18"/>
      <w:szCs w:val="20"/>
    </w:rPr>
  </w:style>
  <w:style w:type="paragraph" w:styleId="19">
    <w:name w:val="header"/>
    <w:basedOn w:val="1"/>
    <w:link w:val="42"/>
    <w:qFormat/>
    <w:uiPriority w:val="0"/>
    <w:pPr>
      <w:pBdr>
        <w:bottom w:val="single" w:color="auto" w:sz="6" w:space="1"/>
      </w:pBdr>
      <w:tabs>
        <w:tab w:val="center" w:pos="4153"/>
        <w:tab w:val="right" w:pos="8306"/>
      </w:tabs>
      <w:snapToGrid w:val="0"/>
      <w:jc w:val="center"/>
    </w:pPr>
    <w:rPr>
      <w:kern w:val="0"/>
      <w:sz w:val="18"/>
      <w:szCs w:val="20"/>
    </w:rPr>
  </w:style>
  <w:style w:type="paragraph" w:styleId="20">
    <w:name w:val="List"/>
    <w:basedOn w:val="1"/>
    <w:next w:val="1"/>
    <w:qFormat/>
    <w:locked/>
    <w:uiPriority w:val="0"/>
    <w:pPr>
      <w:ind w:left="200" w:hanging="200" w:hangingChars="200"/>
    </w:pPr>
  </w:style>
  <w:style w:type="paragraph" w:styleId="21">
    <w:name w:val="table of figures"/>
    <w:basedOn w:val="1"/>
    <w:next w:val="1"/>
    <w:semiHidden/>
    <w:qFormat/>
    <w:locked/>
    <w:uiPriority w:val="99"/>
    <w:pPr>
      <w:jc w:val="center"/>
    </w:pPr>
    <w:rPr>
      <w:rFonts w:eastAsia="楷体_GB2312"/>
      <w:color w:val="000000"/>
      <w:spacing w:val="-4"/>
      <w:szCs w:val="20"/>
    </w:rPr>
  </w:style>
  <w:style w:type="paragraph" w:styleId="22">
    <w:name w:val="toc 2"/>
    <w:basedOn w:val="1"/>
    <w:next w:val="1"/>
    <w:qFormat/>
    <w:locked/>
    <w:uiPriority w:val="39"/>
    <w:pPr>
      <w:ind w:left="210"/>
      <w:jc w:val="left"/>
    </w:pPr>
    <w:rPr>
      <w:smallCaps/>
      <w:sz w:val="20"/>
      <w:szCs w:val="20"/>
    </w:rPr>
  </w:style>
  <w:style w:type="paragraph" w:styleId="23">
    <w:name w:val="Body Text 2"/>
    <w:basedOn w:val="1"/>
    <w:unhideWhenUsed/>
    <w:qFormat/>
    <w:locked/>
    <w:uiPriority w:val="99"/>
    <w:pPr>
      <w:spacing w:after="120" w:line="480" w:lineRule="auto"/>
    </w:pPr>
  </w:style>
  <w:style w:type="paragraph" w:styleId="24">
    <w:name w:val="Normal (Web)"/>
    <w:basedOn w:val="1"/>
    <w:link w:val="43"/>
    <w:qFormat/>
    <w:uiPriority w:val="0"/>
    <w:pPr>
      <w:widowControl/>
      <w:spacing w:before="100" w:beforeAutospacing="1" w:after="100" w:afterAutospacing="1"/>
      <w:jc w:val="left"/>
    </w:pPr>
    <w:rPr>
      <w:rFonts w:ascii="宋体" w:hAnsi="宋体"/>
      <w:kern w:val="0"/>
      <w:sz w:val="24"/>
      <w:szCs w:val="20"/>
    </w:rPr>
  </w:style>
  <w:style w:type="paragraph" w:styleId="25">
    <w:name w:val="annotation subject"/>
    <w:basedOn w:val="7"/>
    <w:next w:val="7"/>
    <w:link w:val="44"/>
    <w:semiHidden/>
    <w:qFormat/>
    <w:uiPriority w:val="0"/>
    <w:rPr>
      <w:b/>
      <w:sz w:val="24"/>
      <w:szCs w:val="20"/>
    </w:rPr>
  </w:style>
  <w:style w:type="paragraph" w:styleId="26">
    <w:name w:val="Body Text First Indent 2"/>
    <w:basedOn w:val="12"/>
    <w:qFormat/>
    <w:locked/>
    <w:uiPriority w:val="0"/>
    <w:pPr>
      <w:spacing w:after="120"/>
      <w:ind w:left="200" w:leftChars="200" w:firstLine="420"/>
    </w:pPr>
    <w:rPr>
      <w:rFonts w:ascii="Times New Roman" w:hAnsi="Times New Roman"/>
      <w:kern w:val="0"/>
      <w:sz w:val="20"/>
    </w:rPr>
  </w:style>
  <w:style w:type="table" w:styleId="28">
    <w:name w:val="Table Grid"/>
    <w:basedOn w:val="27"/>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basedOn w:val="29"/>
    <w:qFormat/>
    <w:locked/>
    <w:uiPriority w:val="0"/>
    <w:rPr>
      <w:b/>
    </w:rPr>
  </w:style>
  <w:style w:type="character" w:styleId="31">
    <w:name w:val="page number"/>
    <w:basedOn w:val="29"/>
    <w:qFormat/>
    <w:locked/>
    <w:uiPriority w:val="0"/>
  </w:style>
  <w:style w:type="character" w:styleId="32">
    <w:name w:val="annotation reference"/>
    <w:semiHidden/>
    <w:qFormat/>
    <w:uiPriority w:val="0"/>
    <w:rPr>
      <w:sz w:val="21"/>
    </w:rPr>
  </w:style>
  <w:style w:type="paragraph" w:customStyle="1" w:styleId="33">
    <w:name w:val="表头"/>
    <w:basedOn w:val="34"/>
    <w:next w:val="1"/>
    <w:qFormat/>
    <w:uiPriority w:val="0"/>
    <w:pPr>
      <w:jc w:val="center"/>
    </w:pPr>
    <w:rPr>
      <w:rFonts w:hint="eastAsia"/>
      <w:b/>
      <w:bCs/>
      <w:szCs w:val="21"/>
    </w:rPr>
  </w:style>
  <w:style w:type="paragraph" w:customStyle="1" w:styleId="34">
    <w:name w:val="表格"/>
    <w:basedOn w:val="20"/>
    <w:next w:val="1"/>
    <w:link w:val="45"/>
    <w:qFormat/>
    <w:uiPriority w:val="0"/>
    <w:pPr>
      <w:adjustRightInd w:val="0"/>
      <w:snapToGrid w:val="0"/>
      <w:spacing w:beforeLines="10" w:afterLines="10" w:line="259" w:lineRule="auto"/>
      <w:jc w:val="center"/>
    </w:pPr>
    <w:rPr>
      <w:rFonts w:ascii="宋体"/>
      <w:kern w:val="0"/>
      <w:szCs w:val="20"/>
    </w:rPr>
  </w:style>
  <w:style w:type="paragraph" w:customStyle="1" w:styleId="35">
    <w:name w:val="表格内"/>
    <w:basedOn w:val="1"/>
    <w:qFormat/>
    <w:uiPriority w:val="0"/>
    <w:pPr>
      <w:adjustRightInd w:val="0"/>
      <w:snapToGrid w:val="0"/>
      <w:spacing w:line="360" w:lineRule="exact"/>
      <w:jc w:val="center"/>
    </w:pPr>
    <w:rPr>
      <w:rFonts w:eastAsia="Times New Roman"/>
      <w:snapToGrid w:val="0"/>
      <w:kern w:val="0"/>
      <w:sz w:val="21"/>
      <w:szCs w:val="21"/>
      <w:lang w:val="zh-CN"/>
    </w:rPr>
  </w:style>
  <w:style w:type="character" w:customStyle="1" w:styleId="36">
    <w:name w:val="批注文字 Char"/>
    <w:link w:val="7"/>
    <w:qFormat/>
    <w:locked/>
    <w:uiPriority w:val="0"/>
    <w:rPr>
      <w:rFonts w:ascii="Times New Roman" w:hAnsi="Times New Roman" w:eastAsia="宋体"/>
      <w:sz w:val="24"/>
    </w:rPr>
  </w:style>
  <w:style w:type="character" w:customStyle="1" w:styleId="37">
    <w:name w:val="正文文本 Char"/>
    <w:link w:val="10"/>
    <w:qFormat/>
    <w:locked/>
    <w:uiPriority w:val="0"/>
    <w:rPr>
      <w:sz w:val="18"/>
    </w:rPr>
  </w:style>
  <w:style w:type="character" w:customStyle="1" w:styleId="38">
    <w:name w:val="正文文本缩进 Char"/>
    <w:link w:val="12"/>
    <w:semiHidden/>
    <w:qFormat/>
    <w:locked/>
    <w:uiPriority w:val="0"/>
    <w:rPr>
      <w:rFonts w:ascii="Times New Roman" w:hAnsi="Times New Roman" w:eastAsia="宋体"/>
      <w:sz w:val="24"/>
    </w:rPr>
  </w:style>
  <w:style w:type="character" w:customStyle="1" w:styleId="39">
    <w:name w:val="日期 Char"/>
    <w:link w:val="15"/>
    <w:qFormat/>
    <w:locked/>
    <w:uiPriority w:val="0"/>
    <w:rPr>
      <w:rFonts w:ascii="Times New Roman" w:hAnsi="Times New Roman" w:eastAsia="宋体"/>
      <w:sz w:val="24"/>
    </w:rPr>
  </w:style>
  <w:style w:type="character" w:customStyle="1" w:styleId="40">
    <w:name w:val="批注框文本 Char"/>
    <w:link w:val="17"/>
    <w:semiHidden/>
    <w:qFormat/>
    <w:locked/>
    <w:uiPriority w:val="0"/>
    <w:rPr>
      <w:rFonts w:ascii="Times New Roman" w:hAnsi="Times New Roman" w:eastAsia="宋体"/>
      <w:sz w:val="18"/>
    </w:rPr>
  </w:style>
  <w:style w:type="character" w:customStyle="1" w:styleId="41">
    <w:name w:val="页脚 Char"/>
    <w:link w:val="18"/>
    <w:qFormat/>
    <w:locked/>
    <w:uiPriority w:val="99"/>
    <w:rPr>
      <w:sz w:val="18"/>
    </w:rPr>
  </w:style>
  <w:style w:type="character" w:customStyle="1" w:styleId="42">
    <w:name w:val="页眉 Char"/>
    <w:link w:val="19"/>
    <w:qFormat/>
    <w:locked/>
    <w:uiPriority w:val="0"/>
    <w:rPr>
      <w:sz w:val="18"/>
    </w:rPr>
  </w:style>
  <w:style w:type="character" w:customStyle="1" w:styleId="43">
    <w:name w:val="普通(网站) Char"/>
    <w:link w:val="24"/>
    <w:qFormat/>
    <w:locked/>
    <w:uiPriority w:val="0"/>
    <w:rPr>
      <w:rFonts w:ascii="宋体" w:hAnsi="宋体" w:eastAsia="宋体"/>
      <w:sz w:val="24"/>
    </w:rPr>
  </w:style>
  <w:style w:type="character" w:customStyle="1" w:styleId="44">
    <w:name w:val="批注主题 Char"/>
    <w:link w:val="25"/>
    <w:semiHidden/>
    <w:qFormat/>
    <w:locked/>
    <w:uiPriority w:val="0"/>
    <w:rPr>
      <w:rFonts w:ascii="Times New Roman" w:hAnsi="Times New Roman" w:eastAsia="宋体"/>
      <w:b/>
      <w:kern w:val="2"/>
      <w:sz w:val="24"/>
    </w:rPr>
  </w:style>
  <w:style w:type="character" w:customStyle="1" w:styleId="45">
    <w:name w:val="表格 Char"/>
    <w:link w:val="34"/>
    <w:qFormat/>
    <w:locked/>
    <w:uiPriority w:val="0"/>
    <w:rPr>
      <w:rFonts w:ascii="宋体"/>
      <w:sz w:val="21"/>
    </w:rPr>
  </w:style>
  <w:style w:type="paragraph" w:customStyle="1" w:styleId="46">
    <w:name w:val="Default"/>
    <w:basedOn w:val="47"/>
    <w:next w:val="8"/>
    <w:qFormat/>
    <w:uiPriority w:val="0"/>
    <w:pPr>
      <w:keepNext w:val="0"/>
      <w:keepLines w:val="0"/>
      <w:widowControl w:val="0"/>
      <w:suppressLineNumbers w:val="0"/>
      <w:autoSpaceDE w:val="0"/>
      <w:autoSpaceDN w:val="0"/>
      <w:spacing w:before="0" w:beforeAutospacing="0" w:after="0" w:afterAutospacing="0"/>
      <w:ind w:left="0" w:right="0"/>
      <w:jc w:val="left"/>
    </w:pPr>
    <w:rPr>
      <w:rFonts w:hint="eastAsia" w:ascii="宋体" w:hAnsi="Times New Roman" w:eastAsia="宋体" w:cs="宋体"/>
      <w:color w:val="000000"/>
      <w:kern w:val="0"/>
      <w:sz w:val="24"/>
      <w:szCs w:val="24"/>
      <w:lang w:val="en-US" w:eastAsia="zh-CN" w:bidi="ar"/>
    </w:rPr>
  </w:style>
  <w:style w:type="paragraph" w:customStyle="1" w:styleId="47">
    <w:name w:val="纯文本1"/>
    <w:basedOn w:val="1"/>
    <w:qFormat/>
    <w:uiPriority w:val="0"/>
    <w:rPr>
      <w:rFonts w:ascii="宋体" w:hAnsi="Courier New"/>
    </w:rPr>
  </w:style>
  <w:style w:type="paragraph" w:customStyle="1" w:styleId="48">
    <w:name w:val="表格内容"/>
    <w:next w:val="49"/>
    <w:qFormat/>
    <w:uiPriority w:val="0"/>
    <w:pPr>
      <w:spacing w:line="240" w:lineRule="auto"/>
      <w:jc w:val="center"/>
    </w:pPr>
    <w:rPr>
      <w:rFonts w:ascii="Times New Roman" w:hAnsi="Times New Roman" w:eastAsia="宋体" w:cs="Times New Roman"/>
      <w:kern w:val="2"/>
      <w:sz w:val="21"/>
      <w:szCs w:val="24"/>
      <w:lang w:val="zh-TW" w:eastAsia="zh-TW" w:bidi="ar-SA"/>
    </w:rPr>
  </w:style>
  <w:style w:type="paragraph" w:customStyle="1" w:styleId="49">
    <w:name w:val="文本正文"/>
    <w:basedOn w:val="1"/>
    <w:qFormat/>
    <w:uiPriority w:val="0"/>
    <w:pPr>
      <w:ind w:firstLine="480"/>
    </w:pPr>
  </w:style>
  <w:style w:type="paragraph" w:customStyle="1" w:styleId="50">
    <w:name w:val="样式 正文文本缩进 + 行距: 1.5 倍行距"/>
    <w:qFormat/>
    <w:uiPriority w:val="0"/>
    <w:pPr>
      <w:widowControl w:val="0"/>
      <w:spacing w:after="120" w:line="360" w:lineRule="auto"/>
      <w:ind w:left="90" w:leftChars="32" w:firstLine="560" w:firstLineChars="200"/>
      <w:jc w:val="both"/>
    </w:pPr>
    <w:rPr>
      <w:rFonts w:ascii="Times New Roman" w:hAnsi="Times New Roman" w:eastAsia="宋体" w:cs="宋体"/>
      <w:lang w:val="en-US" w:eastAsia="zh-CN" w:bidi="ar-SA"/>
    </w:rPr>
  </w:style>
  <w:style w:type="paragraph" w:customStyle="1" w:styleId="51">
    <w:name w:val="样式 正文缩进正文缩进2正文缩进 Char Char正文缩进 Char Char Char Char正文缩进 Char ..."/>
    <w:basedOn w:val="5"/>
    <w:qFormat/>
    <w:uiPriority w:val="0"/>
    <w:pPr>
      <w:spacing w:line="360" w:lineRule="auto"/>
      <w:ind w:firstLine="200"/>
    </w:pPr>
    <w:rPr>
      <w:rFonts w:cs="宋体"/>
      <w:sz w:val="24"/>
    </w:rPr>
  </w:style>
  <w:style w:type="character" w:customStyle="1" w:styleId="52">
    <w:name w:val="页脚 字符"/>
    <w:basedOn w:val="29"/>
    <w:qFormat/>
    <w:uiPriority w:val="99"/>
  </w:style>
  <w:style w:type="character" w:customStyle="1" w:styleId="53">
    <w:name w:val="正文文本 字符1"/>
    <w:semiHidden/>
    <w:qFormat/>
    <w:uiPriority w:val="0"/>
    <w:rPr>
      <w:rFonts w:ascii="Times New Roman" w:hAnsi="Times New Roman" w:eastAsia="宋体"/>
      <w:sz w:val="24"/>
    </w:rPr>
  </w:style>
  <w:style w:type="character" w:customStyle="1" w:styleId="54">
    <w:name w:val="日期 字符"/>
    <w:semiHidden/>
    <w:qFormat/>
    <w:uiPriority w:val="0"/>
    <w:rPr>
      <w:rFonts w:ascii="Times New Roman" w:hAnsi="Times New Roman" w:eastAsia="宋体"/>
      <w:sz w:val="24"/>
    </w:rPr>
  </w:style>
  <w:style w:type="character" w:customStyle="1" w:styleId="55">
    <w:name w:val="批注文字 字符1"/>
    <w:semiHidden/>
    <w:qFormat/>
    <w:uiPriority w:val="0"/>
    <w:rPr>
      <w:rFonts w:ascii="Times New Roman" w:hAnsi="Times New Roman" w:eastAsia="宋体"/>
      <w:sz w:val="24"/>
    </w:rPr>
  </w:style>
  <w:style w:type="paragraph" w:customStyle="1" w:styleId="56">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57">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58">
    <w:name w:val="表格正文"/>
    <w:basedOn w:val="59"/>
    <w:qFormat/>
    <w:uiPriority w:val="0"/>
    <w:pPr>
      <w:wordWrap w:val="0"/>
      <w:ind w:firstLine="0"/>
    </w:pPr>
    <w:rPr>
      <w:b w:val="0"/>
    </w:rPr>
  </w:style>
  <w:style w:type="paragraph" w:customStyle="1" w:styleId="59">
    <w:name w:val="表格标题"/>
    <w:basedOn w:val="33"/>
    <w:qFormat/>
    <w:uiPriority w:val="0"/>
    <w:pPr>
      <w:ind w:firstLine="480"/>
    </w:pPr>
    <w:rPr>
      <w:rFonts w:hint="default"/>
    </w:rPr>
  </w:style>
  <w:style w:type="paragraph" w:customStyle="1" w:styleId="60">
    <w:name w:val="正文文字 6"/>
    <w:next w:val="1"/>
    <w:qFormat/>
    <w:uiPriority w:val="0"/>
    <w:pPr>
      <w:widowControl w:val="0"/>
      <w:ind w:left="240"/>
      <w:jc w:val="both"/>
    </w:pPr>
    <w:rPr>
      <w:rFonts w:ascii="宋体" w:hAnsi="Times New Roman" w:eastAsia="宋体" w:cs="Times New Roman"/>
      <w:b/>
      <w:bCs/>
      <w:kern w:val="2"/>
      <w:sz w:val="32"/>
      <w:szCs w:val="32"/>
      <w:lang w:val="en-US" w:eastAsia="zh-CN" w:bidi="ar-SA"/>
    </w:rPr>
  </w:style>
  <w:style w:type="paragraph" w:customStyle="1" w:styleId="61">
    <w:name w:val="环评正文"/>
    <w:basedOn w:val="1"/>
    <w:qFormat/>
    <w:uiPriority w:val="0"/>
    <w:pPr>
      <w:autoSpaceDE w:val="0"/>
      <w:autoSpaceDN w:val="0"/>
      <w:adjustRightInd w:val="0"/>
      <w:snapToGrid w:val="0"/>
      <w:spacing w:line="360" w:lineRule="auto"/>
      <w:ind w:firstLine="200" w:firstLineChars="200"/>
    </w:pPr>
    <w:rPr>
      <w:rFonts w:ascii="Times New Roman" w:hAnsi="Times New Roman" w:cs="宋体"/>
      <w:kern w:val="0"/>
      <w:sz w:val="24"/>
      <w:szCs w:val="21"/>
    </w:rPr>
  </w:style>
  <w:style w:type="paragraph" w:customStyle="1" w:styleId="62">
    <w:name w:val="表格内容1"/>
    <w:basedOn w:val="1"/>
    <w:qFormat/>
    <w:uiPriority w:val="0"/>
    <w:pPr>
      <w:widowControl/>
      <w:jc w:val="center"/>
    </w:pPr>
    <w:rPr>
      <w:color w:val="000000"/>
      <w:kern w:val="0"/>
      <w:szCs w:val="21"/>
    </w:rPr>
  </w:style>
  <w:style w:type="paragraph" w:customStyle="1" w:styleId="63">
    <w:name w:val="报告书三级标题"/>
    <w:basedOn w:val="1"/>
    <w:qFormat/>
    <w:uiPriority w:val="0"/>
    <w:pPr>
      <w:spacing w:line="420" w:lineRule="exact"/>
      <w:jc w:val="left"/>
    </w:pPr>
    <w:rPr>
      <w:b/>
      <w:szCs w:val="21"/>
    </w:rPr>
  </w:style>
  <w:style w:type="paragraph" w:customStyle="1" w:styleId="64">
    <w:name w:val="样式 四号 首行缩进:  2 字符"/>
    <w:basedOn w:val="1"/>
    <w:qFormat/>
    <w:uiPriority w:val="0"/>
    <w:pPr>
      <w:spacing w:line="480" w:lineRule="exact"/>
      <w:ind w:firstLine="200" w:firstLineChars="200"/>
    </w:pPr>
    <w:rPr>
      <w:sz w:val="24"/>
    </w:rPr>
  </w:style>
  <w:style w:type="character" w:customStyle="1" w:styleId="65">
    <w:name w:val="font41"/>
    <w:basedOn w:val="29"/>
    <w:qFormat/>
    <w:uiPriority w:val="0"/>
    <w:rPr>
      <w:rFonts w:hint="default" w:ascii="Times New Roman" w:hAnsi="Times New Roman" w:cs="Times New Roman"/>
      <w:b/>
      <w:bCs/>
      <w:color w:val="0070C0"/>
      <w:sz w:val="21"/>
      <w:szCs w:val="21"/>
      <w:u w:val="none"/>
    </w:rPr>
  </w:style>
  <w:style w:type="character" w:customStyle="1" w:styleId="66">
    <w:name w:val="font51"/>
    <w:basedOn w:val="29"/>
    <w:qFormat/>
    <w:uiPriority w:val="0"/>
    <w:rPr>
      <w:rFonts w:hint="default" w:ascii="Times New Roman" w:hAnsi="Times New Roman" w:cs="Times New Roman"/>
      <w:color w:val="0070C0"/>
      <w:sz w:val="21"/>
      <w:szCs w:val="21"/>
      <w:u w:val="none"/>
      <w:vertAlign w:val="subscript"/>
    </w:rPr>
  </w:style>
  <w:style w:type="character" w:customStyle="1" w:styleId="67">
    <w:name w:val="font21"/>
    <w:basedOn w:val="29"/>
    <w:qFormat/>
    <w:uiPriority w:val="0"/>
    <w:rPr>
      <w:rFonts w:hint="default" w:ascii="Times New Roman" w:hAnsi="Times New Roman" w:cs="Times New Roman"/>
      <w:color w:val="0070C0"/>
      <w:sz w:val="21"/>
      <w:szCs w:val="21"/>
      <w:u w:val="none"/>
    </w:rPr>
  </w:style>
  <w:style w:type="table" w:customStyle="1" w:styleId="68">
    <w:name w:val="Table Normal"/>
    <w:qFormat/>
    <w:uiPriority w:val="0"/>
    <w:pPr>
      <w:widowControl w:val="0"/>
      <w:autoSpaceDE w:val="0"/>
      <w:autoSpaceDN w:val="0"/>
    </w:pPr>
    <w:rPr>
      <w:rFonts w:ascii="Calibri" w:hAnsi="Calibri" w:eastAsia="宋体" w:cs="宋体"/>
      <w:sz w:val="22"/>
      <w:szCs w:val="22"/>
      <w:lang w:eastAsia="en-US"/>
    </w:rPr>
    <w:tblPr>
      <w:tblCellMar>
        <w:top w:w="0" w:type="dxa"/>
        <w:left w:w="0" w:type="dxa"/>
        <w:bottom w:w="0" w:type="dxa"/>
        <w:right w:w="0" w:type="dxa"/>
      </w:tblCellMar>
    </w:tblPr>
  </w:style>
  <w:style w:type="paragraph" w:customStyle="1" w:styleId="69">
    <w:name w:val="@正文缩进"/>
    <w:qFormat/>
    <w:uiPriority w:val="0"/>
    <w:pPr>
      <w:widowControl w:val="0"/>
      <w:pBdr>
        <w:top w:val="none" w:color="auto" w:sz="0" w:space="3"/>
        <w:left w:val="none" w:color="auto" w:sz="0" w:space="4"/>
        <w:bottom w:val="none" w:color="auto" w:sz="0" w:space="1"/>
        <w:right w:val="none" w:color="auto" w:sz="0" w:space="4"/>
      </w:pBdr>
      <w:spacing w:line="360" w:lineRule="auto"/>
      <w:ind w:firstLine="420" w:firstLineChars="200"/>
      <w:jc w:val="both"/>
      <w:textAlignment w:val="baseline"/>
    </w:pPr>
    <w:rPr>
      <w:rFonts w:ascii="Times New Roman" w:hAnsi="Times New Roman" w:eastAsia="宋体" w:cs="Times New Roman"/>
      <w:kern w:val="2"/>
      <w:sz w:val="24"/>
      <w:szCs w:val="24"/>
      <w:lang w:val="en-US" w:eastAsia="zh-CN" w:bidi="ar-SA"/>
    </w:rPr>
  </w:style>
  <w:style w:type="paragraph" w:customStyle="1" w:styleId="70">
    <w:name w:val="CUCD-0"/>
    <w:basedOn w:val="1"/>
    <w:qFormat/>
    <w:uiPriority w:val="0"/>
    <w:pPr>
      <w:spacing w:line="360" w:lineRule="auto"/>
      <w:ind w:firstLine="200" w:firstLineChars="200"/>
    </w:pPr>
    <w:rPr>
      <w:rFonts w:ascii="Arial" w:hAnsi="Arial" w:eastAsia="宋体" w:cs="Times New Roman"/>
      <w:kern w:val="0"/>
      <w:sz w:val="24"/>
      <w:lang w:val="zh-CN" w:eastAsia="zh-CN"/>
    </w:rPr>
  </w:style>
  <w:style w:type="paragraph" w:customStyle="1" w:styleId="71">
    <w:name w:val="表文字"/>
    <w:basedOn w:val="1"/>
    <w:next w:val="1"/>
    <w:qFormat/>
    <w:uiPriority w:val="0"/>
    <w:pPr>
      <w:spacing w:line="240" w:lineRule="auto"/>
      <w:ind w:firstLine="0" w:firstLineChars="0"/>
      <w:jc w:val="center"/>
    </w:pPr>
    <w:rPr>
      <w:sz w:val="21"/>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1" Type="http://schemas.openxmlformats.org/officeDocument/2006/relationships/fontTable" Target="fontTable.xml"/><Relationship Id="rId30" Type="http://schemas.openxmlformats.org/officeDocument/2006/relationships/customXml" Target="../customXml/item2.xml"/><Relationship Id="rId3" Type="http://schemas.openxmlformats.org/officeDocument/2006/relationships/header" Target="header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16.wmf"/><Relationship Id="rId26" Type="http://schemas.openxmlformats.org/officeDocument/2006/relationships/oleObject" Target="embeddings/oleObject3.bin"/><Relationship Id="rId25" Type="http://schemas.openxmlformats.org/officeDocument/2006/relationships/image" Target="media/image15.wmf"/><Relationship Id="rId24" Type="http://schemas.openxmlformats.org/officeDocument/2006/relationships/oleObject" Target="embeddings/oleObject2.bin"/><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oleObject" Target="embeddings/oleObject1.bin"/><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jpeg"/><Relationship Id="rId15" Type="http://schemas.openxmlformats.org/officeDocument/2006/relationships/image" Target="media/image7.jpeg"/><Relationship Id="rId14" Type="http://schemas.openxmlformats.org/officeDocument/2006/relationships/image" Target="media/image6.jpeg"/><Relationship Id="rId13" Type="http://schemas.openxmlformats.org/officeDocument/2006/relationships/image" Target="media/image5.jpeg"/><Relationship Id="rId12" Type="http://schemas.openxmlformats.org/officeDocument/2006/relationships/image" Target="media/image4.jpeg"/><Relationship Id="rId11" Type="http://schemas.openxmlformats.org/officeDocument/2006/relationships/image" Target="media/image3.jpeg"/><Relationship Id="rId10" Type="http://schemas.openxmlformats.org/officeDocument/2006/relationships/image" Target="media/image2.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Info spid="_x0000_s2057"/>
  </customShpExts>
  <extobjs>
    <extobj name="E657119C-6982-421D-8BA7-E74DEB70A7D9-1">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d09Ua2xNa01sTWpKemFHOTNSM0pwWkNVeU1pVXpRWFJ5ZFdVbE1rTWxNakp5YVdOb1ZHVjRkQ1V5TWlVelFYUnlkV1VsTWtNbE1qSm9aV2xuYUhRbE1qSWxNMEV4TURBd0pUZEVKVEpESlRJeVpXeGxiV1Z1ZEhNbE1qSWxNMEVsTjBJbE1qSkliRTVwZG1oUVkweGhNamt4TkRNMUpUSXlKVE5CSlRkQ0pUSXlhV1FsTWpJbE0wRWxNakpJYkU1cGRtaFFZMHhoTWpreE5ETTF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sSnVVM05UVjNWWFZHc3pOamcxTnpFbE1qSWxOMFFsTWtNbE4wSWxNakp1WVcxbEpUSXlKVE5CSlRJeUpVVTFKVGt3SlRoRUpVVTNKVUUzSlVJd0pUSXlKVEpESlRJeWRIbHdaU1V5TWlVelFTVXlNbk4wY21sdVp5VXlNaVV5UXlVeU1uWmhiSFZsSlRJeUpUTkJKVEl5SlRJeUpUSkRKVEl5WTJGMFpXZHZjbmtsTWpJbE0wRWxNakprWldaaGRXeDBKVEl5SlRKREpUSXlhV1FsTWpJbE0wRWxNakpCZVc1SlIxaEdZazEzTkRjNE1EWXd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jVjR1JSVTJSR1puTlVOVE00TkRZeEpUSXlKVE5CSlRkQ0pUSXlhV1FsTWpJbE0wRWxNako1Y0dSUlUyUkdabk5VTlRNNE5EWXh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rZEJlVkZ6WkhsVGVHOHpNRGN5TkRVbE1qSWxOMFFsTWtNbE4wSWxNakp1WVcxbEpUSXlKVE5CSlRJeUpVVTFKVGt3SlRoRUpVVTNKVUUzSlVJd0pUSXlKVEpESlRJeWRIbHdaU1V5TWlVelFTVXlNbk4wY21sdVp5VXlNaVV5UXlVeU1uWmhiSFZsSlRJeUpUTkJKVEl5SlRJeUpUSkRKVEl5WTJGMFpXZHZjbmtsTWpJbE0wRWxNakprWldaaGRXeDBKVEl5SlRKREpUSXlhV1FsTWpJbE0wRWxNakpDVVVKTWVWbExWR3hIT0RnNU5UUTN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VRBbE1rTWxNako1SlRJeUpUTkJNQ1V5UXlVeU1uY2xNaklsTTBFbE1qSjNMVEl3SlRJeUpUSkRKVEl5YUNVeU1pVXpRU1V5TW1nbE1qSWxOMFFsTWtNbE1qSjBaWGgwSlRJeUpUTkJKVEl5SlVVMUpUbERKVUpCSlVVMUpUbERKVUl3SlVVMUpVSTVKVUl6SlVVMkpUazFKVUkw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hbU5IWTNsbFNHRmFWakV5TVRnek9TVXlNaVV6UVNVM1FpVXlNbWxrSlRJeUpUTkJKVEl5YW1OSFkzbGxTR0ZhVmpFeU1UZ3pPU1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lhhVVpIU2xseFUwUndOemN6TXpFNUpUSXlKVGRFSlRKREpUZENKVEl5Ym1GdFpTVXlNaVV6UVNVeU1pVkZOU1U1TUNVNFJDVkZOeVZCTnlWQ01DVXlNaVV5UXlVeU1uUjVjR1VsTWpJbE0wRWxNakp6ZEhKcGJtY2xNaklsTWtNbE1qSjJZV3gxWlNVeU1pVXpRU1V5TWlVeU1pVXlReVV5TW1OaGRHVm5iM0o1SlRJeUpUTkJKVEl5WkdWbVlYVnNkQ1V5TWlVeVF5VXlNbWxrSlRJeUpUTkJKVEl5Y2xCWVNYTjVUWGRWUVRnd01qZzBNU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eE1DVXlReVV5TW5rbE1qSWxNMEV3SlRKREpUSXlkeVV5TWlVelFTVXlNbmN0TWpBbE1qSWxNa01sTWpKb0pUSXlKVE5CSlRJeWFDVXlNaVUzUkNVeVF5VXlNblJsZUhRbE1qSWxNMEVsTWpJbFJUVWxPVU1sUWtFbFJUVWxPVU1sUWpBbFJUTWxPREFsT0RFbFJUVWxPRVlsT0VRbFJUVWxPVVFsT0VVbFJUTWxPREFsT0RFbFJUWWxPRVVsT1RJbFJUWWxRakFsUWpRbFJUY2xRak1sUWtJbFJUY2xRa0lsT1VZbFJUWWxPVFlsUWtRbFJUVWxRamNsUVRV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ozV1ZwbGJWaG1hbEpqTmpNMU16SXdKVEl5SlROQkpUZENKVEl5YVdRbE1qSWxNMEVsTWpKM1dWcGxiVmhtYWxKak5qTTFNekl3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a05WV0hOa1YzSjVaWFl3TWpZM05EVWxNaklsTjBRbE1rTWxOMElsTWpKdVlXMWxKVEl5SlROQkpUSXlKVVUxSlRrd0pUaEVKVVUzSlVFM0pVSXdKVEl5SlRKREpUSXlkSGx3WlNVeU1pVXpRU1V5TW5OMGNtbHVaeVV5TWlVeVF5VXlNblpoYkhWbEpUSXlKVE5CSlRJeUpUSXlKVEpESlRJeVkyRjBaV2R2Y25rbE1qSWxNMEVsTWpKa1pXWmhkV3gwSlRJeUpUSkRKVEl5YVdRbE1qSWxNMEVsTWpKQlYwSkxZV2RTZUZwVk5qY3hNVEkz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RXdKVEpESlRJeWVTVXlNaVV6UVRBbE1rTWxNakozSlRJeUpUTkJKVEl5ZHkweU1DVXlNaVV5UXlVeU1tZ2xNaklsTTBFbE1qSm9KVEl5SlRkRUpUSkRKVEl5ZEdWNGRDVXlNaVV6UVNVeU1pVkZOU1U1UXlWQ1FTVkZOU1U1UXlWQ01DVkZNeVU0TUNVNE1TVkZOU1U0UmlVNFJDVkZOU1U1UkNVNFJTVkZNeVU0TUNVNE1TVkZOaVU0UlNVNU1pVkZOaVZDTUNWQ05DVkZOeVZDTXlWQ1FpVkZOeVZDUWlVNVJpVkZOaVU1TmlWQ1JDVkZOU1ZDTnlWQk5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twc1ZVbGxVMGxHWVVjd09EZzFPRGNsTWpJbE4wUWxNa01sTjBJbE1qSnVZVzFsSlRJeUpUTkJKVEl5SlVVMUpUa3dKVGhFSlVVM0pVRTNKVUl3SlRJeUpUSkRKVEl5ZEhsd1pTVXlNaVV6UVNVeU1uTjBjbWx1WnlVeU1pVXlReVV5TW5aaGJIVmxKVEl5SlROQkpUSXlKVEl5SlRKREpUSXlZMkYwWldkdmNua2xNaklsTTBFbE1qSmtaV1poZFd4MEpUSXlKVEpESlRJeWFXUWxNaklsTTBFbE1qSm9WMGxLWkdwUGVFOXJOak14T1RZMU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pzZW10aWJHZFZSbTE2TVRnME1EZzBKVEl5SlRkRUpUSkRKVGRDSlRJeWJtRnRaU1V5TWlVelFTVXlNaVZGTlNVNU1DVTRSQ1ZGTnlWQk55VkNNQ1V5TWlVeVF5VXlNblI1Y0dVbE1qSWxNMEVsTWpKemRISnBibWNsTWpJbE1rTWxNakoyWVd4MVpTVXlNaVV6UVNVeU1pVXlNaVV5UXlVeU1tTmhkR1ZuYjNKNUpUSXlKVE5CSlRJeVpHVm1ZWFZzZENVeU1pVXlReVV5TW1sa0pUSXlKVE5CSlRJeWIwcGtiRTlyVlV0cGJUY3dOVGd5T1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"/>
    </extobj>
    <extobj name="E657119C-6982-421D-8BA7-E74DEB70A7D9-2">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d09Ua2xNa01sTWpKemFHOTNSM0pwWkNVeU1pVXpRWFJ5ZFdVbE1rTWxNakp5YVdOb1ZHVjRkQ1V5TWlVelFYUnlkV1VsTWtNbE1qSm9aV2xuYUhRbE1qSWxNMEV4TURBd0pUZEVKVEpESlRJeVpXeGxiV1Z1ZEhNbE1qSWxNMEVsTjBJbE1qSllTVWwzYVdObmFuQmhOVE16TmpNeUpUSXlKVE5CSlRkQ0pUSXlhV1FsTWpJbE0wRWxNakpZU1VsM2FXTm5hbkJoTlRNek5qTXl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sSkRVV3hWVW1WdmMySTNOalE1TXpnbE1qSWxOMFFsTWtNbE4wSWxNakp1WVcxbEpUSXlKVE5CSlRJeUpVVTFKVGt3SlRoRUpVVTNKVUUzSlVJd0pUSXlKVEpESlRJeWRIbHdaU1V5TWlVelFTVXlNbk4wY21sdVp5VXlNaVV5UXlVeU1uWmhiSFZsSlRJeUpUTkJKVEl5SlRJeUpUSkRKVEl5WTJGMFpXZHZjbmtsTWpJbE0wRWxNakprWldaaGRXeDBKVEl5SlRKREpUSXlhV1FsTWpJbE0wRWxNakpyU0V0Q2VHVm1hMjlMT1RjME5UWXp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TNSQ1V5UXlVeU1uUmxlSFJDYkc5amF5VXlNaVV6UVNVMVFpVTNRaVV5TW5CdmMybDBhVzl1SlRJeUpUTkJKVGRDSlRJeWVDVXlNaVV6UVRFd0pUSkRKVEl5ZVNVeU1pVXpRVEFsTWtNbE1qSjNKVEl5SlROQkpUSXlkeTB5TUNVeU1pVXlReVV5TW1nbE1qSWxNMEVsTWpKb0pUSXlKVGRFSlRKREpUSXlkR1Y0ZENVeU1pVXpRU1V5TWlWRk5TVTROU1ZCTlNWRk5TVTVReVZDUVNWRk5pVkJNQ1ZDT0NWRk9TVkJRU1U0UXl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WREVEVsMmJXSkVkMWt3TnpNME56VWxNaklsTTBFbE4wSWxNakpwWkNVeU1pVXpRU1V5TW1kRFRFbDJiV0pFZDFrd056TTBOelVsTWpJbE1rTWxNakp1WVcxbEpUSXlKVE5CSlRJeWRHVjRkQ1V5TWlVeVF5VXlNblJwZEd4bEpUSXlKVE5CSlRJeUpVVTJKVGsySlRnM0pVVTJKVGxESlVGRE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tkeFVXOWplR0Z2UTB3eE1UZ3pOakFsTWpJbE4wUWxNa01sTjBJbE1qSnVZVzFsSlRJeUpUTkJKVEl5SlVVMUpUa3dKVGhFSlVVM0pVRTNKVUl3SlRJeUpUSkRKVEl5ZEhsd1pTVXlNaVV6UVNVeU1uTjBjbWx1WnlVeU1pVXlReVV5TW5aaGJIVmxKVEl5SlROQkpUSXlKVEl5SlRKREpUSXlZMkYwWldkdmNua2xNaklsTTBFbE1qSmtaV1poZFd4MEpUSXlKVEpESlRJeWFXUWxNaklsTTBFbE1qSlpTR2RMY2xkUFRYZG1Oek00TmpRME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QWxNa01sTWpKNUpUSXlKVE5CTUNVeVF5VXlNbmNsTWpJbE0wRWxNakozSlRJeUpUSkRKVEl5YUNVeU1pVXpRU1V5TW1nbE1qSWxOMFFsTWtNbE1qSjBaWGgwSlRJeUpUTkJKVEl5SlVVMUpVSkNKVUpCSlVVM0pVRkVKVGt4SlVVMUpUbEZKVGd6SlVVMUpUbERKVUpG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iR3RDYUV0eWJGVllRVEl6T0RFNU5TVXlNaVV6UVNVM1FpVXlNbWxrSlRJeUpUTkJKVEl5Ykd0Q2FFdHliRlZZUVRJek9ERTVOU1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khlRWxGU1VWSVpWaFJPRGN5TmpNMkpUSXlKVGRFSlRKREpUZENKVEl5Ym1GdFpTVXlNaVV6UVNVeU1pVkZOU1U1TUNVNFJDVkZOeVZCTnlWQ01DVXlNaVV5UXlVeU1uUjVjR1VsTWpJbE0wRWxNakp6ZEhKcGJtY2xNaklsTWtNbE1qSjJZV3gxWlNVeU1pVXpRU1V5TWlVeU1pVXlReVV5TW1OaGRHVm5iM0o1SlRJeUpUTkJKVEl5WkdWbVlYVnNkQ1V5TWlVeVF5VXlNbWxrSlRJeUpUTkJKVEl5YUUxc2JIcGxXV05yVmpRME1UWXpOQ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eE1DVXlReVV5TW5rbE1qSWxNMEV3SlRKREpUSXlkeVV5TWlVelFTVXlNbmN0TWpBbE1qSWxNa01sTWpKb0pUSXlKVE5CSlRJeWFDVXlNaVUzUkNVeVF5VXlNblJsZUhRbE1qSWxNMEVsTWpJbFJUVWxPRVFsUWpnbFJUZ2xRa1FsUVRZbFJUVWxRVEFsT0RZbFJUVWxRVVFsT1Rn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QUkZWM2NrdFViMnhVT1RFMk1qRTBKVEl5SlROQkpUZENKVEl5YVdRbE1qSWxNMEVsTWpKUFJGVjNja3RVYjJ4VU9URTJNakUw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a2RaZFZkRGFIaFhaMUE1TURjME5EVWxNaklsTjBRbE1rTWxOMElsTWpKdVlXMWxKVEl5SlROQkpUSXlKVVUxSlRrd0pUaEVKVVUzSlVFM0pVSXdKVEl5SlRKREpUSXlkSGx3WlNVeU1pVXpRU1V5TW5OMGNtbHVaeVV5TWlVeVF5VXlNblpoYkhWbEpUSXlKVE5CSlRJeUpUSXlKVEpESlRJeVkyRjBaV2R2Y25rbE1qSWxNMEVsTWpKa1pXWmhkV3gwSlRJeUpUSkRKVEl5YVdRbE1qSWxNMEVsTWpKWFkwTjBXa2hsYzBoUE56UTFNekUy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RXdKVEpESlRJeWVTVXlNaVV6UVRBbE1rTWxNakozSlRJeUpUTkJKVEl5ZHkweU1DVXlNaVV5UXlVeU1tZ2xNaklsTTBFbE1qSm9KVEl5SlRkRUpUSkRKVEl5ZEdWNGRDVXlNaVV6UVNVeU1pVkZPQ1ZCTXlVNE5TVkZPQ1ZDUkNWQk5pVkZOU1ZCTkNVNU5pVkZPQ1ZDUmlVNU1D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QWxNa01sTWpKNUpUSXlKVE5CTUNVeVF5VXlNbmNsTWpJbE0wRWxNakozSlRJeUpUSkRKVEl5YUNVeU1pVXpRU1V5TW1nbE1qSWxOMFFsTWtNbE1qSjBaWGgwSlRJeUpUTkJKVEl5SlVVMUpVSkJKVGxHSlVVMkpVSXdKVGswSlVVekpUZ3dKVGd4SlVVMUpUazVKVUZCSlVVMUpVRXpKVUl3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UpUSkRKVEl5WTI5dGJXVnVkSE1sTWpJbE0wRWxOVUlsTlVRbE1rTWxNakp3YkhWbmFXNXpKVEl5SlROQkpUZENKVGRFSlRKREpUSXlZV2xEYjI1MFlXbHVaWEp6SlRJeUpUTkJKVGRDSlRkRUpUSkRKVEl5YVc1elpYSjBVR0ZuWlU5d2RITWxNaklsTTBFbE4wSWxOMFFsTWtNbE1qSndiM04wVUdGNWJXVnVkQ1V5TWlVelFTVTNRaVUzUkNVeVF5VXlNblJvWlcxbEpUSXlKVE5CSlRkQ0pUSXljR0ZuWlNVeU1pVXpRU1UzUWlVeU1tSmhZMnRuY205MWJtUkRiMnh2Y2lVeU1pVXpRU1V5TW5SeVlXNXpjR0Z5Wlc1MEpUSXlKVGRFSlRkRUpUZEUiLAoJIkZpbGVJZCIgOiAiNDFkMGE0NjEtYmViZS00NDdmLTg0M2MtOWQyZmM0NTkzY2ZjIgp9Cg=="/>
    </extobj>
  </extobjs>
</s:customData>
</file>

<file path=customXml/item2.xml><?xml version="1.0" encoding="utf-8"?>
<contractReview xmlns="http://schemas.wps.cn/vas-ai-hub/contract-review">
  <reviewItems>
    <reviewItem>
      <errorID>0a39ea91-6ee8-4490-b7d5-4ccafceb0514</errorID>
      <errorWord>(</errorWord>
      <group>L1_Format</group>
      <groupName>格式问题</groupName>
      <ability>L2_HalfPunc_CN</ability>
      <abilityName>全半角问题</abilityName>
      <candidateList>
        <item>（</item>
      </candidateList>
      <explain>文本全半角错误。</explain>
      <paraID>3BE31EBA</paraID>
      <start>23</start>
      <end>24</end>
      <status>unmodified</status>
      <modifiedWord/>
      <trackRevisions>false</trackRevisions>
    </reviewItem>
    <reviewItem>
      <errorID>a6a97c55-1d87-4a2d-8a32-4851d283d08b</errorID>
      <errorWord>)</errorWord>
      <group>L1_Format</group>
      <groupName>格式问题</groupName>
      <ability>L2_HalfPunc_CN</ability>
      <abilityName>全半角问题</abilityName>
      <candidateList>
        <item>）</item>
      </candidateList>
      <explain>文本全半角错误。</explain>
      <paraID>3BE31EBA</paraID>
      <start>26</start>
      <end>27</end>
      <status>unmodified</status>
      <modifiedWord/>
      <trackRevisions>false</trackRevisions>
    </reviewItem>
    <reviewItem>
      <errorID>2ce23880-15d6-461b-98e8-75053c08c892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3BE31EBA</paraID>
      <start>56</start>
      <end>57</end>
      <status>unmodified</status>
      <modifiedWord/>
      <trackRevisions>false</trackRevisions>
    </reviewItem>
    <reviewItem>
      <errorID>aaef638c-2839-400c-9b9b-6b0ab412e462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452ABE1F</paraID>
      <start>27</start>
      <end>28</end>
      <status>unmodified</status>
      <modifiedWord/>
      <trackRevisions>false</trackRevisions>
    </reviewItem>
    <reviewItem>
      <errorID>85e6483e-8810-46da-813b-f609d2fb23c0</errorID>
      <errorWord>(</errorWord>
      <group>L1_Format</group>
      <groupName>格式问题</groupName>
      <ability>L2_HalfPunc_CN</ability>
      <abilityName>全半角问题</abilityName>
      <candidateList>
        <item>（</item>
      </candidateList>
      <explain>文本全半角错误。</explain>
      <paraID>38C7BD82</paraID>
      <start>120</start>
      <end>121</end>
      <status>unmodified</status>
      <modifiedWord/>
      <trackRevisions>false</trackRevisions>
    </reviewItem>
    <reviewItem>
      <errorID>40811260-1a77-4dca-a90a-9a22134cce78</errorID>
      <errorWord>)</errorWord>
      <group>L1_Format</group>
      <groupName>格式问题</groupName>
      <ability>L2_HalfPunc_CN</ability>
      <abilityName>全半角问题</abilityName>
      <candidateList>
        <item>）</item>
      </candidateList>
      <explain>文本全半角错误。</explain>
      <paraID>38C7BD82</paraID>
      <start>123</start>
      <end>124</end>
      <status>unmodified</status>
      <modifiedWord/>
      <trackRevisions>false</trackRevisions>
    </reviewItem>
    <reviewItem>
      <errorID>6988d263-a4bf-408b-a12b-e984b73715d4</errorID>
      <errorWord>(</errorWord>
      <group>L1_Format</group>
      <groupName>格式问题</groupName>
      <ability>L2_HalfPunc_CN</ability>
      <abilityName>全半角问题</abilityName>
      <candidateList>
        <item>（</item>
      </candidateList>
      <explain>文本全半角错误。</explain>
      <paraID>38C7BD82</paraID>
      <start>149</start>
      <end>150</end>
      <status>unmodified</status>
      <modifiedWord/>
      <trackRevisions>false</trackRevisions>
    </reviewItem>
    <reviewItem>
      <errorID>056d12f1-ceaa-4958-b0e7-8596bd8a0a0c</errorID>
      <errorWord>)</errorWord>
      <group>L1_Format</group>
      <groupName>格式问题</groupName>
      <ability>L2_HalfPunc_CN</ability>
      <abilityName>全半角问题</abilityName>
      <candidateList>
        <item>）</item>
      </candidateList>
      <explain>文本全半角错误。</explain>
      <paraID>38C7BD82</paraID>
      <start>152</start>
      <end>153</end>
      <status>unmodified</status>
      <modifiedWord/>
      <trackRevisions>false</trackRevisions>
    </reviewItem>
    <reviewItem>
      <errorID>3d46cf73-be07-4f3a-9b34-321e722627e2</errorID>
      <errorWord>法律、法规</errorWord>
      <group>L1_Word</group>
      <groupName>字词问题</groupName>
      <ability>L2_Typo</ability>
      <abilityName>字词错误</abilityName>
      <candidateList>
        <item>法律法规</item>
      </candidateList>
      <explain/>
      <paraID> 70B3E33</paraID>
      <start>167</start>
      <end>172</end>
      <status>unmodified</status>
      <modifiedWord/>
      <trackRevisions>false</trackRevisions>
    </reviewItem>
    <reviewItem>
      <errorID>0cfaf5ec-8b38-45b5-9f69-7999000da2df</errorID>
      <errorWord>法律、法规</errorWord>
      <group>L1_Word</group>
      <groupName>字词问题</groupName>
      <ability>L2_Typo</ability>
      <abilityName>字词错误</abilityName>
      <candidateList>
        <item>法律法规</item>
      </candidateList>
      <explain/>
      <paraID> 70B3E33</paraID>
      <start>1802</start>
      <end>1807</end>
      <status>unmodified</status>
      <modifiedWord/>
      <trackRevisions>false</trackRevisions>
    </reviewItem>
    <reviewItem>
      <errorID>a6d52871-7f0e-4651-bf0d-29c914d8bdd1</errorID>
      <errorWord>-</errorWord>
      <group>L1_Format</group>
      <groupName>格式问题</groupName>
      <ability>L2_HalfPunc_CN</ability>
      <abilityName>全半角问题</abilityName>
      <candidateList>
        <item>－</item>
      </candidateList>
      <explain>文本全半角错误。</explain>
      <paraID> 70B3E33</paraID>
      <start>2072</start>
      <end>2073</end>
      <status>unmodified</status>
      <modifiedWord/>
      <trackRevisions>false</trackRevisions>
    </reviewItem>
    <reviewItem>
      <errorID>377c3ea6-57d6-4030-a28c-9e8a1810719b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6D119550</paraID>
      <start>0</start>
      <end>2</end>
      <status>unmodified</status>
      <modifiedWord/>
      <trackRevisions>false</trackRevisions>
    </reviewItem>
    <reviewItem>
      <errorID>d2c46260-5c3b-4009-85ef-bc5e115ac4e9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557AED2</paraID>
      <start>0</start>
      <end>2</end>
      <status>unmodified</status>
      <modifiedWord/>
      <trackRevisions>false</trackRevisions>
    </reviewItem>
    <reviewItem>
      <errorID>adfef54d-58d3-46c8-a00f-c45a5969a5af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3D67F4F1</paraID>
      <start>0</start>
      <end>2</end>
      <status>unmodified</status>
      <modifiedWord/>
      <trackRevisions>false</trackRevisions>
    </reviewItem>
    <reviewItem>
      <errorID>0efc3f07-6e20-4772-8310-e7633d1ef295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4153A801</paraID>
      <start>0</start>
      <end>2</end>
      <status>unmodified</status>
      <modifiedWord/>
      <trackRevisions>false</trackRevisions>
    </reviewItem>
    <reviewItem>
      <errorID>7899b990-c9c1-4116-9e9e-9ffad2b8151f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4FAFE6A2</paraID>
      <start>0</start>
      <end>2</end>
      <status>unmodified</status>
      <modifiedWord/>
      <trackRevisions>false</trackRevisions>
    </reviewItem>
    <reviewItem>
      <errorID>77b771df-d505-43a3-922c-df0a3ad368ac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6D749B0C</paraID>
      <start>19</start>
      <end>20</end>
      <status>unmodified</status>
      <modifiedWord/>
      <trackRevisions>false</trackRevisions>
    </reviewItem>
    <reviewItem>
      <errorID>eb17c690-8985-473a-a498-3182366d67cb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6E5838C</paraID>
      <start>18</start>
      <end>19</end>
      <status>unmodified</status>
      <modifiedWord/>
      <trackRevisions>false</trackRevisions>
    </reviewItem>
    <reviewItem>
      <errorID>5a6406f1-83cc-4a30-b1bb-a4a432669e25</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 6E5838C</paraID>
      <start>167</start>
      <end>168</end>
      <status>unmodified</status>
      <modifiedWord/>
      <trackRevisions>false</trackRevisions>
    </reviewItem>
    <reviewItem>
      <errorID>90eca806-51c9-4ba9-ad0f-7bbe30868cde</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 6E5838C</paraID>
      <start>179</start>
      <end>180</end>
      <status>unmodified</status>
      <modifiedWord/>
      <trackRevisions>false</trackRevisions>
    </reviewItem>
    <reviewItem>
      <errorID>3231c1aa-6de2-4c12-a151-0c1f7d8fdda5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3DB789B7</paraID>
      <start>83</start>
      <end>84</end>
      <status>unmodified</status>
      <modifiedWord/>
      <trackRevisions>false</trackRevisions>
    </reviewItem>
    <reviewItem>
      <errorID>2003fd92-54e6-4ba3-a7c0-8b04823b99b7</errorID>
      <errorWord>，...。</errorWord>
      <group>L1_Punc</group>
      <groupName>标点问题</groupName>
      <ability>L2_Punc_CN</ability>
      <abilityName>标点符号问题</abilityName>
      <candidateList>
        <item>，</item>
      </candidateList>
      <explain/>
      <paraID>4CF68D05</paraID>
      <start>82</start>
      <end>87</end>
      <status>unmodified</status>
      <modifiedWord/>
      <trackRevisions>false</trackRevisions>
    </reviewItem>
    <reviewItem>
      <errorID>aee7040d-c566-4320-ba49-7b8f77753e54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6367BFBF</paraID>
      <start>77</start>
      <end>78</end>
      <status>unmodified</status>
      <modifiedWord/>
      <trackRevisions>false</trackRevisions>
    </reviewItem>
    <reviewItem>
      <errorID>fef5fa57-9f4f-43ee-a2c7-32e20ddce3a9</errorID>
      <errorWord>:</errorWord>
      <group>L1_Format</group>
      <groupName>格式问题</groupName>
      <ability>L2_HalfPunc_CN</ability>
      <abilityName>全半角问题</abilityName>
      <candidateList>
        <item>：</item>
      </candidateList>
      <explain>文本全半角错误。</explain>
      <paraID>76541E96</paraID>
      <start>33</start>
      <end>34</end>
      <status>unmodified</status>
      <modifiedWord/>
      <trackRevisions>false</trackRevisions>
    </reviewItem>
    <reviewItem>
      <errorID>1f8fa532-0225-4190-836f-05451bf7c053</errorID>
      <errorWord>(</errorWord>
      <group>L1_Format</group>
      <groupName>格式问题</groupName>
      <ability>L2_HalfPunc_CN</ability>
      <abilityName>全半角问题</abilityName>
      <candidateList>
        <item>（</item>
      </candidateList>
      <explain>文本全半角错误。</explain>
      <paraID>7402478A</paraID>
      <start>28</start>
      <end>29</end>
      <status>unmodified</status>
      <modifiedWord/>
      <trackRevisions>false</trackRevisions>
    </reviewItem>
    <reviewItem>
      <errorID>47948e33-dac3-466e-8cfa-49c913671b21</errorID>
      <errorWord>)</errorWord>
      <group>L1_Format</group>
      <groupName>格式问题</groupName>
      <ability>L2_HalfPunc_CN</ability>
      <abilityName>全半角问题</abilityName>
      <candidateList>
        <item>）</item>
      </candidateList>
      <explain>文本全半角错误。</explain>
      <paraID>7402478A</paraID>
      <start>30</start>
      <end>31</end>
      <status>unmodified</status>
      <modifiedWord/>
      <trackRevisions>false</trackRevisions>
    </reviewItem>
    <reviewItem>
      <errorID>85767357-bf06-4e17-9025-1069c6274c8e</errorID>
      <errorWord>(</errorWord>
      <group>L1_Format</group>
      <groupName>格式问题</groupName>
      <ability>L2_HalfPunc_CN</ability>
      <abilityName>全半角问题</abilityName>
      <candidateList>
        <item>（</item>
      </candidateList>
      <explain>文本全半角错误。</explain>
      <paraID>7402478A</paraID>
      <start>41</start>
      <end>42</end>
      <status>unmodified</status>
      <modifiedWord/>
      <trackRevisions>false</trackRevisions>
    </reviewItem>
    <reviewItem>
      <errorID>bac7c7bc-18b1-4926-b0b1-3c9553ea50c0</errorID>
      <errorWord>)</errorWord>
      <group>L1_Format</group>
      <groupName>格式问题</groupName>
      <ability>L2_HalfPunc_CN</ability>
      <abilityName>全半角问题</abilityName>
      <candidateList>
        <item>）</item>
      </candidateList>
      <explain>文本全半角错误。</explain>
      <paraID>7402478A</paraID>
      <start>43</start>
      <end>44</end>
      <status>unmodified</status>
      <modifiedWord/>
      <trackRevisions>false</trackRevisions>
    </reviewItem>
    <reviewItem>
      <errorID>da1ec851-1e4a-4c25-99a7-d1269207719a</errorID>
      <errorWord>(</errorWord>
      <group>L1_Format</group>
      <groupName>格式问题</groupName>
      <ability>L2_HalfPunc_CN</ability>
      <abilityName>全半角问题</abilityName>
      <candidateList>
        <item>（</item>
      </candidateList>
      <explain>文本全半角错误。</explain>
      <paraID>7402478A</paraID>
      <start>114</start>
      <end>115</end>
      <status>unmodified</status>
      <modifiedWord/>
      <trackRevisions>false</trackRevisions>
    </reviewItem>
    <reviewItem>
      <errorID>75bb33d5-9349-40f7-8b2d-aa7c632eeb08</errorID>
      <errorWord>)</errorWord>
      <group>L1_Format</group>
      <groupName>格式问题</groupName>
      <ability>L2_HalfPunc_CN</ability>
      <abilityName>全半角问题</abilityName>
      <candidateList>
        <item>）</item>
      </candidateList>
      <explain>文本全半角错误。</explain>
      <paraID>7402478A</paraID>
      <start>116</start>
      <end>117</end>
      <status>unmodified</status>
      <modifiedWord/>
      <trackRevisions>false</trackRevisions>
    </reviewItem>
    <reviewItem>
      <errorID>3e2794ac-2ca0-468f-8fd9-c0ca461ec1b3</errorID>
      <errorWord>;</errorWord>
      <group>L1_Format</group>
      <groupName>格式问题</groupName>
      <ability>L2_HalfPunc_CN</ability>
      <abilityName>全半角问题</abilityName>
      <candidateList>
        <item>；</item>
      </candidateList>
      <explain>文本全半角错误。</explain>
      <paraID>7402478A</paraID>
      <start>118</start>
      <end>119</end>
      <status>unmodified</status>
      <modifiedWord/>
      <trackRevisions>false</trackRevisions>
    </reviewItem>
    <reviewItem>
      <errorID>f0691101-00a7-47f4-820f-db47870f4ab0</errorID>
      <errorWord>(</errorWord>
      <group>L1_Format</group>
      <groupName>格式问题</groupName>
      <ability>L2_HalfPunc_CN</ability>
      <abilityName>全半角问题</abilityName>
      <candidateList>
        <item>（</item>
      </candidateList>
      <explain>文本全半角错误。</explain>
      <paraID>2E56B1F1</paraID>
      <start>6</start>
      <end>7</end>
      <status>unmodified</status>
      <modifiedWord/>
      <trackRevisions>false</trackRevisions>
    </reviewItem>
    <reviewItem>
      <errorID>83032b7f-c0d4-4192-b75d-5726655f5f63</errorID>
      <errorWord>)</errorWord>
      <group>L1_Format</group>
      <groupName>格式问题</groupName>
      <ability>L2_HalfPunc_CN</ability>
      <abilityName>全半角问题</abilityName>
      <candidateList>
        <item>）</item>
      </candidateList>
      <explain>文本全半角错误。</explain>
      <paraID>2E56B1F1</paraID>
      <start>8</start>
      <end>9</end>
      <status>unmodified</status>
      <modifiedWord/>
      <trackRevisions>false</trackRevisions>
    </reviewItem>
    <reviewItem>
      <errorID>9f9bd5a7-95c1-4ea0-99e9-3d8daa370eef</errorID>
      <errorWord>(</errorWord>
      <group>L1_Format</group>
      <groupName>格式问题</groupName>
      <ability>L2_HalfPunc_CN</ability>
      <abilityName>全半角问题</abilityName>
      <candidateList>
        <item>（</item>
      </candidateList>
      <explain>文本全半角错误。</explain>
      <paraID>2E56B1F1</paraID>
      <start>36</start>
      <end>37</end>
      <status>unmodified</status>
      <modifiedWord/>
      <trackRevisions>false</trackRevisions>
    </reviewItem>
    <reviewItem>
      <errorID>e5cb47d1-6d42-469d-9df0-4b9ba1f502c5</errorID>
      <errorWord>)</errorWord>
      <group>L1_Format</group>
      <groupName>格式问题</groupName>
      <ability>L2_HalfPunc_CN</ability>
      <abilityName>全半角问题</abilityName>
      <candidateList>
        <item>）</item>
      </candidateList>
      <explain>文本全半角错误。</explain>
      <paraID>2E56B1F1</paraID>
      <start>38</start>
      <end>39</end>
      <status>unmodified</status>
      <modifiedWord/>
      <trackRevisions>false</trackRevisions>
    </reviewItem>
    <reviewItem>
      <errorID>0ffafd4e-f18f-4733-aa19-d6e2a961e8d9</errorID>
      <errorWord>(</errorWord>
      <group>L1_Format</group>
      <groupName>格式问题</groupName>
      <ability>L2_HalfPunc_CN</ability>
      <abilityName>全半角问题</abilityName>
      <candidateList>
        <item>（</item>
      </candidateList>
      <explain>文本全半角错误。</explain>
      <paraID>2E56B1F1</paraID>
      <start>48</start>
      <end>49</end>
      <status>unmodified</status>
      <modifiedWord/>
      <trackRevisions>false</trackRevisions>
    </reviewItem>
    <reviewItem>
      <errorID>6dcf7b5c-6d30-4344-991e-9475dc839db3</errorID>
      <errorWord>)</errorWord>
      <group>L1_Format</group>
      <groupName>格式问题</groupName>
      <ability>L2_HalfPunc_CN</ability>
      <abilityName>全半角问题</abilityName>
      <candidateList>
        <item>）</item>
      </candidateList>
      <explain>文本全半角错误。</explain>
      <paraID>2E56B1F1</paraID>
      <start>50</start>
      <end>51</end>
      <status>unmodified</status>
      <modifiedWord/>
      <trackRevisions>false</trackRevisions>
    </reviewItem>
    <reviewItem>
      <errorID>1a4d80a0-5e02-49a2-bbb3-dba11c23bb2a</errorID>
      <errorWord>(</errorWord>
      <group>L1_Format</group>
      <groupName>格式问题</groupName>
      <ability>L2_HalfPunc_CN</ability>
      <abilityName>全半角问题</abilityName>
      <candidateList>
        <item>（</item>
      </candidateList>
      <explain>文本全半角错误。</explain>
      <paraID>2E56B1F1</paraID>
      <start>95</start>
      <end>96</end>
      <status>unmodified</status>
      <modifiedWord/>
      <trackRevisions>false</trackRevisions>
    </reviewItem>
    <reviewItem>
      <errorID>368fc4a5-c351-40b1-8f28-ca3926bc455d</errorID>
      <errorWord>)</errorWord>
      <group>L1_Format</group>
      <groupName>格式问题</groupName>
      <ability>L2_HalfPunc_CN</ability>
      <abilityName>全半角问题</abilityName>
      <candidateList>
        <item>）</item>
      </candidateList>
      <explain>文本全半角错误。</explain>
      <paraID>2E56B1F1</paraID>
      <start>97</start>
      <end>98</end>
      <status>unmodified</status>
      <modifiedWord/>
      <trackRevisions>false</trackRevisions>
    </reviewItem>
    <reviewItem>
      <errorID>b8da28ad-9aa4-470f-b0d3-c1d677850a25</errorID>
      <errorWord>)</errorWord>
      <group>L1_Format</group>
      <groupName>格式问题</groupName>
      <ability>L2_HalfPunc_CN</ability>
      <abilityName>全半角问题</abilityName>
      <candidateList>
        <item>）</item>
      </candidateList>
      <explain>文本全半角错误。</explain>
      <paraID>1F0C8145</paraID>
      <start>18</start>
      <end>19</end>
      <status>unmodified</status>
      <modifiedWord/>
      <trackRevisions>false</trackRevisions>
    </reviewItem>
    <reviewItem>
      <errorID>613742c3-23c3-4d33-8bf6-74d98bd13f6c</errorID>
      <errorWord>)</errorWord>
      <group>L1_Format</group>
      <groupName>格式问题</groupName>
      <ability>L2_HalfPunc_CN</ability>
      <abilityName>全半角问题</abilityName>
      <candidateList>
        <item>）</item>
      </candidateList>
      <explain>文本全半角错误。</explain>
      <paraID>1F0C8145</paraID>
      <start>24</start>
      <end>25</end>
      <status>unmodified</status>
      <modifiedWord/>
      <trackRevisions>false</trackRevisions>
    </reviewItem>
    <reviewItem>
      <errorID>5de62298-1378-46a3-b8a7-31b93d2858ab</errorID>
      <errorWord>)</errorWord>
      <group>L1_Format</group>
      <groupName>格式问题</groupName>
      <ability>L2_HalfPunc_CN</ability>
      <abilityName>全半角问题</abilityName>
      <candidateList>
        <item>）</item>
      </candidateList>
      <explain>文本全半角错误。</explain>
      <paraID>3C4C097D</paraID>
      <start>48</start>
      <end>49</end>
      <status>unmodified</status>
      <modifiedWord/>
      <trackRevisions>false</trackRevisions>
    </reviewItem>
    <reviewItem>
      <errorID>bf321c60-4874-489d-a542-17328d4ad55f</errorID>
      <errorWord>产生的</errorWord>
      <group>L1_Word</group>
      <groupName>字词问题</groupName>
      <ability>L2_Typo</ability>
      <abilityName>字词错误</abilityName>
      <candidateList>
        <item>产生</item>
      </candidateList>
      <explain/>
      <paraID>37C149C0</paraID>
      <start>69</start>
      <end>72</end>
      <status>unmodified</status>
      <modifiedWord/>
      <trackRevisions>false</trackRevisions>
    </reviewItem>
    <reviewItem>
      <errorID>31332dba-ddda-4160-a5a5-e9ecde083041</errorID>
      <errorWord>产生的</errorWord>
      <group>L1_Word</group>
      <groupName>字词问题</groupName>
      <ability>L2_Typo</ability>
      <abilityName>字词错误</abilityName>
      <candidateList>
        <item>产生</item>
      </candidateList>
      <explain/>
      <paraID>785AD72E</paraID>
      <start>69</start>
      <end>72</end>
      <status>unmodified</status>
      <modifiedWord/>
      <trackRevisions>false</trackRevisions>
    </reviewItem>
    <reviewItem>
      <errorID>302a136a-6dcc-4039-af0c-203d0ac2282f</errorID>
      <errorWord>，</errorWord>
      <group>L1_Word</group>
      <groupName>字词问题</groupName>
      <ability>L2_Typo</ability>
      <abilityName>字词错误</abilityName>
      <candidateList>
        <item>，对</item>
      </candidateList>
      <explain/>
      <paraID>2727923C</paraID>
      <start>33</start>
      <end>34</end>
      <status>unmodified</status>
      <modifiedWord/>
      <trackRevisions>false</trackRevisions>
    </reviewItem>
    <reviewItem>
      <errorID>4ed1abf1-6da1-4cd0-9d38-1509e6c3302e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33467DBF</paraID>
      <start>0</start>
      <end>2</end>
      <status>unmodified</status>
      <modifiedWord/>
      <trackRevisions>false</trackRevisions>
    </reviewItem>
    <reviewItem>
      <errorID>4cb0ef5e-4d90-4c48-a946-b1c9066d3ff4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2E08ED1F</paraID>
      <start>0</start>
      <end>2</end>
      <status>unmodified</status>
      <modifiedWord/>
      <trackRevisions>false</trackRevisions>
    </reviewItem>
    <reviewItem>
      <errorID>db09ce47-8de4-430b-8b90-33531ef8bdfb</errorID>
      <errorWord>,</errorWord>
      <group>L1_Format</group>
      <groupName>格式问题</groupName>
      <ability>L2_HalfPunc_CN</ability>
      <abilityName>全半角问题</abilityName>
      <candidateList>
        <item>，</item>
      </candidateList>
      <explain>文本全半角错误。</explain>
      <paraID>3A51451D</paraID>
      <start>49</start>
      <end>50</end>
      <status>unmodified</status>
      <modifiedWord/>
      <trackRevisions>false</trackRevisions>
    </reviewItem>
    <reviewItem>
      <errorID>76d91677-7195-42b0-a927-1e59282c40cb</errorID>
      <errorWord>，</errorWord>
      <group>L1_Word</group>
      <groupName>字词问题</groupName>
      <ability>L2_Typo</ability>
      <abilityName>字词错误</abilityName>
      <candidateList>
        <item>，对</item>
      </candidateList>
      <explain/>
      <paraID>48772345</paraID>
      <start>42</start>
      <end>43</end>
      <status>unmodified</status>
      <modifiedWord/>
      <trackRevisions>false</trackRevisions>
    </reviewItem>
    <reviewItem>
      <errorID>730d70ab-16ca-466a-bdd4-797b264a23d8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1DDCCED8</paraID>
      <start>29</start>
      <end>30</end>
      <status>unmodified</status>
      <modifiedWord/>
      <trackRevisions>false</trackRevisions>
    </reviewItem>
    <reviewItem>
      <errorID>f5c312d2-37f9-4ad3-aadc-4c6d892d6564</errorID>
      <errorWord>受纳</errorWord>
      <group>L1_Word</group>
      <groupName>字词问题</groupName>
      <ability>L2_Typo</ability>
      <abilityName>字词错误</abilityName>
      <candidateList>
        <item>收纳</item>
      </candidateList>
      <explain/>
      <paraID> 83D2B7F</paraID>
      <start>48</start>
      <end>50</end>
      <status>unmodified</status>
      <modifiedWord/>
      <trackRevisions>false</trackRevisions>
    </reviewItem>
    <reviewItem>
      <errorID>6aca8d54-968a-4a31-886a-373fbae363ab</errorID>
      <errorWord>受纳</errorWord>
      <group>L1_Word</group>
      <groupName>字词问题</groupName>
      <ability>L2_Typo</ability>
      <abilityName>字词错误</abilityName>
      <candidateList>
        <item>收纳</item>
      </candidateList>
      <explain/>
      <paraID> 5A59E97</paraID>
      <start>15</start>
      <end>17</end>
      <status>unmodified</status>
      <modifiedWord/>
      <trackRevisions>false</trackRevisions>
    </reviewItem>
    <reviewItem>
      <errorID>8f2d2e06-8a69-4c92-81ff-22c46356506a</errorID>
      <errorWord>建</errorWord>
      <group>L1_Word</group>
      <groupName>字词问题</groupName>
      <ability>L2_Typo</ability>
      <abilityName>字词错误</abilityName>
      <candidateList>
        <item>建的</item>
      </candidateList>
      <explain/>
      <paraID>3B55835B</paraID>
      <start>55</start>
      <end>56</end>
      <status>unmodified</status>
      <modifiedWord/>
      <trackRevisions>false</trackRevisions>
    </reviewItem>
    <reviewItem>
      <errorID>7613448e-1cbc-4deb-ab29-1a78952a54e6</errorID>
      <errorWord>，</errorWord>
      <group>L1_Word</group>
      <groupName>字词问题</groupName>
      <ability>L2_Typo</ability>
      <abilityName>字词错误</abilityName>
      <candidateList>
        <item>，连</item>
      </candidateList>
      <explain/>
      <paraID>4CC8F2BE</paraID>
      <start>15</start>
      <end>16</end>
      <status>unmodified</status>
      <modifiedWord/>
      <trackRevisions>false</trackRevisions>
    </reviewItem>
    <reviewItem>
      <errorID>7ec4fc8e-596a-4261-bd81-2cbbc1b4cbeb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1518A956</paraID>
      <start>25</start>
      <end>26</end>
      <status>unmodified</status>
      <modifiedWord/>
      <trackRevisions>false</trackRevisions>
    </reviewItem>
    <reviewItem>
      <errorID>e9500134-2229-4c6a-8a48-34db2e12dae0</errorID>
      <errorWord>经管</errorWord>
      <group>L1_Word</group>
      <groupName>字词问题</groupName>
      <ability>L2_Typo</ability>
      <abilityName>字词错误</abilityName>
      <candidateList>
        <item>管</item>
      </candidateList>
      <explain/>
      <paraID> 2FFFB84</paraID>
      <start>75</start>
      <end>77</end>
      <status>unmodified</status>
      <modifiedWord/>
      <trackRevisions>false</trackRevisions>
    </reviewItem>
    <reviewItem>
      <errorID>859afc65-8976-4098-808c-318e847f1f19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5C34BB85</paraID>
      <start>65</start>
      <end>66</end>
      <status>unmodified</status>
      <modifiedWord/>
      <trackRevisions>false</trackRevisions>
    </reviewItem>
    <reviewItem>
      <errorID>0a608a38-3747-4951-bba0-4258012fc870</errorID>
      <errorWord>（</errorWord>
      <group>L1_Format</group>
      <groupName>格式问题</groupName>
      <ability>L2_HalfPunc_CN</ability>
      <abilityName>全半角问题</abilityName>
      <candidateList>
        <item>(</item>
      </candidateList>
      <explain>文本全半角错误。</explain>
      <paraID> 7891C5B</paraID>
      <start>0</start>
      <end>1</end>
      <status>unmodified</status>
      <modifiedWord/>
      <trackRevisions>false</trackRevisions>
    </reviewItem>
    <reviewItem>
      <errorID>76471791-83e0-41a0-93f3-2437f0d39ae9</errorID>
      <errorWord>（</errorWord>
      <group>L1_Format</group>
      <groupName>格式问题</groupName>
      <ability>L2_HalfPunc_CN</ability>
      <abilityName>全半角问题</abilityName>
      <candidateList>
        <item>(</item>
      </candidateList>
      <explain>文本全半角错误。</explain>
      <paraID> 933FF84</paraID>
      <start>0</start>
      <end>1</end>
      <status>unmodified</status>
      <modifiedWord/>
      <trackRevisions>false</trackRevisions>
    </reviewItem>
    <reviewItem>
      <errorID>2ef10ba8-85e7-4a00-b2dc-ee4baad8503a</errorID>
      <errorWord>至2025年12</errorWord>
      <group>L1_Word</group>
      <groupName>字词问题</groupName>
      <ability>L2_Typo</ability>
      <abilityName>字词错误</abilityName>
      <candidateList>
        <item>截至2025年12</item>
      </candidateList>
      <explain/>
      <paraID>458A7184</paraID>
      <start>11</start>
      <end>19</end>
      <status>unmodified</status>
      <modifiedWord/>
      <trackRevisions>false</trackRevisions>
    </reviewItem>
    <reviewItem>
      <errorID>112b50bf-e9f3-4153-bf83-49e9faea5074</errorID>
      <errorWord>污水厂</errorWord>
      <group>L1_Word</group>
      <groupName>字词问题</groupName>
      <ability>L2_Typo</ability>
      <abilityName>字词错误</abilityName>
      <candidateList>
        <item>污水处理厂</item>
      </candidateList>
      <explain/>
      <paraID>6BBF4EF7</paraID>
      <start>212</start>
      <end>215</end>
      <status>unmodified</status>
      <modifiedWord/>
      <trackRevisions>false</trackRevisions>
    </reviewItem>
    <reviewItem>
      <errorID>437f203e-057e-4bca-9857-ba128169631c</errorID>
      <errorWord>(</errorWord>
      <group>L1_Format</group>
      <groupName>格式问题</groupName>
      <ability>L2_HalfPunc_CN</ability>
      <abilityName>全半角问题</abilityName>
      <candidateList>
        <item>（</item>
      </candidateList>
      <explain>文本全半角错误。</explain>
      <paraID>3DC33FA3</paraID>
      <start>10</start>
      <end>11</end>
      <status>unmodified</status>
      <modifiedWord/>
      <trackRevisions>false</trackRevisions>
    </reviewItem>
    <reviewItem>
      <errorID>fb4d0c9b-fe8a-4b35-acd3-3651b3667b1f</errorID>
      <errorWord>（</errorWord>
      <group>L1_Format</group>
      <groupName>格式问题</groupName>
      <ability>L2_HalfPunc_CN</ability>
      <abilityName>全半角问题</abilityName>
      <candidateList>
        <item>(</item>
      </candidateList>
      <explain>文本全半角错误。</explain>
      <paraID>60CF5E96</paraID>
      <start>2</start>
      <end>3</end>
      <status>unmodified</status>
      <modifiedWord/>
      <trackRevisions>false</trackRevisions>
    </reviewItem>
    <reviewItem>
      <errorID>7e596c89-a210-4288-a387-72d8269156d9</errorID>
      <errorWord>（</errorWord>
      <group>L1_Format</group>
      <groupName>格式问题</groupName>
      <ability>L2_HalfPunc_CN</ability>
      <abilityName>全半角问题</abilityName>
      <candidateList>
        <item>(</item>
      </candidateList>
      <explain>文本全半角错误。</explain>
      <paraID>1E1AEB7A</paraID>
      <start>2</start>
      <end>3</end>
      <status>unmodified</status>
      <modifiedWord/>
      <trackRevisions>false</trackRevisions>
    </reviewItem>
    <reviewItem>
      <errorID>81361e56-02db-4220-b5f9-d71f898f9215</errorID>
      <errorWord>（</errorWord>
      <group>L1_Format</group>
      <groupName>格式问题</groupName>
      <ability>L2_HalfPunc_CN</ability>
      <abilityName>全半角问题</abilityName>
      <candidateList>
        <item>(</item>
      </candidateList>
      <explain>文本全半角错误。</explain>
      <paraID>3965C505</paraID>
      <start>2</start>
      <end>3</end>
      <status>unmodified</status>
      <modifiedWord/>
      <trackRevisions>false</trackRevisions>
    </reviewItem>
    <reviewItem>
      <errorID>326756f8-d780-46c2-a29b-57817d9be8ef</errorID>
      <errorWord>（</errorWord>
      <group>L1_Format</group>
      <groupName>格式问题</groupName>
      <ability>L2_HalfPunc_CN</ability>
      <abilityName>全半角问题</abilityName>
      <candidateList>
        <item>(</item>
      </candidateList>
      <explain>文本全半角错误。</explain>
      <paraID> 8AC18E4</paraID>
      <start>2</start>
      <end>3</end>
      <status>unmodified</status>
      <modifiedWord/>
      <trackRevisions>false</trackRevisions>
    </reviewItem>
    <reviewItem>
      <errorID>4e5677d6-963b-45cf-8cc2-8d9894aa27c5</errorID>
      <errorWord>程</errorWord>
      <group>L1_Word</group>
      <groupName>字词问题</groupName>
      <ability>L2_Typo</ability>
      <abilityName>字词错误</abilityName>
      <candidateList>
        <item>程中</item>
      </candidateList>
      <explain/>
      <paraID>34581579</paraID>
      <start>3</start>
      <end>4</end>
      <status>unmodified</status>
      <modifiedWord/>
      <trackRevisions>false</trackRevisions>
    </reviewItem>
    <reviewItem>
      <errorID>a1bcef13-c4dd-4eb4-9edb-dd91c8bd3faf</errorID>
      <errorWord>计</errorWord>
      <group>L1_Word</group>
      <groupName>字词问题</groupName>
      <ability>L2_Typo</ability>
      <abilityName>字词错误</abilityName>
      <candidateList>
        <item>计算</item>
      </candidateList>
      <explain/>
      <paraID> EDC457A</paraID>
      <start>26</start>
      <end>27</end>
      <status>unmodified</status>
      <modifiedWord/>
      <trackRevisions>false</trackRevisions>
    </reviewItem>
    <reviewItem>
      <errorID>8564cd01-af2e-408b-8791-5b35f1e43a06</errorID>
      <errorWord>程</errorWord>
      <group>L1_Word</group>
      <groupName>字词问题</groupName>
      <ability>L2_Typo</ability>
      <abilityName>字词错误</abilityName>
      <candidateList>
        <item>程中</item>
      </candidateList>
      <explain/>
      <paraID>6D12B9F2</paraID>
      <start>117</start>
      <end>118</end>
      <status>unmodified</status>
      <modifiedWord/>
      <trackRevisions>false</trackRevisions>
    </reviewItem>
    <reviewItem>
      <errorID>c7e25fb9-2b88-4a2b-9251-083c0bd2d08b</errorID>
      <errorWord>(</errorWord>
      <group>L1_Format</group>
      <groupName>格式问题</groupName>
      <ability>L2_HalfPunc_CN</ability>
      <abilityName>全半角问题</abilityName>
      <candidateList>
        <item>（</item>
      </candidateList>
      <explain>文本全半角错误。</explain>
      <paraID>246F43F8</paraID>
      <start>4</start>
      <end>5</end>
      <status>unmodified</status>
      <modifiedWord/>
      <trackRevisions>false</trackRevisions>
    </reviewItem>
    <reviewItem>
      <errorID>359ff9a2-cc69-47e6-a6f3-c328987255a7</errorID>
      <errorWord>(</errorWord>
      <group>L1_Format</group>
      <groupName>格式问题</groupName>
      <ability>L2_HalfPunc_CN</ability>
      <abilityName>全半角问题</abilityName>
      <candidateList>
        <item>（</item>
      </candidateList>
      <explain>文本全半角错误。</explain>
      <paraID>6EB39DB5</paraID>
      <start>3</start>
      <end>4</end>
      <status>unmodified</status>
      <modifiedWord/>
      <trackRevisions>false</trackRevisions>
    </reviewItem>
    <reviewItem>
      <errorID>c220bed5-3d20-41cb-8215-ac6806605d79</errorID>
      <errorWord>(</errorWord>
      <group>L1_Format</group>
      <groupName>格式问题</groupName>
      <ability>L2_HalfPunc_CN</ability>
      <abilityName>全半角问题</abilityName>
      <candidateList>
        <item>（</item>
      </candidateList>
      <explain>文本全半角错误。</explain>
      <paraID> 38BB848</paraID>
      <start>4</start>
      <end>5</end>
      <status>unmodified</status>
      <modifiedWord/>
      <trackRevisions>false</trackRevisions>
    </reviewItem>
    <reviewItem>
      <errorID>542fecc2-d89f-4668-b7d1-dd9aa98d2efe</errorID>
      <errorWord>(</errorWord>
      <group>L1_Format</group>
      <groupName>格式问题</groupName>
      <ability>L2_HalfPunc_CN</ability>
      <abilityName>全半角问题</abilityName>
      <candidateList>
        <item>（</item>
      </candidateList>
      <explain>文本全半角错误。</explain>
      <paraID> CB11878</paraID>
      <start>3</start>
      <end>4</end>
      <status>unmodified</status>
      <modifiedWord/>
      <trackRevisions>false</trackRevisions>
    </reviewItem>
    <reviewItem>
      <errorID>1d2a1a7e-9726-426c-8303-0afc78d3ac4d</errorID>
      <errorWord>抛洒</errorWord>
      <group>L1_Word</group>
      <groupName>字词问题</groupName>
      <ability>L2_Typo</ability>
      <abilityName>字词错误</abilityName>
      <candidateList>
        <item>抛撒</item>
      </candidateList>
      <explain>存在发音相同字词的误用。</explain>
      <paraID> 77B1EFC</paraID>
      <start>45</start>
      <end>47</end>
      <status>unmodified</status>
      <modifiedWord/>
      <trackRevisions>false</trackRevisions>
    </reviewItem>
    <reviewItem>
      <errorID>6185c776-352f-45c9-b284-7b968fbc08ab</errorID>
      <errorWord>程</errorWord>
      <group>L1_Word</group>
      <groupName>字词问题</groupName>
      <ability>L2_Typo</ability>
      <abilityName>字词错误</abilityName>
      <candidateList>
        <item>程中</item>
      </candidateList>
      <explain/>
      <paraID>159CA375</paraID>
      <start>10</start>
      <end>11</end>
      <status>unmodified</status>
      <modifiedWord/>
      <trackRevisions>false</trackRevisions>
    </reviewItem>
    <reviewItem>
      <errorID>afc67a27-e923-4603-9068-c5c5a433fba9</errorID>
      <errorWord>场区</errorWord>
      <group>L1_Word</group>
      <groupName>字词问题</groupName>
      <ability>L2_Typo</ability>
      <abilityName>字词错误</abilityName>
      <candidateList>
        <item>厂区</item>
      </candidateList>
      <explain>存在发音相同字词的误用。</explain>
      <paraID> 47CA054</paraID>
      <start>10</start>
      <end>12</end>
      <status>unmodified</status>
      <modifiedWord/>
      <trackRevisions>false</trackRevisions>
    </reviewItem>
    <reviewItem>
      <errorID>83a212b9-97d3-4e34-9fcd-8cd2302e31e6</errorID>
      <errorWord>污水厂</errorWord>
      <group>L1_Word</group>
      <groupName>字词问题</groupName>
      <ability>L2_Typo</ability>
      <abilityName>字词错误</abilityName>
      <candidateList>
        <item>污水处理厂</item>
      </candidateList>
      <explain/>
      <paraID>37E14886</paraID>
      <start>0</start>
      <end>3</end>
      <status>unmodified</status>
      <modifiedWord/>
      <trackRevisions>false</trackRevisions>
    </reviewItem>
    <reviewItem>
      <errorID>a72a1ff7-7cf5-4aa7-806c-eaa64e522ce9</errorID>
      <errorWord>佩带</errorWord>
      <group>L1_Word</group>
      <groupName>字词问题</groupName>
      <ability>L2_Typo</ability>
      <abilityName>字词错误</abilityName>
      <candidateList>
        <item>佩戴</item>
      </candidateList>
      <explain>〈动〉（把徽章、符号等）挂在胸前、臂上、肩上等部位：～校徽｜～肩章。也作佩带。</explain>
      <paraID>204A368C</paraID>
      <start>88</start>
      <end>90</end>
      <status>unmodified</status>
      <modifiedWord/>
      <trackRevisions>false</trackRevisions>
    </reviewItem>
    <reviewItem>
      <errorID>bb5a7e8d-e4b7-440e-84d1-e62534232956</errorID>
      <errorWord>职工人员</errorWord>
      <group>L1_Word</group>
      <groupName>字词问题</groupName>
      <ability>L2_Typo</ability>
      <abilityName>字词错误</abilityName>
      <candidateList>
        <item>施工人员</item>
      </candidateList>
      <explain/>
      <paraID>306D0AF7</paraID>
      <start>13</start>
      <end>17</end>
      <status>unmodified</status>
      <modifiedWord/>
      <trackRevisions>false</trackRevisions>
    </reviewItem>
    <reviewItem>
      <errorID>19ead834-f8d0-4bc8-bfcf-6bd653da702f</errorID>
      <errorWord>、</errorWord>
      <group>L1_Punc</group>
      <groupName>标点问题</groupName>
      <ability>L2_Punc_CN</ability>
      <abilityName>标点符号问题</abilityName>
      <candidateList>
        <item>.</item>
      </candidateList>
      <explain/>
      <paraID>210C5E7E</paraID>
      <start>1</start>
      <end>2</end>
      <status>unmodified</status>
      <modifiedWord/>
      <trackRevisions>false</trackRevisions>
    </reviewItem>
    <reviewItem>
      <errorID>0c97549d-1d28-47e4-8b04-4da0b889a743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6CBAA6CB</paraID>
      <start>121</start>
      <end>122</end>
      <status>unmodified</status>
      <modifiedWord/>
      <trackRevisions>false</trackRevisions>
    </reviewItem>
    <reviewItem>
      <errorID>a53bf669-f068-4d1e-8e0c-b6abf0ac4dfd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6CBAA6CB</paraID>
      <start>160</start>
      <end>161</end>
      <status>unmodified</status>
      <modifiedWord/>
      <trackRevisions>false</trackRevisions>
    </reviewItem>
    <reviewItem>
      <errorID>549afa01-c6dc-4277-af11-674fc5c0f6ab</errorID>
      <errorWord>(</errorWord>
      <group>L1_Format</group>
      <groupName>格式问题</groupName>
      <ability>L2_HalfPunc_CN</ability>
      <abilityName>全半角问题</abilityName>
      <candidateList>
        <item>（</item>
      </candidateList>
      <explain>文本全半角错误。</explain>
      <paraID>6C662425</paraID>
      <start>3</start>
      <end>4</end>
      <status>unmodified</status>
      <modifiedWord/>
      <trackRevisions>false</trackRevisions>
    </reviewItem>
    <reviewItem>
      <errorID>91da7b13-e807-4cda-b72f-b3671598b38f</errorID>
      <errorWord>散网</errorWord>
      <group>L1_Word</group>
      <groupName>字词问题</groupName>
      <ability>L2_Typo</ability>
      <abilityName>字词错误</abilityName>
      <candidateList>
        <item>尘网</item>
      </candidateList>
      <explain/>
      <paraID>28EC812F</paraID>
      <start>17</start>
      <end>19</end>
      <status>unmodified</status>
      <modifiedWord/>
      <trackRevisions>false</trackRevisions>
    </reviewItem>
    <reviewItem>
      <errorID>a46381d3-9a13-4788-a2e5-2ee8bba0ed0b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2FE8E184</paraID>
      <start>0</start>
      <end>2</end>
      <status>unmodified</status>
      <modifiedWord/>
      <trackRevisions>false</trackRevisions>
    </reviewItem>
    <reviewItem>
      <errorID>fdc530bc-0dd0-497b-9be0-385a8e291dea</errorID>
      <errorWord>最少</errorWord>
      <group>L1_Word</group>
      <groupName>字词问题</groupName>
      <ability>L2_Typo</ability>
      <abilityName>字词错误</abilityName>
      <candidateList>
        <item>最小</item>
      </candidateList>
      <explain>存在字形相近字词的误用。</explain>
      <paraID>2FE8E184</paraID>
      <start>55</start>
      <end>57</end>
      <status>unmodified</status>
      <modifiedWord/>
      <trackRevisions>false</trackRevisions>
    </reviewItem>
    <reviewItem>
      <errorID>41e2bbce-73ff-47b3-b6ab-5a006649cdb7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538DDECC</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e776c01-f4d4-4b8a-9a37-b7b3d3d03e33}">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60</Pages>
  <Words>164</Words>
  <Characters>187</Characters>
  <Lines>13</Lines>
  <Paragraphs>3</Paragraphs>
  <TotalTime>64</TotalTime>
  <ScaleCrop>false</ScaleCrop>
  <LinksUpToDate>false</LinksUpToDate>
  <CharactersWithSpaces>213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2020-12-24T01:29:00Z</dcterms:created>
  <dc:creator>lhj</dc:creator>
  <cp:lastModifiedBy>HUAWEI</cp:lastModifiedBy>
  <cp:lastPrinted>2026-09-15T12:10:00Z</cp:lastPrinted>
  <dcterms:modified xsi:type="dcterms:W3CDTF">2026-09-22T04:38:52Z</dcterms:modified>
  <dc:title>附件2</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BBB9E321707E430E8083A326F4BCDBA3_13</vt:lpwstr>
  </property>
  <property fmtid="{D5CDD505-2E9C-101B-9397-08002B2CF9AE}" pid="4" name="KSOTemplateDocerSaveRecord">
    <vt:lpwstr>eyJoZGlkIjoiNzI1MzljODBiNDliMzEyMzFlZWNlN2EzYjU0N2YzMWEiLCJ1c2VySWQiOiIzNjY3MjIwNzcifQ==</vt:lpwstr>
  </property>
</Properties>
</file>