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CD3F4">
      <w:pPr>
        <w:rPr>
          <w:rFonts w:hint="default" w:ascii="Times New Roman" w:hAnsi="Times New Roman" w:eastAsia="宋体" w:cs="Times New Roman"/>
          <w:color w:val="000000" w:themeColor="text1"/>
          <w:sz w:val="36"/>
          <w:szCs w:val="36"/>
          <w14:textFill>
            <w14:solidFill>
              <w14:schemeClr w14:val="tx1"/>
            </w14:solidFill>
          </w14:textFill>
        </w:rPr>
      </w:pPr>
    </w:p>
    <w:p w14:paraId="58B49288">
      <w:pPr>
        <w:rPr>
          <w:rFonts w:hint="default" w:ascii="Times New Roman" w:hAnsi="Times New Roman" w:eastAsia="宋体" w:cs="Times New Roman"/>
          <w:color w:val="000000" w:themeColor="text1"/>
          <w:sz w:val="36"/>
          <w:szCs w:val="36"/>
          <w14:textFill>
            <w14:solidFill>
              <w14:schemeClr w14:val="tx1"/>
            </w14:solidFill>
          </w14:textFill>
        </w:rPr>
      </w:pPr>
    </w:p>
    <w:p w14:paraId="77B91D6E">
      <w:pPr>
        <w:rPr>
          <w:rFonts w:hint="default" w:ascii="Times New Roman" w:hAnsi="Times New Roman" w:eastAsia="宋体" w:cs="Times New Roman"/>
          <w:color w:val="000000" w:themeColor="text1"/>
          <w:sz w:val="36"/>
          <w:szCs w:val="36"/>
          <w14:textFill>
            <w14:solidFill>
              <w14:schemeClr w14:val="tx1"/>
            </w14:solidFill>
          </w14:textFill>
        </w:rPr>
      </w:pPr>
    </w:p>
    <w:p w14:paraId="2D1D4464">
      <w:pPr>
        <w:adjustRightInd w:val="0"/>
        <w:snapToGrid w:val="0"/>
        <w:jc w:val="center"/>
        <w:outlineLvl w:val="0"/>
        <w:rPr>
          <w:rFonts w:hint="default" w:ascii="Times New Roman" w:hAnsi="Times New Roman" w:eastAsia="宋体" w:cs="Times New Roman"/>
          <w:bCs/>
          <w:color w:val="000000" w:themeColor="text1"/>
          <w:sz w:val="60"/>
          <w:szCs w:val="60"/>
          <w14:textFill>
            <w14:solidFill>
              <w14:schemeClr w14:val="tx1"/>
            </w14:solidFill>
          </w14:textFill>
        </w:rPr>
      </w:pPr>
      <w:bookmarkStart w:id="0" w:name="_Toc26879"/>
      <w:r>
        <w:rPr>
          <w:rFonts w:hint="default" w:ascii="Times New Roman" w:hAnsi="Times New Roman" w:eastAsia="宋体" w:cs="Times New Roman"/>
          <w:bCs/>
          <w:color w:val="000000" w:themeColor="text1"/>
          <w:sz w:val="60"/>
          <w:szCs w:val="60"/>
          <w14:textFill>
            <w14:solidFill>
              <w14:schemeClr w14:val="tx1"/>
            </w14:solidFill>
          </w14:textFill>
        </w:rPr>
        <w:t>建设项目</w:t>
      </w:r>
      <w:r>
        <w:rPr>
          <w:rFonts w:hint="eastAsia" w:cs="Times New Roman"/>
          <w:bCs/>
          <w:color w:val="000000" w:themeColor="text1"/>
          <w:sz w:val="60"/>
          <w:szCs w:val="60"/>
          <w:lang w:val="en-US" w:eastAsia="zh-CN"/>
          <w14:textFill>
            <w14:solidFill>
              <w14:schemeClr w14:val="tx1"/>
            </w14:solidFill>
          </w14:textFill>
        </w:rPr>
        <w:t>生态</w:t>
      </w:r>
      <w:r>
        <w:rPr>
          <w:rFonts w:hint="default" w:ascii="Times New Roman" w:hAnsi="Times New Roman" w:eastAsia="宋体" w:cs="Times New Roman"/>
          <w:bCs/>
          <w:color w:val="000000" w:themeColor="text1"/>
          <w:sz w:val="60"/>
          <w:szCs w:val="60"/>
          <w14:textFill>
            <w14:solidFill>
              <w14:schemeClr w14:val="tx1"/>
            </w14:solidFill>
          </w14:textFill>
        </w:rPr>
        <w:t>环境影响报告表</w:t>
      </w:r>
      <w:bookmarkEnd w:id="0"/>
    </w:p>
    <w:p w14:paraId="46A77DC8">
      <w:pPr>
        <w:adjustRightInd w:val="0"/>
        <w:snapToGrid w:val="0"/>
        <w:spacing w:before="192" w:beforeLines="80"/>
        <w:jc w:val="center"/>
        <w:rPr>
          <w:rFonts w:hint="default" w:ascii="Times New Roman" w:hAnsi="Times New Roman" w:eastAsia="宋体" w:cs="Times New Roman"/>
          <w:bCs/>
          <w:color w:val="000000" w:themeColor="text1"/>
          <w:sz w:val="48"/>
          <w:szCs w:val="48"/>
          <w14:textFill>
            <w14:solidFill>
              <w14:schemeClr w14:val="tx1"/>
            </w14:solidFill>
          </w14:textFill>
        </w:rPr>
      </w:pPr>
      <w:r>
        <w:rPr>
          <w:rFonts w:hint="default" w:ascii="Times New Roman" w:hAnsi="Times New Roman" w:eastAsia="宋体" w:cs="Times New Roman"/>
          <w:bCs/>
          <w:color w:val="000000" w:themeColor="text1"/>
          <w:sz w:val="48"/>
          <w:szCs w:val="48"/>
          <w14:textFill>
            <w14:solidFill>
              <w14:schemeClr w14:val="tx1"/>
            </w14:solidFill>
          </w14:textFill>
        </w:rPr>
        <w:t>（污染影响类）</w:t>
      </w:r>
    </w:p>
    <w:p w14:paraId="1B633B4D">
      <w:pPr>
        <w:adjustRightInd w:val="0"/>
        <w:snapToGrid w:val="0"/>
        <w:spacing w:before="192" w:beforeLines="80"/>
        <w:jc w:val="center"/>
        <w:rPr>
          <w:rFonts w:hint="default" w:ascii="Times New Roman" w:hAnsi="Times New Roman" w:eastAsia="宋体" w:cs="Times New Roman"/>
          <w:bCs/>
          <w:color w:val="000000" w:themeColor="text1"/>
          <w:sz w:val="48"/>
          <w:szCs w:val="48"/>
          <w14:textFill>
            <w14:solidFill>
              <w14:schemeClr w14:val="tx1"/>
            </w14:solidFill>
          </w14:textFill>
        </w:rPr>
      </w:pPr>
      <w:r>
        <w:rPr>
          <w:rFonts w:hint="default" w:ascii="Times New Roman" w:hAnsi="Times New Roman" w:eastAsia="宋体" w:cs="Times New Roman"/>
          <w:bCs/>
          <w:color w:val="000000" w:themeColor="text1"/>
          <w:sz w:val="48"/>
          <w:szCs w:val="48"/>
          <w14:textFill>
            <w14:solidFill>
              <w14:schemeClr w14:val="tx1"/>
            </w14:solidFill>
          </w14:textFill>
        </w:rPr>
        <w:t>（</w:t>
      </w:r>
      <w:r>
        <w:rPr>
          <w:rFonts w:hint="eastAsia" w:cs="Times New Roman"/>
          <w:bCs/>
          <w:color w:val="000000" w:themeColor="text1"/>
          <w:sz w:val="48"/>
          <w:szCs w:val="48"/>
          <w:lang w:val="en-US" w:eastAsia="zh-CN"/>
          <w14:textFill>
            <w14:solidFill>
              <w14:schemeClr w14:val="tx1"/>
            </w14:solidFill>
          </w14:textFill>
        </w:rPr>
        <w:t>公示稿</w:t>
      </w:r>
      <w:r>
        <w:rPr>
          <w:rFonts w:hint="default" w:ascii="Times New Roman" w:hAnsi="Times New Roman" w:eastAsia="宋体" w:cs="Times New Roman"/>
          <w:bCs/>
          <w:color w:val="000000" w:themeColor="text1"/>
          <w:sz w:val="48"/>
          <w:szCs w:val="48"/>
          <w14:textFill>
            <w14:solidFill>
              <w14:schemeClr w14:val="tx1"/>
            </w14:solidFill>
          </w14:textFill>
        </w:rPr>
        <w:t>）</w:t>
      </w:r>
    </w:p>
    <w:p w14:paraId="535B0253">
      <w:pPr>
        <w:adjustRightInd w:val="0"/>
        <w:snapToGrid w:val="0"/>
        <w:spacing w:line="288" w:lineRule="auto"/>
        <w:jc w:val="center"/>
        <w:outlineLvl w:val="0"/>
        <w:rPr>
          <w:rFonts w:hint="default" w:ascii="Times New Roman" w:hAnsi="Times New Roman" w:eastAsia="宋体" w:cs="Times New Roman"/>
          <w:color w:val="000000" w:themeColor="text1"/>
          <w:kern w:val="44"/>
          <w:sz w:val="44"/>
          <w:szCs w:val="44"/>
          <w14:textFill>
            <w14:solidFill>
              <w14:schemeClr w14:val="tx1"/>
            </w14:solidFill>
          </w14:textFill>
        </w:rPr>
      </w:pPr>
    </w:p>
    <w:p w14:paraId="4871A195">
      <w:pPr>
        <w:jc w:val="center"/>
        <w:rPr>
          <w:rFonts w:hint="default" w:ascii="Times New Roman" w:hAnsi="Times New Roman" w:eastAsia="宋体" w:cs="Times New Roman"/>
          <w:color w:val="000000" w:themeColor="text1"/>
          <w:sz w:val="48"/>
          <w:szCs w:val="48"/>
          <w14:textFill>
            <w14:solidFill>
              <w14:schemeClr w14:val="tx1"/>
            </w14:solidFill>
          </w14:textFill>
        </w:rPr>
      </w:pPr>
    </w:p>
    <w:p w14:paraId="7510D950">
      <w:pPr>
        <w:ind w:firstLine="1040"/>
        <w:rPr>
          <w:rFonts w:hint="default" w:ascii="Times New Roman" w:hAnsi="Times New Roman" w:eastAsia="宋体" w:cs="Times New Roman"/>
          <w:color w:val="000000" w:themeColor="text1"/>
          <w:sz w:val="44"/>
          <w:szCs w:val="44"/>
          <w14:textFill>
            <w14:solidFill>
              <w14:schemeClr w14:val="tx1"/>
            </w14:solidFill>
          </w14:textFill>
        </w:rPr>
      </w:pPr>
    </w:p>
    <w:p w14:paraId="53282862">
      <w:pPr>
        <w:ind w:firstLine="1040"/>
        <w:rPr>
          <w:rFonts w:hint="default" w:ascii="Times New Roman" w:hAnsi="Times New Roman" w:eastAsia="宋体" w:cs="Times New Roman"/>
          <w:color w:val="000000" w:themeColor="text1"/>
          <w:sz w:val="44"/>
          <w:szCs w:val="44"/>
          <w14:textFill>
            <w14:solidFill>
              <w14:schemeClr w14:val="tx1"/>
            </w14:solidFill>
          </w14:textFill>
        </w:rPr>
      </w:pPr>
    </w:p>
    <w:p w14:paraId="3821F62B">
      <w:pPr>
        <w:adjustRightInd w:val="0"/>
        <w:snapToGrid w:val="0"/>
        <w:spacing w:line="288" w:lineRule="auto"/>
        <w:ind w:left="2877" w:leftChars="513" w:hanging="1800" w:hangingChars="500"/>
        <w:rPr>
          <w:rFonts w:hint="default" w:ascii="Times New Roman" w:hAnsi="Times New Roman" w:eastAsia="宋体" w:cs="Times New Roman"/>
          <w:color w:val="000000" w:themeColor="text1"/>
          <w:sz w:val="36"/>
          <w:szCs w:val="36"/>
          <w:u w:val="single"/>
          <w14:textFill>
            <w14:solidFill>
              <w14:schemeClr w14:val="tx1"/>
            </w14:solidFill>
          </w14:textFill>
        </w:rPr>
      </w:pPr>
      <w:r>
        <w:rPr>
          <w:rFonts w:hint="default" w:ascii="Times New Roman" w:hAnsi="Times New Roman" w:eastAsia="宋体" w:cs="Times New Roman"/>
          <w:color w:val="000000" w:themeColor="text1"/>
          <w:sz w:val="36"/>
          <w:szCs w:val="36"/>
          <w14:textFill>
            <w14:solidFill>
              <w14:schemeClr w14:val="tx1"/>
            </w14:solidFill>
          </w14:textFill>
        </w:rPr>
        <w:t>项目名称：</w:t>
      </w:r>
      <w:r>
        <w:rPr>
          <w:rFonts w:hint="default" w:ascii="Times New Roman" w:hAnsi="Times New Roman" w:eastAsia="宋体" w:cs="Times New Roman"/>
          <w:color w:val="000000" w:themeColor="text1"/>
          <w:sz w:val="36"/>
          <w:szCs w:val="36"/>
          <w:u w:val="single"/>
          <w14:textFill>
            <w14:solidFill>
              <w14:schemeClr w14:val="tx1"/>
            </w14:solidFill>
          </w14:textFill>
        </w:rPr>
        <w:t xml:space="preserve">呼图壁融鼎农林科技有限责任公司秸秆及粪污综合利用项目               </w:t>
      </w:r>
    </w:p>
    <w:p w14:paraId="60F28593">
      <w:pPr>
        <w:adjustRightInd w:val="0"/>
        <w:snapToGrid w:val="0"/>
        <w:spacing w:line="288" w:lineRule="auto"/>
        <w:ind w:left="4317" w:leftChars="513" w:hanging="3240" w:hangingChars="900"/>
        <w:rPr>
          <w:rFonts w:hint="default" w:ascii="Times New Roman" w:hAnsi="Times New Roman" w:eastAsia="宋体" w:cs="Times New Roman"/>
          <w:color w:val="000000" w:themeColor="text1"/>
          <w:sz w:val="36"/>
          <w:szCs w:val="36"/>
          <w:u w:val="single"/>
          <w:lang w:val="en-US" w:eastAsia="zh-CN"/>
          <w14:textFill>
            <w14:solidFill>
              <w14:schemeClr w14:val="tx1"/>
            </w14:solidFill>
          </w14:textFill>
        </w:rPr>
      </w:pPr>
      <w:r>
        <w:rPr>
          <w:rFonts w:hint="default" w:ascii="Times New Roman" w:hAnsi="Times New Roman" w:eastAsia="宋体" w:cs="Times New Roman"/>
          <w:color w:val="000000" w:themeColor="text1"/>
          <w:sz w:val="36"/>
          <w:szCs w:val="36"/>
          <w14:textFill>
            <w14:solidFill>
              <w14:schemeClr w14:val="tx1"/>
            </w14:solidFill>
          </w14:textFill>
        </w:rPr>
        <w:t>建设单位（盖章）：</w:t>
      </w:r>
      <w:r>
        <w:rPr>
          <w:rFonts w:hint="default" w:ascii="Times New Roman" w:hAnsi="Times New Roman" w:eastAsia="宋体" w:cs="Times New Roman"/>
          <w:color w:val="000000" w:themeColor="text1"/>
          <w:sz w:val="36"/>
          <w:szCs w:val="36"/>
          <w:u w:val="single"/>
          <w14:textFill>
            <w14:solidFill>
              <w14:schemeClr w14:val="tx1"/>
            </w14:solidFill>
          </w14:textFill>
        </w:rPr>
        <w:t xml:space="preserve">呼图壁融鼎农林科技有限责任公司                   </w:t>
      </w:r>
      <w:r>
        <w:rPr>
          <w:rFonts w:hint="eastAsia" w:ascii="Times New Roman" w:hAnsi="Times New Roman" w:eastAsia="宋体" w:cs="Times New Roman"/>
          <w:color w:val="000000" w:themeColor="text1"/>
          <w:sz w:val="36"/>
          <w:szCs w:val="36"/>
          <w:u w:val="single"/>
          <w:lang w:val="en-US" w:eastAsia="zh-CN"/>
          <w14:textFill>
            <w14:solidFill>
              <w14:schemeClr w14:val="tx1"/>
            </w14:solidFill>
          </w14:textFill>
        </w:rPr>
        <w:t xml:space="preserve">  </w:t>
      </w:r>
    </w:p>
    <w:p w14:paraId="586F0C59">
      <w:pPr>
        <w:adjustRightInd w:val="0"/>
        <w:snapToGrid w:val="0"/>
        <w:spacing w:line="288" w:lineRule="auto"/>
        <w:ind w:firstLine="1040"/>
        <w:rPr>
          <w:rFonts w:hint="default" w:ascii="Times New Roman" w:hAnsi="Times New Roman" w:eastAsia="宋体" w:cs="Times New Roman"/>
          <w:color w:val="000000" w:themeColor="text1"/>
          <w:sz w:val="36"/>
          <w:szCs w:val="36"/>
          <w:u w:val="single"/>
          <w14:textFill>
            <w14:solidFill>
              <w14:schemeClr w14:val="tx1"/>
            </w14:solidFill>
          </w14:textFill>
        </w:rPr>
      </w:pPr>
      <w:r>
        <w:rPr>
          <w:rFonts w:hint="default" w:ascii="Times New Roman" w:hAnsi="Times New Roman" w:eastAsia="宋体" w:cs="Times New Roman"/>
          <w:color w:val="000000" w:themeColor="text1"/>
          <w:sz w:val="36"/>
          <w:szCs w:val="36"/>
          <w14:textFill>
            <w14:solidFill>
              <w14:schemeClr w14:val="tx1"/>
            </w14:solidFill>
          </w14:textFill>
        </w:rPr>
        <w:t>编制日期：</w:t>
      </w:r>
      <w:r>
        <w:rPr>
          <w:rFonts w:hint="default" w:ascii="Times New Roman" w:hAnsi="Times New Roman" w:eastAsia="宋体" w:cs="Times New Roman"/>
          <w:color w:val="000000" w:themeColor="text1"/>
          <w:sz w:val="36"/>
          <w:szCs w:val="36"/>
          <w:u w:val="single"/>
          <w14:textFill>
            <w14:solidFill>
              <w14:schemeClr w14:val="tx1"/>
            </w14:solidFill>
          </w14:textFill>
        </w:rPr>
        <w:t xml:space="preserve">    </w:t>
      </w:r>
      <w:r>
        <w:rPr>
          <w:rFonts w:hint="eastAsia" w:ascii="Times New Roman" w:hAnsi="Times New Roman" w:eastAsia="宋体" w:cs="Times New Roman"/>
          <w:color w:val="000000" w:themeColor="text1"/>
          <w:sz w:val="36"/>
          <w:szCs w:val="36"/>
          <w:u w:val="single"/>
          <w:lang w:val="en-US" w:eastAsia="zh-CN"/>
          <w14:textFill>
            <w14:solidFill>
              <w14:schemeClr w14:val="tx1"/>
            </w14:solidFill>
          </w14:textFill>
        </w:rPr>
        <w:t>2026年</w:t>
      </w:r>
      <w:r>
        <w:rPr>
          <w:rFonts w:hint="eastAsia" w:cs="Times New Roman"/>
          <w:color w:val="000000" w:themeColor="text1"/>
          <w:sz w:val="36"/>
          <w:szCs w:val="36"/>
          <w:u w:val="single"/>
          <w:lang w:val="en-US" w:eastAsia="zh-CN"/>
          <w14:textFill>
            <w14:solidFill>
              <w14:schemeClr w14:val="tx1"/>
            </w14:solidFill>
          </w14:textFill>
        </w:rPr>
        <w:t>9</w:t>
      </w:r>
      <w:r>
        <w:rPr>
          <w:rFonts w:hint="eastAsia" w:ascii="Times New Roman" w:hAnsi="Times New Roman" w:eastAsia="宋体" w:cs="Times New Roman"/>
          <w:color w:val="000000" w:themeColor="text1"/>
          <w:sz w:val="36"/>
          <w:szCs w:val="36"/>
          <w:u w:val="single"/>
          <w:lang w:val="en-US" w:eastAsia="zh-CN"/>
          <w14:textFill>
            <w14:solidFill>
              <w14:schemeClr w14:val="tx1"/>
            </w14:solidFill>
          </w14:textFill>
        </w:rPr>
        <w:t>月</w:t>
      </w:r>
      <w:r>
        <w:rPr>
          <w:rFonts w:hint="default" w:ascii="Times New Roman" w:hAnsi="Times New Roman" w:eastAsia="宋体" w:cs="Times New Roman"/>
          <w:color w:val="000000" w:themeColor="text1"/>
          <w:sz w:val="36"/>
          <w:szCs w:val="36"/>
          <w:u w:val="single"/>
          <w14:textFill>
            <w14:solidFill>
              <w14:schemeClr w14:val="tx1"/>
            </w14:solidFill>
          </w14:textFill>
        </w:rPr>
        <w:t xml:space="preserve">                   </w:t>
      </w:r>
    </w:p>
    <w:p w14:paraId="25B14ABA">
      <w:pPr>
        <w:adjustRightInd w:val="0"/>
        <w:snapToGrid w:val="0"/>
        <w:spacing w:line="288" w:lineRule="auto"/>
        <w:ind w:firstLine="1040"/>
        <w:rPr>
          <w:rFonts w:hint="default" w:ascii="Times New Roman" w:hAnsi="Times New Roman" w:eastAsia="宋体" w:cs="Times New Roman"/>
          <w:color w:val="000000" w:themeColor="text1"/>
          <w:sz w:val="36"/>
          <w:szCs w:val="36"/>
          <w:u w:val="single"/>
          <w14:textFill>
            <w14:solidFill>
              <w14:schemeClr w14:val="tx1"/>
            </w14:solidFill>
          </w14:textFill>
        </w:rPr>
      </w:pPr>
      <w:bookmarkStart w:id="1" w:name="_Hlk57884087"/>
    </w:p>
    <w:p w14:paraId="470AB2A8">
      <w:pPr>
        <w:adjustRightInd w:val="0"/>
        <w:snapToGrid w:val="0"/>
        <w:spacing w:line="288" w:lineRule="auto"/>
        <w:ind w:firstLine="1040"/>
        <w:rPr>
          <w:rFonts w:hint="default" w:ascii="Times New Roman" w:hAnsi="Times New Roman" w:eastAsia="宋体" w:cs="Times New Roman"/>
          <w:color w:val="000000" w:themeColor="text1"/>
          <w:sz w:val="36"/>
          <w:szCs w:val="36"/>
          <w14:textFill>
            <w14:solidFill>
              <w14:schemeClr w14:val="tx1"/>
            </w14:solidFill>
          </w14:textFill>
        </w:rPr>
      </w:pPr>
    </w:p>
    <w:p w14:paraId="5157E5BA">
      <w:pPr>
        <w:adjustRightInd w:val="0"/>
        <w:snapToGrid w:val="0"/>
        <w:spacing w:line="288" w:lineRule="auto"/>
        <w:ind w:firstLine="1040"/>
        <w:rPr>
          <w:rFonts w:hint="default" w:ascii="Times New Roman" w:hAnsi="Times New Roman" w:eastAsia="宋体" w:cs="Times New Roman"/>
          <w:color w:val="000000" w:themeColor="text1"/>
          <w:sz w:val="36"/>
          <w:szCs w:val="36"/>
          <w14:textFill>
            <w14:solidFill>
              <w14:schemeClr w14:val="tx1"/>
            </w14:solidFill>
          </w14:textFill>
        </w:rPr>
      </w:pPr>
    </w:p>
    <w:p w14:paraId="71A8EAAC">
      <w:pPr>
        <w:adjustRightInd w:val="0"/>
        <w:snapToGrid w:val="0"/>
        <w:spacing w:line="288" w:lineRule="auto"/>
        <w:ind w:firstLine="1040"/>
        <w:rPr>
          <w:rFonts w:hint="default" w:ascii="Times New Roman" w:hAnsi="Times New Roman" w:eastAsia="宋体" w:cs="Times New Roman"/>
          <w:color w:val="000000" w:themeColor="text1"/>
          <w:sz w:val="36"/>
          <w:szCs w:val="36"/>
          <w14:textFill>
            <w14:solidFill>
              <w14:schemeClr w14:val="tx1"/>
            </w14:solidFill>
          </w14:textFill>
        </w:rPr>
      </w:pPr>
    </w:p>
    <w:p w14:paraId="376AAEC0">
      <w:pPr>
        <w:adjustRightInd w:val="0"/>
        <w:snapToGrid w:val="0"/>
        <w:spacing w:line="288" w:lineRule="auto"/>
        <w:ind w:firstLine="1040"/>
        <w:rPr>
          <w:rFonts w:hint="default" w:ascii="Times New Roman" w:hAnsi="Times New Roman" w:eastAsia="宋体" w:cs="Times New Roman"/>
          <w:color w:val="000000" w:themeColor="text1"/>
          <w:sz w:val="36"/>
          <w:szCs w:val="36"/>
          <w14:textFill>
            <w14:solidFill>
              <w14:schemeClr w14:val="tx1"/>
            </w14:solidFill>
          </w14:textFill>
        </w:rPr>
      </w:pPr>
    </w:p>
    <w:bookmarkEnd w:id="1"/>
    <w:p w14:paraId="348C0875">
      <w:pPr>
        <w:adjustRightInd w:val="0"/>
        <w:snapToGrid w:val="0"/>
        <w:spacing w:line="288" w:lineRule="auto"/>
        <w:jc w:val="center"/>
        <w:rPr>
          <w:rFonts w:hint="default" w:ascii="Times New Roman" w:hAnsi="Times New Roman" w:eastAsia="宋体" w:cs="Times New Roman"/>
          <w:color w:val="000000" w:themeColor="text1"/>
          <w:sz w:val="36"/>
          <w:szCs w:val="36"/>
          <w14:textFill>
            <w14:solidFill>
              <w14:schemeClr w14:val="tx1"/>
            </w14:solidFill>
          </w14:textFill>
        </w:rPr>
      </w:pPr>
    </w:p>
    <w:p w14:paraId="03A85268">
      <w:pPr>
        <w:adjustRightInd w:val="0"/>
        <w:snapToGrid w:val="0"/>
        <w:spacing w:line="288" w:lineRule="auto"/>
        <w:jc w:val="center"/>
        <w:rPr>
          <w:rFonts w:hint="default" w:ascii="Times New Roman" w:hAnsi="Times New Roman" w:eastAsia="宋体" w:cs="Times New Roman"/>
          <w:color w:val="000000" w:themeColor="text1"/>
          <w:sz w:val="36"/>
          <w:szCs w:val="36"/>
          <w14:textFill>
            <w14:solidFill>
              <w14:schemeClr w14:val="tx1"/>
            </w14:solidFill>
          </w14:textFill>
        </w:rPr>
      </w:pPr>
      <w:r>
        <w:rPr>
          <w:rFonts w:hint="default" w:ascii="Times New Roman" w:hAnsi="Times New Roman" w:eastAsia="宋体" w:cs="Times New Roman"/>
          <w:color w:val="000000" w:themeColor="text1"/>
          <w:sz w:val="36"/>
          <w:szCs w:val="36"/>
          <w14:textFill>
            <w14:solidFill>
              <w14:schemeClr w14:val="tx1"/>
            </w14:solidFill>
          </w14:textFill>
        </w:rPr>
        <w:t>中华人民共和国生态环境部制</w:t>
      </w:r>
    </w:p>
    <w:p w14:paraId="33DCA558">
      <w:pPr>
        <w:spacing w:before="0" w:beforeLines="0" w:after="0" w:afterLines="0" w:line="240" w:lineRule="auto"/>
        <w:ind w:left="0" w:leftChars="0" w:right="0" w:rightChars="0" w:firstLine="0" w:firstLineChars="0"/>
        <w:jc w:val="center"/>
        <w:rPr>
          <w:rFonts w:hint="default" w:ascii="Times New Roman" w:hAnsi="Times New Roman" w:eastAsia="宋体" w:cs="Times New Roman"/>
          <w:color w:val="000000" w:themeColor="text1"/>
          <w:sz w:val="21"/>
          <w14:textFill>
            <w14:solidFill>
              <w14:schemeClr w14:val="tx1"/>
            </w14:solidFill>
          </w14:textFill>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20331B6C">
      <w:pPr>
        <w:pStyle w:val="27"/>
        <w:jc w:val="center"/>
        <w:outlineLvl w:val="0"/>
        <w:rPr>
          <w:rFonts w:hint="default" w:ascii="Times New Roman" w:hAnsi="Times New Roman" w:eastAsia="宋体" w:cs="Times New Roman"/>
          <w:b/>
          <w:bCs/>
          <w:snapToGrid w:val="0"/>
          <w:color w:val="000000" w:themeColor="text1"/>
          <w:sz w:val="30"/>
          <w:szCs w:val="30"/>
          <w14:textFill>
            <w14:solidFill>
              <w14:schemeClr w14:val="tx1"/>
            </w14:solidFill>
          </w14:textFill>
        </w:rPr>
      </w:pPr>
      <w:bookmarkStart w:id="2" w:name="_Toc4805"/>
      <w:r>
        <w:rPr>
          <w:rFonts w:hint="default" w:ascii="Times New Roman" w:hAnsi="Times New Roman" w:eastAsia="宋体" w:cs="Times New Roman"/>
          <w:b/>
          <w:bCs/>
          <w:snapToGrid w:val="0"/>
          <w:color w:val="000000" w:themeColor="text1"/>
          <w:sz w:val="30"/>
          <w:szCs w:val="30"/>
          <w14:textFill>
            <w14:solidFill>
              <w14:schemeClr w14:val="tx1"/>
            </w14:solidFill>
          </w14:textFill>
        </w:rPr>
        <w:t>一、建设项目基本情况</w:t>
      </w:r>
      <w:bookmarkEnd w:id="2"/>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004"/>
        <w:gridCol w:w="2237"/>
        <w:gridCol w:w="1602"/>
        <w:gridCol w:w="3027"/>
      </w:tblGrid>
      <w:tr w14:paraId="31817C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2FB8CDD8">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建设项目名称</w:t>
            </w:r>
          </w:p>
        </w:tc>
        <w:tc>
          <w:tcPr>
            <w:tcW w:w="6866" w:type="dxa"/>
            <w:gridSpan w:val="3"/>
            <w:noWrap w:val="0"/>
            <w:vAlign w:val="center"/>
          </w:tcPr>
          <w:p w14:paraId="6121A282">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呼图壁融鼎农林科技有限责任公司秸秆及粪污综合利用项目</w:t>
            </w:r>
          </w:p>
        </w:tc>
      </w:tr>
      <w:tr w14:paraId="10403D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5AE78794">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项目代码</w:t>
            </w:r>
          </w:p>
        </w:tc>
        <w:tc>
          <w:tcPr>
            <w:tcW w:w="6866" w:type="dxa"/>
            <w:gridSpan w:val="3"/>
            <w:noWrap w:val="0"/>
            <w:vAlign w:val="center"/>
          </w:tcPr>
          <w:p w14:paraId="48FB9CC9">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2604-652323-04-03-397357</w:t>
            </w:r>
          </w:p>
        </w:tc>
      </w:tr>
      <w:tr w14:paraId="1571AA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004D6143">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建设单位联系人</w:t>
            </w:r>
          </w:p>
        </w:tc>
        <w:tc>
          <w:tcPr>
            <w:tcW w:w="2237" w:type="dxa"/>
            <w:noWrap w:val="0"/>
            <w:vAlign w:val="center"/>
          </w:tcPr>
          <w:p w14:paraId="4A43BBA3">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w:t>
            </w:r>
          </w:p>
        </w:tc>
        <w:tc>
          <w:tcPr>
            <w:tcW w:w="1602" w:type="dxa"/>
            <w:noWrap w:val="0"/>
            <w:vAlign w:val="center"/>
          </w:tcPr>
          <w:p w14:paraId="6C4E546C">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联系方式</w:t>
            </w:r>
          </w:p>
        </w:tc>
        <w:tc>
          <w:tcPr>
            <w:tcW w:w="3027" w:type="dxa"/>
            <w:noWrap w:val="0"/>
            <w:vAlign w:val="center"/>
          </w:tcPr>
          <w:p w14:paraId="646367CB">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w:t>
            </w:r>
          </w:p>
        </w:tc>
      </w:tr>
      <w:tr w14:paraId="79E6A6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7F33CAB7">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建设地点</w:t>
            </w:r>
          </w:p>
        </w:tc>
        <w:tc>
          <w:tcPr>
            <w:tcW w:w="6866" w:type="dxa"/>
            <w:gridSpan w:val="3"/>
            <w:noWrap w:val="0"/>
            <w:vAlign w:val="center"/>
          </w:tcPr>
          <w:p w14:paraId="4CCA1CFE">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新疆维吾尔自治区昌吉回族自治州呼图壁县大丰镇</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红柳塘村</w:t>
            </w:r>
            <w:r>
              <w:rPr>
                <w:rFonts w:hint="default" w:ascii="Times New Roman" w:hAnsi="Times New Roman" w:eastAsia="宋体" w:cs="Times New Roman"/>
                <w:color w:val="000000" w:themeColor="text1"/>
                <w:sz w:val="24"/>
                <w:szCs w:val="24"/>
                <w14:textFill>
                  <w14:solidFill>
                    <w14:schemeClr w14:val="tx1"/>
                  </w14:solidFill>
                </w14:textFill>
              </w:rPr>
              <w:t>丹霞路28号</w:t>
            </w:r>
          </w:p>
        </w:tc>
      </w:tr>
      <w:tr w14:paraId="7D5235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6BCBC38A">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地理坐标</w:t>
            </w:r>
          </w:p>
        </w:tc>
        <w:tc>
          <w:tcPr>
            <w:tcW w:w="6866" w:type="dxa"/>
            <w:gridSpan w:val="3"/>
            <w:noWrap w:val="0"/>
            <w:vAlign w:val="center"/>
          </w:tcPr>
          <w:p w14:paraId="3E6FCC79">
            <w:pPr>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东经</w:t>
            </w:r>
            <w:r>
              <w:rPr>
                <w:rFonts w:hint="eastAsia" w:ascii="Times New Roman" w:hAnsi="Times New Roman" w:eastAsia="宋体" w:cs="Times New Roman"/>
                <w:color w:val="000000" w:themeColor="text1"/>
                <w:sz w:val="24"/>
                <w:szCs w:val="24"/>
                <w:u w:val="single"/>
                <w:lang w:val="en-US" w:eastAsia="zh-CN"/>
                <w14:textFill>
                  <w14:solidFill>
                    <w14:schemeClr w14:val="tx1"/>
                  </w14:solidFill>
                </w14:textFill>
              </w:rPr>
              <w:t>86</w:t>
            </w:r>
            <w:r>
              <w:rPr>
                <w:rFonts w:hint="default" w:ascii="Times New Roman" w:hAnsi="Times New Roman" w:eastAsia="宋体" w:cs="Times New Roman"/>
                <w:color w:val="000000" w:themeColor="text1"/>
                <w:sz w:val="24"/>
                <w:szCs w:val="24"/>
                <w14:textFill>
                  <w14:solidFill>
                    <w14:schemeClr w14:val="tx1"/>
                  </w14:solidFill>
                </w14:textFill>
              </w:rPr>
              <w:t>度</w:t>
            </w:r>
            <w:r>
              <w:rPr>
                <w:rFonts w:hint="eastAsia" w:ascii="Times New Roman" w:hAnsi="Times New Roman" w:eastAsia="宋体" w:cs="Times New Roman"/>
                <w:color w:val="000000" w:themeColor="text1"/>
                <w:sz w:val="24"/>
                <w:szCs w:val="24"/>
                <w:u w:val="single"/>
                <w:lang w:val="en-US" w:eastAsia="zh-CN"/>
                <w14:textFill>
                  <w14:solidFill>
                    <w14:schemeClr w14:val="tx1"/>
                  </w14:solidFill>
                </w14:textFill>
              </w:rPr>
              <w:t>38</w:t>
            </w:r>
            <w:r>
              <w:rPr>
                <w:rFonts w:hint="default" w:ascii="Times New Roman" w:hAnsi="Times New Roman" w:eastAsia="宋体" w:cs="Times New Roman"/>
                <w:color w:val="000000" w:themeColor="text1"/>
                <w:sz w:val="24"/>
                <w:szCs w:val="24"/>
                <w14:textFill>
                  <w14:solidFill>
                    <w14:schemeClr w14:val="tx1"/>
                  </w14:solidFill>
                </w14:textFill>
              </w:rPr>
              <w:t>分</w:t>
            </w:r>
            <w:r>
              <w:rPr>
                <w:rFonts w:hint="eastAsia" w:ascii="Times New Roman" w:hAnsi="Times New Roman" w:eastAsia="宋体" w:cs="Times New Roman"/>
                <w:color w:val="000000" w:themeColor="text1"/>
                <w:sz w:val="24"/>
                <w:szCs w:val="24"/>
                <w:u w:val="single"/>
                <w:lang w:val="en-US" w:eastAsia="zh-CN"/>
                <w14:textFill>
                  <w14:solidFill>
                    <w14:schemeClr w14:val="tx1"/>
                  </w14:solidFill>
                </w14:textFill>
              </w:rPr>
              <w:t>51.716</w:t>
            </w:r>
            <w:r>
              <w:rPr>
                <w:rFonts w:hint="default" w:ascii="Times New Roman" w:hAnsi="Times New Roman" w:eastAsia="宋体" w:cs="Times New Roman"/>
                <w:color w:val="000000" w:themeColor="text1"/>
                <w:sz w:val="24"/>
                <w:szCs w:val="24"/>
                <w14:textFill>
                  <w14:solidFill>
                    <w14:schemeClr w14:val="tx1"/>
                  </w14:solidFill>
                </w14:textFill>
              </w:rPr>
              <w:t>秒，</w:t>
            </w:r>
            <w:r>
              <w:rPr>
                <w:rFonts w:hint="eastAsia" w:cs="Times New Roman"/>
                <w:color w:val="000000" w:themeColor="text1"/>
                <w:sz w:val="24"/>
                <w:szCs w:val="24"/>
                <w:lang w:val="en-US" w:eastAsia="zh-CN"/>
                <w14:textFill>
                  <w14:solidFill>
                    <w14:schemeClr w14:val="tx1"/>
                  </w14:solidFill>
                </w14:textFill>
              </w:rPr>
              <w:t>北纬</w:t>
            </w:r>
            <w:r>
              <w:rPr>
                <w:rFonts w:hint="eastAsia" w:ascii="Times New Roman" w:hAnsi="Times New Roman" w:eastAsia="宋体" w:cs="Times New Roman"/>
                <w:color w:val="000000" w:themeColor="text1"/>
                <w:sz w:val="24"/>
                <w:szCs w:val="24"/>
                <w:u w:val="single"/>
                <w:lang w:val="en-US" w:eastAsia="zh-CN"/>
                <w14:textFill>
                  <w14:solidFill>
                    <w14:schemeClr w14:val="tx1"/>
                  </w14:solidFill>
                </w14:textFill>
              </w:rPr>
              <w:t>44</w:t>
            </w:r>
            <w:r>
              <w:rPr>
                <w:rFonts w:hint="default" w:ascii="Times New Roman" w:hAnsi="Times New Roman" w:eastAsia="宋体" w:cs="Times New Roman"/>
                <w:color w:val="000000" w:themeColor="text1"/>
                <w:sz w:val="24"/>
                <w:szCs w:val="24"/>
                <w14:textFill>
                  <w14:solidFill>
                    <w14:schemeClr w14:val="tx1"/>
                  </w14:solidFill>
                </w14:textFill>
              </w:rPr>
              <w:t>度</w:t>
            </w:r>
            <w:r>
              <w:rPr>
                <w:rFonts w:hint="eastAsia" w:ascii="Times New Roman" w:hAnsi="Times New Roman" w:eastAsia="宋体" w:cs="Times New Roman"/>
                <w:color w:val="000000" w:themeColor="text1"/>
                <w:sz w:val="24"/>
                <w:szCs w:val="24"/>
                <w:u w:val="single"/>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14:textFill>
                  <w14:solidFill>
                    <w14:schemeClr w14:val="tx1"/>
                  </w14:solidFill>
                </w14:textFill>
              </w:rPr>
              <w:t>分</w:t>
            </w:r>
            <w:r>
              <w:rPr>
                <w:rFonts w:hint="eastAsia" w:ascii="Times New Roman" w:hAnsi="Times New Roman" w:eastAsia="宋体" w:cs="Times New Roman"/>
                <w:color w:val="000000" w:themeColor="text1"/>
                <w:sz w:val="24"/>
                <w:szCs w:val="24"/>
                <w:u w:val="single"/>
                <w:lang w:val="en-US" w:eastAsia="zh-CN"/>
                <w14:textFill>
                  <w14:solidFill>
                    <w14:schemeClr w14:val="tx1"/>
                  </w14:solidFill>
                </w14:textFill>
              </w:rPr>
              <w:t>32.257</w:t>
            </w:r>
            <w:r>
              <w:rPr>
                <w:rFonts w:hint="default" w:ascii="Times New Roman" w:hAnsi="Times New Roman" w:eastAsia="宋体" w:cs="Times New Roman"/>
                <w:color w:val="000000" w:themeColor="text1"/>
                <w:sz w:val="24"/>
                <w:szCs w:val="24"/>
                <w14:textFill>
                  <w14:solidFill>
                    <w14:schemeClr w14:val="tx1"/>
                  </w14:solidFill>
                </w14:textFill>
              </w:rPr>
              <w:t>秒）</w:t>
            </w:r>
          </w:p>
        </w:tc>
      </w:tr>
      <w:tr w14:paraId="4EAF99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27" w:hRule="atLeast"/>
          <w:jc w:val="center"/>
        </w:trPr>
        <w:tc>
          <w:tcPr>
            <w:tcW w:w="2004" w:type="dxa"/>
            <w:noWrap w:val="0"/>
            <w:tcMar>
              <w:top w:w="16" w:type="dxa"/>
              <w:left w:w="16" w:type="dxa"/>
              <w:right w:w="16" w:type="dxa"/>
            </w:tcMar>
            <w:vAlign w:val="center"/>
          </w:tcPr>
          <w:p w14:paraId="5B39EDB1">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国民经济</w:t>
            </w:r>
          </w:p>
          <w:p w14:paraId="6670A994">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行业类别</w:t>
            </w:r>
          </w:p>
        </w:tc>
        <w:tc>
          <w:tcPr>
            <w:tcW w:w="2237" w:type="dxa"/>
            <w:noWrap w:val="0"/>
            <w:vAlign w:val="center"/>
          </w:tcPr>
          <w:p w14:paraId="0531B4F6">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C制造业-26</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化学原料和化学制品制造业</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-2629其他肥料制造</w:t>
            </w:r>
          </w:p>
        </w:tc>
        <w:tc>
          <w:tcPr>
            <w:tcW w:w="1602" w:type="dxa"/>
            <w:noWrap w:val="0"/>
            <w:vAlign w:val="center"/>
          </w:tcPr>
          <w:p w14:paraId="670A8587">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bookmarkStart w:id="3" w:name="_Hlk49843745"/>
            <w:r>
              <w:rPr>
                <w:rFonts w:hint="default" w:ascii="Times New Roman" w:hAnsi="Times New Roman" w:eastAsia="宋体" w:cs="Times New Roman"/>
                <w:color w:val="000000" w:themeColor="text1"/>
                <w:sz w:val="24"/>
                <w:szCs w:val="24"/>
                <w14:textFill>
                  <w14:solidFill>
                    <w14:schemeClr w14:val="tx1"/>
                  </w14:solidFill>
                </w14:textFill>
              </w:rPr>
              <w:t>建设项目</w:t>
            </w:r>
          </w:p>
          <w:p w14:paraId="505F0A10">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行业类别</w:t>
            </w:r>
            <w:bookmarkEnd w:id="3"/>
          </w:p>
        </w:tc>
        <w:tc>
          <w:tcPr>
            <w:tcW w:w="3027" w:type="dxa"/>
            <w:noWrap w:val="0"/>
            <w:vAlign w:val="center"/>
          </w:tcPr>
          <w:p w14:paraId="4836C6F9">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二十三、化学原料和化学制品制造业26</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-肥料制造262-其他</w:t>
            </w:r>
          </w:p>
        </w:tc>
      </w:tr>
      <w:tr w14:paraId="61DC91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004" w:type="dxa"/>
            <w:noWrap w:val="0"/>
            <w:tcMar>
              <w:top w:w="16" w:type="dxa"/>
              <w:left w:w="16" w:type="dxa"/>
              <w:right w:w="16" w:type="dxa"/>
            </w:tcMar>
            <w:vAlign w:val="center"/>
          </w:tcPr>
          <w:p w14:paraId="5E694FBF">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建设性质</w:t>
            </w:r>
          </w:p>
        </w:tc>
        <w:tc>
          <w:tcPr>
            <w:tcW w:w="2237" w:type="dxa"/>
            <w:noWrap w:val="0"/>
            <w:vAlign w:val="center"/>
          </w:tcPr>
          <w:p w14:paraId="2EC9B520">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新建（迁建）</w:t>
            </w:r>
          </w:p>
          <w:p w14:paraId="40BB4229">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□改建</w:t>
            </w:r>
          </w:p>
          <w:p w14:paraId="3AB906F6">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□扩建</w:t>
            </w:r>
          </w:p>
          <w:p w14:paraId="72C8DAC9">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□技术改造</w:t>
            </w:r>
          </w:p>
        </w:tc>
        <w:tc>
          <w:tcPr>
            <w:tcW w:w="1602" w:type="dxa"/>
            <w:noWrap w:val="0"/>
            <w:vAlign w:val="center"/>
          </w:tcPr>
          <w:p w14:paraId="6C125140">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建设项目</w:t>
            </w:r>
          </w:p>
          <w:p w14:paraId="26AC1499">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申报情形</w:t>
            </w:r>
          </w:p>
        </w:tc>
        <w:tc>
          <w:tcPr>
            <w:tcW w:w="3027" w:type="dxa"/>
            <w:noWrap w:val="0"/>
            <w:vAlign w:val="center"/>
          </w:tcPr>
          <w:p w14:paraId="028B5A72">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sym w:font="Wingdings 2" w:char="0052"/>
            </w:r>
            <w:r>
              <w:rPr>
                <w:rFonts w:hint="default" w:ascii="Times New Roman" w:hAnsi="Times New Roman" w:eastAsia="宋体" w:cs="Times New Roman"/>
                <w:color w:val="000000" w:themeColor="text1"/>
                <w:sz w:val="24"/>
                <w:szCs w:val="24"/>
                <w14:textFill>
                  <w14:solidFill>
                    <w14:schemeClr w14:val="tx1"/>
                  </w14:solidFill>
                </w14:textFill>
              </w:rPr>
              <w:t xml:space="preserve">首次申报项目             </w:t>
            </w:r>
          </w:p>
          <w:p w14:paraId="12B47381">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□不予批准后再次申报项目</w:t>
            </w:r>
          </w:p>
          <w:p w14:paraId="62E7EFD9">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 xml:space="preserve">□超五年重新审核项目     </w:t>
            </w:r>
          </w:p>
          <w:p w14:paraId="750F9DF6">
            <w:pPr>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□重大变动重新报批项目</w:t>
            </w:r>
          </w:p>
        </w:tc>
      </w:tr>
      <w:tr w14:paraId="68C293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004" w:type="dxa"/>
            <w:noWrap w:val="0"/>
            <w:tcMar>
              <w:top w:w="16" w:type="dxa"/>
              <w:left w:w="16" w:type="dxa"/>
              <w:right w:w="16" w:type="dxa"/>
            </w:tcMar>
            <w:vAlign w:val="center"/>
          </w:tcPr>
          <w:p w14:paraId="7DBFFE26">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项目审批（核准/</w:t>
            </w:r>
          </w:p>
          <w:p w14:paraId="59C6415B">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备案）部门（选填）</w:t>
            </w:r>
          </w:p>
        </w:tc>
        <w:tc>
          <w:tcPr>
            <w:tcW w:w="2237" w:type="dxa"/>
            <w:noWrap w:val="0"/>
            <w:vAlign w:val="center"/>
          </w:tcPr>
          <w:p w14:paraId="278DDD39">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呼图壁县发展和改革委员会</w:t>
            </w:r>
          </w:p>
        </w:tc>
        <w:tc>
          <w:tcPr>
            <w:tcW w:w="1602" w:type="dxa"/>
            <w:noWrap w:val="0"/>
            <w:vAlign w:val="center"/>
          </w:tcPr>
          <w:p w14:paraId="412C9642">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项目审批（核准/</w:t>
            </w:r>
          </w:p>
          <w:p w14:paraId="6AD14FC0">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备案）文号（选填）</w:t>
            </w:r>
          </w:p>
        </w:tc>
        <w:tc>
          <w:tcPr>
            <w:tcW w:w="3027" w:type="dxa"/>
            <w:noWrap w:val="0"/>
            <w:vAlign w:val="center"/>
          </w:tcPr>
          <w:p w14:paraId="0F617B0D">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2604231255652323000255</w:t>
            </w:r>
          </w:p>
        </w:tc>
      </w:tr>
      <w:tr w14:paraId="54441E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6A50862C">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总投资（万元）</w:t>
            </w:r>
          </w:p>
        </w:tc>
        <w:tc>
          <w:tcPr>
            <w:tcW w:w="2237" w:type="dxa"/>
            <w:noWrap w:val="0"/>
            <w:vAlign w:val="center"/>
          </w:tcPr>
          <w:p w14:paraId="490E2E8B">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8000.0</w:t>
            </w:r>
          </w:p>
        </w:tc>
        <w:tc>
          <w:tcPr>
            <w:tcW w:w="1602" w:type="dxa"/>
            <w:noWrap w:val="0"/>
            <w:tcMar>
              <w:top w:w="16" w:type="dxa"/>
              <w:left w:w="16" w:type="dxa"/>
              <w:right w:w="16" w:type="dxa"/>
            </w:tcMar>
            <w:vAlign w:val="center"/>
          </w:tcPr>
          <w:p w14:paraId="7265EBB8">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环保投资</w:t>
            </w:r>
          </w:p>
          <w:p w14:paraId="79D7F9FA">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（万元）</w:t>
            </w:r>
          </w:p>
        </w:tc>
        <w:tc>
          <w:tcPr>
            <w:tcW w:w="3027" w:type="dxa"/>
            <w:noWrap w:val="0"/>
            <w:vAlign w:val="center"/>
          </w:tcPr>
          <w:p w14:paraId="22DE0A78">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128.0</w:t>
            </w:r>
          </w:p>
        </w:tc>
      </w:tr>
      <w:tr w14:paraId="6394A9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0BF0D504">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环保投资占比（%）</w:t>
            </w:r>
          </w:p>
        </w:tc>
        <w:tc>
          <w:tcPr>
            <w:tcW w:w="2237" w:type="dxa"/>
            <w:noWrap w:val="0"/>
            <w:vAlign w:val="center"/>
          </w:tcPr>
          <w:p w14:paraId="090376FD">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1.6</w:t>
            </w:r>
          </w:p>
        </w:tc>
        <w:tc>
          <w:tcPr>
            <w:tcW w:w="1602" w:type="dxa"/>
            <w:noWrap w:val="0"/>
            <w:tcMar>
              <w:top w:w="16" w:type="dxa"/>
              <w:left w:w="16" w:type="dxa"/>
              <w:right w:w="16" w:type="dxa"/>
            </w:tcMar>
            <w:vAlign w:val="center"/>
          </w:tcPr>
          <w:p w14:paraId="1100831D">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施工工期</w:t>
            </w:r>
          </w:p>
        </w:tc>
        <w:tc>
          <w:tcPr>
            <w:tcW w:w="3027" w:type="dxa"/>
            <w:noWrap w:val="0"/>
            <w:vAlign w:val="center"/>
          </w:tcPr>
          <w:p w14:paraId="2A6567F3">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10个月</w:t>
            </w:r>
          </w:p>
        </w:tc>
      </w:tr>
      <w:tr w14:paraId="59007D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04" w:type="dxa"/>
            <w:noWrap w:val="0"/>
            <w:tcMar>
              <w:top w:w="16" w:type="dxa"/>
              <w:left w:w="16" w:type="dxa"/>
              <w:right w:w="16" w:type="dxa"/>
            </w:tcMar>
            <w:vAlign w:val="center"/>
          </w:tcPr>
          <w:p w14:paraId="65351710">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是否开工建设</w:t>
            </w:r>
          </w:p>
        </w:tc>
        <w:tc>
          <w:tcPr>
            <w:tcW w:w="2237" w:type="dxa"/>
            <w:noWrap w:val="0"/>
            <w:vAlign w:val="center"/>
          </w:tcPr>
          <w:p w14:paraId="507A54DD">
            <w:pPr>
              <w:adjustRightInd w:val="0"/>
              <w:snapToGrid w:val="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sym w:font="Wingdings 2" w:char="00A3"/>
            </w:r>
            <w:r>
              <w:rPr>
                <w:rFonts w:hint="default" w:ascii="Times New Roman" w:hAnsi="Times New Roman" w:eastAsia="宋体" w:cs="Times New Roman"/>
                <w:color w:val="000000" w:themeColor="text1"/>
                <w:sz w:val="24"/>
                <w:szCs w:val="24"/>
                <w14:textFill>
                  <w14:solidFill>
                    <w14:schemeClr w14:val="tx1"/>
                  </w14:solidFill>
                </w14:textFill>
              </w:rPr>
              <w:t>否</w:t>
            </w:r>
          </w:p>
          <w:p w14:paraId="2E042481">
            <w:pPr>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sym w:font="Wingdings 2" w:char="0052"/>
            </w:r>
            <w:r>
              <w:rPr>
                <w:rFonts w:hint="default" w:ascii="Times New Roman" w:hAnsi="Times New Roman" w:eastAsia="宋体" w:cs="Times New Roman"/>
                <w:color w:val="000000" w:themeColor="text1"/>
                <w:sz w:val="24"/>
                <w:szCs w:val="24"/>
                <w14:textFill>
                  <w14:solidFill>
                    <w14:schemeClr w14:val="tx1"/>
                  </w14:solidFill>
                </w14:textFill>
              </w:rPr>
              <w:t>是：</w:t>
            </w:r>
            <w:r>
              <w:rPr>
                <w:rFonts w:hint="default" w:ascii="Times New Roman" w:hAnsi="Times New Roman" w:eastAsia="宋体" w:cs="Times New Roman"/>
                <w:color w:val="000000" w:themeColor="text1"/>
                <w:sz w:val="24"/>
                <w:szCs w:val="24"/>
                <w:u w:val="single"/>
                <w14:textFill>
                  <w14:solidFill>
                    <w14:schemeClr w14:val="tx1"/>
                  </w14:solidFill>
                </w14:textFill>
              </w:rPr>
              <w:t>已建设1个炭化车间及配套设备，车间外还建有1条固体碳基肥生产线，但该生产线未配备相关设备，但尚未开展生产作业，可依法</w:t>
            </w:r>
            <w:r>
              <w:rPr>
                <w:rFonts w:hint="eastAsia" w:cs="Times New Roman"/>
                <w:color w:val="000000" w:themeColor="text1"/>
                <w:sz w:val="24"/>
                <w:szCs w:val="24"/>
                <w:u w:val="single"/>
                <w:lang w:eastAsia="zh-CN"/>
                <w14:textFill>
                  <w14:solidFill>
                    <w14:schemeClr w14:val="tx1"/>
                  </w14:solidFill>
                </w14:textFill>
              </w:rPr>
              <w:t>免予</w:t>
            </w:r>
            <w:r>
              <w:rPr>
                <w:rFonts w:hint="default" w:ascii="Times New Roman" w:hAnsi="Times New Roman" w:eastAsia="宋体" w:cs="Times New Roman"/>
                <w:color w:val="000000" w:themeColor="text1"/>
                <w:sz w:val="24"/>
                <w:szCs w:val="24"/>
                <w:u w:val="single"/>
                <w14:textFill>
                  <w14:solidFill>
                    <w14:schemeClr w14:val="tx1"/>
                  </w14:solidFill>
                </w14:textFill>
              </w:rPr>
              <w:t>行政处罚</w:t>
            </w:r>
            <w:r>
              <w:rPr>
                <w:rFonts w:hint="eastAsia" w:cs="Times New Roman"/>
                <w:color w:val="000000" w:themeColor="text1"/>
                <w:sz w:val="24"/>
                <w:szCs w:val="24"/>
                <w:u w:val="single"/>
                <w:lang w:eastAsia="zh-CN"/>
                <w14:textFill>
                  <w14:solidFill>
                    <w14:schemeClr w14:val="tx1"/>
                  </w14:solidFill>
                </w14:textFill>
              </w:rPr>
              <w:t>。（不予行政处罚事先告知书</w:t>
            </w:r>
            <w:r>
              <w:rPr>
                <w:rFonts w:hint="eastAsia" w:cs="Times New Roman"/>
                <w:color w:val="000000" w:themeColor="text1"/>
                <w:sz w:val="24"/>
                <w:szCs w:val="24"/>
                <w:u w:val="single"/>
                <w:lang w:val="en-US" w:eastAsia="zh-CN"/>
                <w14:textFill>
                  <w14:solidFill>
                    <w14:schemeClr w14:val="tx1"/>
                  </w14:solidFill>
                </w14:textFill>
              </w:rPr>
              <w:t>见附件8</w:t>
            </w:r>
            <w:r>
              <w:rPr>
                <w:rFonts w:hint="eastAsia" w:cs="Times New Roman"/>
                <w:color w:val="000000" w:themeColor="text1"/>
                <w:sz w:val="24"/>
                <w:szCs w:val="24"/>
                <w:u w:val="single"/>
                <w:lang w:eastAsia="zh-CN"/>
                <w14:textFill>
                  <w14:solidFill>
                    <w14:schemeClr w14:val="tx1"/>
                  </w14:solidFill>
                </w14:textFill>
              </w:rPr>
              <w:t>）</w:t>
            </w:r>
          </w:p>
        </w:tc>
        <w:tc>
          <w:tcPr>
            <w:tcW w:w="1602" w:type="dxa"/>
            <w:noWrap w:val="0"/>
            <w:tcMar>
              <w:top w:w="16" w:type="dxa"/>
              <w:left w:w="16" w:type="dxa"/>
              <w:right w:w="16" w:type="dxa"/>
            </w:tcMar>
            <w:vAlign w:val="center"/>
          </w:tcPr>
          <w:p w14:paraId="436B3950">
            <w:pPr>
              <w:adjustRightInd w:val="0"/>
              <w:snapToGrid w:val="0"/>
              <w:jc w:val="center"/>
              <w:rPr>
                <w:rFonts w:hint="default" w:ascii="Times New Roman" w:hAnsi="Times New Roman" w:eastAsia="宋体" w:cs="Times New Roman"/>
                <w:color w:val="000000" w:themeColor="text1"/>
                <w:spacing w:val="-6"/>
                <w:sz w:val="24"/>
                <w:szCs w:val="24"/>
                <w14:textFill>
                  <w14:solidFill>
                    <w14:schemeClr w14:val="tx1"/>
                  </w14:solidFill>
                </w14:textFill>
              </w:rPr>
            </w:pPr>
            <w:r>
              <w:rPr>
                <w:rFonts w:hint="default" w:ascii="Times New Roman" w:hAnsi="Times New Roman" w:eastAsia="宋体" w:cs="Times New Roman"/>
                <w:color w:val="000000" w:themeColor="text1"/>
                <w:spacing w:val="-6"/>
                <w:sz w:val="24"/>
                <w:szCs w:val="24"/>
                <w14:textFill>
                  <w14:solidFill>
                    <w14:schemeClr w14:val="tx1"/>
                  </w14:solidFill>
                </w14:textFill>
              </w:rPr>
              <w:t>用地（用海）</w:t>
            </w:r>
          </w:p>
          <w:p w14:paraId="3173FA69">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pacing w:val="-6"/>
                <w:sz w:val="24"/>
                <w:szCs w:val="24"/>
                <w14:textFill>
                  <w14:solidFill>
                    <w14:schemeClr w14:val="tx1"/>
                  </w14:solidFill>
                </w14:textFill>
              </w:rPr>
              <w:t>面积（m</w:t>
            </w:r>
            <w:r>
              <w:rPr>
                <w:rFonts w:hint="default" w:ascii="Times New Roman" w:hAnsi="Times New Roman" w:eastAsia="宋体" w:cs="Times New Roman"/>
                <w:color w:val="000000" w:themeColor="text1"/>
                <w:spacing w:val="-6"/>
                <w:sz w:val="24"/>
                <w:szCs w:val="24"/>
                <w:vertAlign w:val="superscript"/>
                <w14:textFill>
                  <w14:solidFill>
                    <w14:schemeClr w14:val="tx1"/>
                  </w14:solidFill>
                </w14:textFill>
              </w:rPr>
              <w:t>2</w:t>
            </w:r>
            <w:r>
              <w:rPr>
                <w:rFonts w:hint="default" w:ascii="Times New Roman" w:hAnsi="Times New Roman" w:eastAsia="宋体" w:cs="Times New Roman"/>
                <w:color w:val="000000" w:themeColor="text1"/>
                <w:spacing w:val="-6"/>
                <w:sz w:val="24"/>
                <w:szCs w:val="24"/>
                <w14:textFill>
                  <w14:solidFill>
                    <w14:schemeClr w14:val="tx1"/>
                  </w14:solidFill>
                </w14:textFill>
              </w:rPr>
              <w:t>）</w:t>
            </w:r>
          </w:p>
        </w:tc>
        <w:tc>
          <w:tcPr>
            <w:tcW w:w="3027" w:type="dxa"/>
            <w:noWrap w:val="0"/>
            <w:vAlign w:val="center"/>
          </w:tcPr>
          <w:p w14:paraId="50141A64">
            <w:pPr>
              <w:adjustRightInd w:val="0"/>
              <w:snapToGrid w:val="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8123.0</w:t>
            </w:r>
          </w:p>
        </w:tc>
      </w:tr>
      <w:tr w14:paraId="1D97DC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004" w:type="dxa"/>
            <w:noWrap w:val="0"/>
            <w:vAlign w:val="center"/>
          </w:tcPr>
          <w:p w14:paraId="1CF59CC6">
            <w:pPr>
              <w:autoSpaceDE w:val="0"/>
              <w:autoSpaceDN w:val="0"/>
              <w:adjustRightInd w:val="0"/>
              <w:snapToGrid w:val="0"/>
              <w:jc w:val="center"/>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专项评价设置情况</w:t>
            </w:r>
          </w:p>
        </w:tc>
        <w:tc>
          <w:tcPr>
            <w:tcW w:w="6866" w:type="dxa"/>
            <w:gridSpan w:val="3"/>
            <w:noWrap w:val="0"/>
            <w:vAlign w:val="center"/>
          </w:tcPr>
          <w:p w14:paraId="2E3E72C9">
            <w:pPr>
              <w:autoSpaceDE w:val="0"/>
              <w:autoSpaceDN w:val="0"/>
              <w:adjustRightInd w:val="0"/>
              <w:snapToGrid w:val="0"/>
              <w:jc w:val="cente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无</w:t>
            </w:r>
          </w:p>
        </w:tc>
      </w:tr>
      <w:tr w14:paraId="6D5FB8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004" w:type="dxa"/>
            <w:noWrap w:val="0"/>
            <w:vAlign w:val="center"/>
          </w:tcPr>
          <w:p w14:paraId="2ADA41C9">
            <w:pPr>
              <w:autoSpaceDE w:val="0"/>
              <w:autoSpaceDN w:val="0"/>
              <w:adjustRightInd w:val="0"/>
              <w:snapToGrid w:val="0"/>
              <w:jc w:val="center"/>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规划情况</w:t>
            </w:r>
          </w:p>
        </w:tc>
        <w:tc>
          <w:tcPr>
            <w:tcW w:w="6866" w:type="dxa"/>
            <w:gridSpan w:val="3"/>
            <w:noWrap w:val="0"/>
            <w:vAlign w:val="center"/>
          </w:tcPr>
          <w:p w14:paraId="076CFFC2">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规划文件名称：《呼图壁县大丰镇红柳塘村村庄规划</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2021</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2035年</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38A71202">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规划审批机关：呼图壁县人民政府</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p>
          <w:p w14:paraId="262E78D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center"/>
              <w:textAlignment w:val="auto"/>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规划审批文件名称：</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关于《呼图壁县大丰镇红柳塘村村庄规划</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2021</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2035年</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》的批复</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（呼县政函〔202</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26</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号）</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tc>
      </w:tr>
      <w:tr w14:paraId="1F8F3B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004" w:type="dxa"/>
            <w:noWrap w:val="0"/>
            <w:vAlign w:val="center"/>
          </w:tcPr>
          <w:p w14:paraId="535B219A">
            <w:pPr>
              <w:adjustRightInd w:val="0"/>
              <w:snapToGrid w:val="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规划环境影响</w:t>
            </w:r>
          </w:p>
          <w:p w14:paraId="60D62AF3">
            <w:pPr>
              <w:adjustRightInd w:val="0"/>
              <w:snapToGrid w:val="0"/>
              <w:jc w:val="center"/>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评价情况</w:t>
            </w:r>
          </w:p>
        </w:tc>
        <w:tc>
          <w:tcPr>
            <w:tcW w:w="6866" w:type="dxa"/>
            <w:gridSpan w:val="3"/>
            <w:noWrap w:val="0"/>
            <w:vAlign w:val="center"/>
          </w:tcPr>
          <w:p w14:paraId="6B48A29E">
            <w:pPr>
              <w:autoSpaceDE w:val="0"/>
              <w:autoSpaceDN w:val="0"/>
              <w:adjustRightInd w:val="0"/>
              <w:snapToGrid w:val="0"/>
              <w:jc w:val="center"/>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无</w:t>
            </w:r>
          </w:p>
        </w:tc>
      </w:tr>
      <w:tr w14:paraId="6FAEED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2004" w:type="dxa"/>
            <w:noWrap w:val="0"/>
            <w:vAlign w:val="center"/>
          </w:tcPr>
          <w:p w14:paraId="068C009F">
            <w:pPr>
              <w:autoSpaceDE w:val="0"/>
              <w:autoSpaceDN w:val="0"/>
              <w:adjustRightInd w:val="0"/>
              <w:snapToGrid w:val="0"/>
              <w:jc w:val="center"/>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规划及规划环境</w:t>
            </w:r>
          </w:p>
          <w:p w14:paraId="7E74D219">
            <w:pPr>
              <w:autoSpaceDE w:val="0"/>
              <w:autoSpaceDN w:val="0"/>
              <w:adjustRightInd w:val="0"/>
              <w:snapToGrid w:val="0"/>
              <w:jc w:val="center"/>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影响评价符合性分析</w:t>
            </w:r>
          </w:p>
        </w:tc>
        <w:tc>
          <w:tcPr>
            <w:tcW w:w="6866" w:type="dxa"/>
            <w:gridSpan w:val="3"/>
            <w:noWrap w:val="0"/>
            <w:vAlign w:val="center"/>
          </w:tcPr>
          <w:p w14:paraId="0D405F66">
            <w:pPr>
              <w:pStyle w:val="64"/>
              <w:keepNext w:val="0"/>
              <w:keepLines w:val="0"/>
              <w:pageBreakBefore w:val="0"/>
              <w:widowControl w:val="0"/>
              <w:kinsoku/>
              <w:wordWrap/>
              <w:overflowPunct/>
              <w:topLinePunct w:val="0"/>
              <w:bidi w:val="0"/>
              <w:adjustRightInd w:val="0"/>
              <w:snapToGrid w:val="0"/>
              <w:spacing w:line="360" w:lineRule="auto"/>
              <w:ind w:left="0" w:firstLine="462" w:firstLineChars="200"/>
              <w:textAlignment w:val="auto"/>
              <w:rPr>
                <w:rFonts w:hint="default" w:ascii="Times New Roman" w:hAnsi="Times New Roman" w:eastAsia="宋体" w:cs="Times New Roman"/>
                <w:b/>
                <w:bCs/>
                <w:color w:val="000000" w:themeColor="text1"/>
                <w:spacing w:val="-5"/>
                <w:sz w:val="24"/>
                <w:szCs w:val="24"/>
                <w14:textFill>
                  <w14:solidFill>
                    <w14:schemeClr w14:val="tx1"/>
                  </w14:solidFill>
                </w14:textFill>
              </w:rPr>
            </w:pPr>
            <w:r>
              <w:rPr>
                <w:rFonts w:hint="default" w:ascii="Times New Roman" w:hAnsi="Times New Roman" w:eastAsia="宋体" w:cs="Times New Roman"/>
                <w:b/>
                <w:bCs/>
                <w:color w:val="000000" w:themeColor="text1"/>
                <w:spacing w:val="-5"/>
                <w:sz w:val="24"/>
                <w:szCs w:val="24"/>
                <w14:textFill>
                  <w14:solidFill>
                    <w14:schemeClr w14:val="tx1"/>
                  </w14:solidFill>
                </w14:textFill>
              </w:rPr>
              <w:t>与</w:t>
            </w:r>
            <w:r>
              <w:rPr>
                <w:rFonts w:hint="default" w:ascii="Times New Roman" w:hAnsi="Times New Roman" w:eastAsia="宋体" w:cs="Times New Roman"/>
                <w:b/>
                <w:bCs/>
                <w:color w:val="000000" w:themeColor="text1"/>
                <w:spacing w:val="-5"/>
                <w:sz w:val="24"/>
                <w:szCs w:val="24"/>
                <w:lang w:val="en-US" w:eastAsia="zh-CN"/>
                <w14:textFill>
                  <w14:solidFill>
                    <w14:schemeClr w14:val="tx1"/>
                  </w14:solidFill>
                </w14:textFill>
              </w:rPr>
              <w:t>《呼图壁县大丰镇红柳塘村村庄规划（2021-2035年）》</w:t>
            </w:r>
            <w:r>
              <w:rPr>
                <w:rFonts w:hint="default" w:ascii="Times New Roman" w:hAnsi="Times New Roman" w:eastAsia="宋体" w:cs="Times New Roman"/>
                <w:b/>
                <w:bCs/>
                <w:color w:val="000000" w:themeColor="text1"/>
                <w:spacing w:val="-5"/>
                <w:sz w:val="24"/>
                <w:szCs w:val="24"/>
                <w14:textFill>
                  <w14:solidFill>
                    <w14:schemeClr w14:val="tx1"/>
                  </w14:solidFill>
                </w14:textFill>
              </w:rPr>
              <w:t>符合性分析</w:t>
            </w:r>
          </w:p>
          <w:p w14:paraId="19CEB685">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根据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《呼图壁县大丰镇红柳塘村村庄规划</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2021</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2035年</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有关内容：</w:t>
            </w:r>
          </w:p>
          <w:p w14:paraId="7131811E">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第二十三条高标准农田整治</w:t>
            </w:r>
          </w:p>
          <w:p w14:paraId="16977CCE">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6、土壤改良</w:t>
            </w:r>
          </w:p>
          <w:p w14:paraId="090EE404">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采取掺黏、掺沙、施用调理剂、施有机肥、保护性耕作及工程措施等，开展土壤质地、酸化、盐碱化及板结等改良。</w:t>
            </w:r>
          </w:p>
          <w:p w14:paraId="6A1383D3">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8、土壤培肥</w:t>
            </w:r>
          </w:p>
          <w:p w14:paraId="435045DA">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通过土壤改良、施有机肥、种植绿肥、深耕深松等措施，保持或提高耕地地力。</w:t>
            </w:r>
          </w:p>
          <w:p w14:paraId="70720E4A">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第二十七条产业空间布局</w:t>
            </w:r>
          </w:p>
          <w:p w14:paraId="3E4596BE">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1、产业布局</w:t>
            </w:r>
          </w:p>
          <w:p w14:paraId="65D21A95">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规划形成</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一轴、三区</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的产业发展布局。</w:t>
            </w:r>
          </w:p>
          <w:p w14:paraId="695D8C35">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一轴</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东西向产村融合发展轴。</w:t>
            </w:r>
          </w:p>
          <w:p w14:paraId="5109DAD8">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产村融合发展轴</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沿G312国道沿线串联全村主要的服务节点，既是村庄交通主要通乡村旅游核心区</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以一片区村庄集中建设区为核心，带动发展农业综合体，农家乐、道，也是产业联动发展的核心区域，更是村庄的形象轴，带动村庄产业综合发展。</w:t>
            </w:r>
          </w:p>
          <w:p w14:paraId="181EF633">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三区</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乡村旅游核心区、智慧农业示范区、循环经济发展区。</w:t>
            </w:r>
          </w:p>
          <w:p w14:paraId="32C5B2C7">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旅游驿站等三产配套产业，同时配套建设各类基础设施和公共服务设施，为产业发展提供基础，促进产业融合发展。</w:t>
            </w:r>
          </w:p>
          <w:p w14:paraId="6048AE92">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智慧农业示范区</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依托一片区东侧优质棉花种植基地，打造智慧农业示范区。通过建设现代化的农业设施，引进先进的农业技术和设备，推广先进的农业理念，帮助农民提高生产效率和质量，增加收益，推动农业的转型升级。</w:t>
            </w:r>
          </w:p>
          <w:p w14:paraId="4A06E06E">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spacing w:val="-5"/>
                <w:sz w:val="24"/>
                <w:szCs w:val="24"/>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循环经济发展区</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依托智慧农业示范基地以及秸秆加工厂等企业，统筹布局村域内各项产业用地，重点发展有利于农牧业循环发展、实现高效低碳村庄的农副产品初加工产业。逐步形成粮食种植</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秸秆饲料加工</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畜禽养殖</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农畜产品加工</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废弃物变有机肥加工</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还田肥沃饲草料的全产业链循环农牧业发展模式。拓展农牧民就地就近就业渠道。</w:t>
            </w:r>
          </w:p>
          <w:p w14:paraId="12A54A9D">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eastAsia" w:ascii="Times New Roman" w:hAnsi="Times New Roman" w:eastAsia="宋体" w:cs="Times New Roman"/>
                <w:color w:val="000000" w:themeColor="text1"/>
                <w:spacing w:val="-5"/>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pacing w:val="-5"/>
                <w:sz w:val="24"/>
                <w:szCs w:val="24"/>
                <w14:textFill>
                  <w14:solidFill>
                    <w14:schemeClr w14:val="tx1"/>
                  </w14:solidFill>
                </w14:textFill>
              </w:rPr>
              <w:t>本项目选址于新疆昌吉回族自治州呼图壁县大丰镇红柳塘村丹霞路28号，</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eastAsia" w:cs="Times New Roman"/>
                <w:color w:val="000000" w:themeColor="text1"/>
                <w:sz w:val="24"/>
                <w:szCs w:val="24"/>
                <w:highlight w:val="none"/>
                <w:lang w:val="en-US" w:eastAsia="zh-CN"/>
                <w14:textFill>
                  <w14:solidFill>
                    <w14:schemeClr w14:val="tx1"/>
                  </w14:solidFill>
                </w14:textFill>
              </w:rPr>
              <w:t>有机肥</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热力</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供应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spacing w:val="-5"/>
                <w:sz w:val="24"/>
                <w:szCs w:val="24"/>
                <w14:textFill>
                  <w14:solidFill>
                    <w14:schemeClr w14:val="tx1"/>
                  </w14:solidFill>
                </w14:textFill>
              </w:rPr>
              <w:t>。项目以果木枝条、农作物秸秆等农林废弃物为原料</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进行</w:t>
            </w:r>
            <w:r>
              <w:rPr>
                <w:rFonts w:hint="default" w:ascii="Times New Roman" w:hAnsi="Times New Roman" w:eastAsia="宋体" w:cs="Times New Roman"/>
                <w:color w:val="000000" w:themeColor="text1"/>
                <w:spacing w:val="-5"/>
                <w:sz w:val="24"/>
                <w:szCs w:val="24"/>
                <w14:textFill>
                  <w14:solidFill>
                    <w14:schemeClr w14:val="tx1"/>
                  </w14:solidFill>
                </w14:textFill>
              </w:rPr>
              <w:t>炭化，炭化产物</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木炭</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经</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与</w:t>
            </w:r>
            <w:r>
              <w:rPr>
                <w:rFonts w:hint="eastAsia" w:ascii="Times New Roman" w:hAnsi="Times New Roman" w:cs="Times New Roman"/>
                <w:color w:val="000000" w:themeColor="text1"/>
                <w:spacing w:val="-5"/>
                <w:sz w:val="24"/>
                <w:szCs w:val="24"/>
                <w:highlight w:val="none"/>
                <w:lang w:val="en-US" w:eastAsia="zh-CN"/>
                <w14:textFill>
                  <w14:solidFill>
                    <w14:schemeClr w14:val="tx1"/>
                  </w14:solidFill>
                </w14:textFill>
              </w:rPr>
              <w:t>外购的</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矿源腐殖酸粉</w:t>
            </w:r>
            <w:r>
              <w:rPr>
                <w:rFonts w:hint="default" w:ascii="Times New Roman" w:hAnsi="Times New Roman" w:eastAsia="宋体" w:cs="Times New Roman"/>
                <w:color w:val="000000" w:themeColor="text1"/>
                <w:spacing w:val="-5"/>
                <w:sz w:val="24"/>
                <w:szCs w:val="24"/>
                <w:highlight w:val="none"/>
                <w14:textFill>
                  <w14:solidFill>
                    <w14:schemeClr w14:val="tx1"/>
                  </w14:solidFill>
                </w14:textFill>
              </w:rPr>
              <w:t>、</w:t>
            </w:r>
            <w:r>
              <w:rPr>
                <w:rFonts w:hint="default" w:ascii="Times New Roman" w:hAnsi="Times New Roman" w:eastAsia="宋体" w:cs="Times New Roman"/>
                <w:color w:val="000000" w:themeColor="text1"/>
                <w:spacing w:val="-5"/>
                <w:sz w:val="24"/>
                <w:szCs w:val="24"/>
                <w14:textFill>
                  <w14:solidFill>
                    <w14:schemeClr w14:val="tx1"/>
                  </w14:solidFill>
                </w14:textFill>
              </w:rPr>
              <w:t>复合生物酶粉剂</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等</w:t>
            </w:r>
            <w:r>
              <w:rPr>
                <w:rFonts w:hint="default" w:ascii="Times New Roman" w:hAnsi="Times New Roman" w:eastAsia="宋体" w:cs="Times New Roman"/>
                <w:color w:val="000000" w:themeColor="text1"/>
                <w:spacing w:val="-5"/>
                <w:sz w:val="24"/>
                <w:szCs w:val="24"/>
                <w14:textFill>
                  <w14:solidFill>
                    <w14:schemeClr w14:val="tx1"/>
                  </w14:solidFill>
                </w14:textFill>
              </w:rPr>
              <w:t>后制成有机肥，生产过程副产木醋液</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r>
              <w:rPr>
                <w:rFonts w:hint="eastAsia" w:ascii="Times New Roman" w:hAnsi="Times New Roman" w:cs="Times New Roman"/>
                <w:color w:val="000000" w:themeColor="text1"/>
                <w:spacing w:val="-5"/>
                <w:sz w:val="24"/>
                <w:szCs w:val="24"/>
                <w:lang w:val="en-US" w:eastAsia="zh-CN"/>
                <w14:textFill>
                  <w14:solidFill>
                    <w14:schemeClr w14:val="tx1"/>
                  </w14:solidFill>
                </w14:textFill>
              </w:rPr>
              <w:t>木焦油</w:t>
            </w:r>
            <w:r>
              <w:rPr>
                <w:rFonts w:hint="default" w:ascii="Times New Roman" w:hAnsi="Times New Roman" w:eastAsia="宋体" w:cs="Times New Roman"/>
                <w:color w:val="000000" w:themeColor="text1"/>
                <w:spacing w:val="-5"/>
                <w:sz w:val="24"/>
                <w:szCs w:val="24"/>
                <w14:textFill>
                  <w14:solidFill>
                    <w14:schemeClr w14:val="tx1"/>
                  </w14:solidFill>
                </w14:textFill>
              </w:rPr>
              <w:t>，有机肥与木醋液均可改良土壤、提升耕地地力。是区域循环经济产业体系的重要组成部分</w:t>
            </w:r>
            <w:r>
              <w:rPr>
                <w:rFonts w:hint="eastAsia" w:ascii="Times New Roman" w:hAnsi="Times New Roman" w:cs="Times New Roman"/>
                <w:color w:val="000000" w:themeColor="text1"/>
                <w:spacing w:val="-5"/>
                <w:sz w:val="24"/>
                <w:szCs w:val="24"/>
                <w:lang w:eastAsia="zh-CN"/>
                <w14:textFill>
                  <w14:solidFill>
                    <w14:schemeClr w14:val="tx1"/>
                  </w14:solidFill>
                </w14:textFill>
              </w:rPr>
              <w:t>。</w:t>
            </w:r>
          </w:p>
          <w:p w14:paraId="7BA5B06C">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72" w:firstLineChars="200"/>
              <w:textAlignment w:val="auto"/>
              <w:rPr>
                <w:rFonts w:hint="default" w:ascii="Times New Roman" w:hAnsi="Times New Roman" w:eastAsia="宋体" w:cs="Times New Roman"/>
                <w:color w:val="000000" w:themeColor="text1"/>
                <w:spacing w:val="-5"/>
                <w:sz w:val="24"/>
                <w:szCs w:val="24"/>
                <w:lang w:val="en-US"/>
                <w14:textFill>
                  <w14:solidFill>
                    <w14:schemeClr w14:val="tx1"/>
                  </w14:solidFill>
                </w14:textFill>
              </w:rPr>
            </w:pPr>
            <w:r>
              <w:rPr>
                <w:rFonts w:hint="eastAsia" w:ascii="Times New Roman" w:hAnsi="Times New Roman" w:eastAsia="宋体" w:cs="Times New Roman"/>
                <w:color w:val="000000" w:themeColor="text1"/>
                <w:spacing w:val="-2"/>
                <w:sz w:val="24"/>
                <w:lang w:val="en-US" w:eastAsia="zh-CN"/>
                <w14:textFill>
                  <w14:solidFill>
                    <w14:schemeClr w14:val="tx1"/>
                  </w14:solidFill>
                </w14:textFill>
              </w:rPr>
              <w:t>本项目位于规划的</w:t>
            </w:r>
            <w:r>
              <w:rPr>
                <w:rFonts w:hint="default" w:ascii="Times New Roman" w:hAnsi="Times New Roman" w:eastAsia="宋体" w:cs="Times New Roman"/>
                <w:color w:val="000000" w:themeColor="text1"/>
                <w:spacing w:val="-5"/>
                <w:sz w:val="24"/>
                <w:szCs w:val="24"/>
                <w14:textFill>
                  <w14:solidFill>
                    <w14:schemeClr w14:val="tx1"/>
                  </w14:solidFill>
                </w14:textFill>
              </w:rPr>
              <w:t>循环经济发展区</w:t>
            </w:r>
            <w:r>
              <w:rPr>
                <w:rFonts w:hint="eastAsia" w:ascii="Times New Roman" w:hAnsi="Times New Roman" w:eastAsia="宋体" w:cs="Times New Roman"/>
                <w:color w:val="000000" w:themeColor="text1"/>
                <w:spacing w:val="-5"/>
                <w:sz w:val="24"/>
                <w:szCs w:val="24"/>
                <w:lang w:eastAsia="zh-CN"/>
                <w14:textFill>
                  <w14:solidFill>
                    <w14:schemeClr w14:val="tx1"/>
                  </w14:solidFill>
                </w14:textFill>
              </w:rPr>
              <w:t>，</w:t>
            </w:r>
            <w:r>
              <w:rPr>
                <w:rFonts w:hint="eastAsia" w:ascii="Times New Roman" w:hAnsi="Times New Roman" w:eastAsia="宋体" w:cs="Times New Roman"/>
                <w:color w:val="000000" w:themeColor="text1"/>
                <w:spacing w:val="-5"/>
                <w:sz w:val="24"/>
                <w:szCs w:val="24"/>
                <w:lang w:val="en-US" w:eastAsia="zh-CN"/>
                <w14:textFill>
                  <w14:solidFill>
                    <w14:schemeClr w14:val="tx1"/>
                  </w14:solidFill>
                </w14:textFill>
              </w:rPr>
              <w:t>在村域产业布局规划图中的位置见附图1；</w:t>
            </w:r>
            <w:r>
              <w:rPr>
                <w:rFonts w:hint="eastAsia" w:ascii="Times New Roman" w:hAnsi="Times New Roman" w:eastAsia="宋体" w:cs="Times New Roman"/>
                <w:color w:val="000000" w:themeColor="text1"/>
                <w:spacing w:val="-2"/>
                <w:sz w:val="24"/>
                <w:lang w:val="en-US" w:eastAsia="zh-CN"/>
                <w14:textFill>
                  <w14:solidFill>
                    <w14:schemeClr w14:val="tx1"/>
                  </w14:solidFill>
                </w14:textFill>
              </w:rPr>
              <w:t>本项目</w:t>
            </w:r>
            <w:r>
              <w:rPr>
                <w:rFonts w:hint="default" w:ascii="Times New Roman" w:hAnsi="Times New Roman" w:eastAsia="宋体" w:cs="Times New Roman"/>
                <w:color w:val="000000" w:themeColor="text1"/>
                <w:spacing w:val="-2"/>
                <w:sz w:val="24"/>
                <w:lang w:val="en-US" w:eastAsia="zh-CN"/>
                <w14:textFill>
                  <w14:solidFill>
                    <w14:schemeClr w14:val="tx1"/>
                  </w14:solidFill>
                </w14:textFill>
              </w:rPr>
              <w:t>用地类型为</w:t>
            </w:r>
            <w:r>
              <w:rPr>
                <w:rFonts w:hint="eastAsia" w:ascii="Times New Roman" w:hAnsi="Times New Roman" w:eastAsia="宋体" w:cs="Times New Roman"/>
                <w:color w:val="000000" w:themeColor="text1"/>
                <w:spacing w:val="-2"/>
                <w:sz w:val="24"/>
                <w:lang w:val="en-US" w:eastAsia="zh-CN"/>
                <w14:textFill>
                  <w14:solidFill>
                    <w14:schemeClr w14:val="tx1"/>
                  </w14:solidFill>
                </w14:textFill>
              </w:rPr>
              <w:t>工业用地</w:t>
            </w:r>
            <w:r>
              <w:rPr>
                <w:rFonts w:hint="default" w:ascii="Times New Roman" w:hAnsi="Times New Roman" w:eastAsia="宋体" w:cs="Times New Roman"/>
                <w:color w:val="000000" w:themeColor="text1"/>
                <w:spacing w:val="-2"/>
                <w:sz w:val="24"/>
                <w:lang w:val="en-US" w:eastAsia="zh-CN"/>
                <w14:textFill>
                  <w14:solidFill>
                    <w14:schemeClr w14:val="tx1"/>
                  </w14:solidFill>
                </w14:textFill>
              </w:rPr>
              <w:t>，</w:t>
            </w:r>
            <w:r>
              <w:rPr>
                <w:rFonts w:hint="eastAsia" w:ascii="Times New Roman" w:hAnsi="Times New Roman" w:eastAsia="宋体" w:cs="Times New Roman"/>
                <w:color w:val="000000" w:themeColor="text1"/>
                <w:spacing w:val="-2"/>
                <w:sz w:val="24"/>
                <w:lang w:val="en-US" w:eastAsia="zh-CN"/>
                <w14:textFill>
                  <w14:solidFill>
                    <w14:schemeClr w14:val="tx1"/>
                  </w14:solidFill>
                </w14:textFill>
              </w:rPr>
              <w:t>在</w:t>
            </w:r>
            <w:r>
              <w:rPr>
                <w:rFonts w:hint="default" w:ascii="Times New Roman" w:hAnsi="Times New Roman" w:eastAsia="宋体" w:cs="Times New Roman"/>
                <w:color w:val="000000" w:themeColor="text1"/>
                <w:spacing w:val="-2"/>
                <w:sz w:val="24"/>
                <w:lang w:val="en-US" w:eastAsia="zh-CN"/>
                <w14:textFill>
                  <w14:solidFill>
                    <w14:schemeClr w14:val="tx1"/>
                  </w14:solidFill>
                </w14:textFill>
              </w:rPr>
              <w:t>村域建设空间规划图</w:t>
            </w:r>
            <w:r>
              <w:rPr>
                <w:rFonts w:hint="eastAsia" w:ascii="Times New Roman" w:hAnsi="Times New Roman" w:eastAsia="宋体" w:cs="Times New Roman"/>
                <w:color w:val="000000" w:themeColor="text1"/>
                <w:spacing w:val="-2"/>
                <w:sz w:val="24"/>
                <w:lang w:val="en-US" w:eastAsia="zh-CN"/>
                <w14:textFill>
                  <w14:solidFill>
                    <w14:schemeClr w14:val="tx1"/>
                  </w14:solidFill>
                </w14:textFill>
              </w:rPr>
              <w:t>中的位置</w:t>
            </w:r>
            <w:r>
              <w:rPr>
                <w:rFonts w:hint="default" w:ascii="Times New Roman" w:hAnsi="Times New Roman" w:eastAsia="宋体" w:cs="Times New Roman"/>
                <w:color w:val="000000" w:themeColor="text1"/>
                <w:spacing w:val="-2"/>
                <w:sz w:val="24"/>
                <w:lang w:val="en-US" w:eastAsia="zh-CN"/>
                <w14:textFill>
                  <w14:solidFill>
                    <w14:schemeClr w14:val="tx1"/>
                  </w14:solidFill>
                </w14:textFill>
              </w:rPr>
              <w:t>见附图</w:t>
            </w:r>
            <w:r>
              <w:rPr>
                <w:rFonts w:hint="eastAsia" w:ascii="Times New Roman" w:hAnsi="Times New Roman" w:eastAsia="宋体" w:cs="Times New Roman"/>
                <w:color w:val="000000" w:themeColor="text1"/>
                <w:spacing w:val="-2"/>
                <w:sz w:val="24"/>
                <w:lang w:val="en-US" w:eastAsia="zh-CN"/>
                <w14:textFill>
                  <w14:solidFill>
                    <w14:schemeClr w14:val="tx1"/>
                  </w14:solidFill>
                </w14:textFill>
              </w:rPr>
              <w:t>2</w:t>
            </w:r>
            <w:r>
              <w:rPr>
                <w:rFonts w:hint="default" w:ascii="Times New Roman" w:hAnsi="Times New Roman" w:eastAsia="宋体" w:cs="Times New Roman"/>
                <w:color w:val="000000" w:themeColor="text1"/>
                <w:spacing w:val="-2"/>
                <w:sz w:val="24"/>
                <w:lang w:val="en-US" w:eastAsia="zh-CN"/>
                <w14:textFill>
                  <w14:solidFill>
                    <w14:schemeClr w14:val="tx1"/>
                  </w14:solidFill>
                </w14:textFill>
              </w:rPr>
              <w:t>。</w:t>
            </w:r>
          </w:p>
          <w:p w14:paraId="745162EA">
            <w:pPr>
              <w:pStyle w:val="64"/>
              <w:keepNext w:val="0"/>
              <w:keepLines w:val="0"/>
              <w:pageBreakBefore w:val="0"/>
              <w:widowControl w:val="0"/>
              <w:kinsoku/>
              <w:wordWrap/>
              <w:overflowPunct/>
              <w:topLinePunct w:val="0"/>
              <w:autoSpaceDE/>
              <w:autoSpaceDN/>
              <w:bidi w:val="0"/>
              <w:adjustRightInd w:val="0"/>
              <w:snapToGrid w:val="0"/>
              <w:spacing w:line="360" w:lineRule="auto"/>
              <w:ind w:left="0" w:firstLine="460" w:firstLineChars="200"/>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spacing w:val="-5"/>
                <w:sz w:val="24"/>
                <w:szCs w:val="24"/>
                <w:lang w:val="en-US" w:eastAsia="zh-CN"/>
                <w14:textFill>
                  <w14:solidFill>
                    <w14:schemeClr w14:val="tx1"/>
                  </w14:solidFill>
                </w14:textFill>
              </w:rPr>
              <w:t>综上，本项目的建设</w:t>
            </w:r>
            <w:r>
              <w:rPr>
                <w:rFonts w:hint="default" w:ascii="Times New Roman" w:hAnsi="Times New Roman" w:eastAsia="宋体" w:cs="Times New Roman"/>
                <w:color w:val="000000" w:themeColor="text1"/>
                <w:spacing w:val="-5"/>
                <w:sz w:val="24"/>
                <w:szCs w:val="24"/>
                <w14:textFill>
                  <w14:solidFill>
                    <w14:schemeClr w14:val="tx1"/>
                  </w14:solidFill>
                </w14:textFill>
              </w:rPr>
              <w:t>符合</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《呼图壁县大丰镇红柳塘村村庄规划</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2021</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2035年</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5"/>
                <w:sz w:val="24"/>
                <w:szCs w:val="24"/>
                <w:lang w:val="en-US" w:eastAsia="zh-CN"/>
                <w14:textFill>
                  <w14:solidFill>
                    <w14:schemeClr w14:val="tx1"/>
                  </w14:solidFill>
                </w14:textFill>
              </w:rPr>
              <w:t>的相关要求</w:t>
            </w:r>
            <w:r>
              <w:rPr>
                <w:rFonts w:hint="default" w:ascii="Times New Roman" w:hAnsi="Times New Roman" w:eastAsia="宋体" w:cs="Times New Roman"/>
                <w:color w:val="000000" w:themeColor="text1"/>
                <w:spacing w:val="-5"/>
                <w:sz w:val="24"/>
                <w:szCs w:val="24"/>
                <w14:textFill>
                  <w14:solidFill>
                    <w14:schemeClr w14:val="tx1"/>
                  </w14:solidFill>
                </w14:textFill>
              </w:rPr>
              <w:t>。</w:t>
            </w:r>
          </w:p>
        </w:tc>
      </w:tr>
      <w:tr w14:paraId="434AE6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004" w:type="dxa"/>
            <w:noWrap w:val="0"/>
            <w:vAlign w:val="center"/>
          </w:tcPr>
          <w:p w14:paraId="3D7FA3AD">
            <w:pPr>
              <w:autoSpaceDE w:val="0"/>
              <w:autoSpaceDN w:val="0"/>
              <w:adjustRightInd w:val="0"/>
              <w:snapToGrid w:val="0"/>
              <w:jc w:val="center"/>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其他符合性分析</w:t>
            </w:r>
          </w:p>
        </w:tc>
        <w:tc>
          <w:tcPr>
            <w:tcW w:w="6866" w:type="dxa"/>
            <w:gridSpan w:val="3"/>
            <w:noWrap w:val="0"/>
            <w:vAlign w:val="center"/>
          </w:tcPr>
          <w:p w14:paraId="333674CC">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1、产业政策符合性</w:t>
            </w:r>
          </w:p>
          <w:p w14:paraId="3BDBED3D">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eastAsia" w:cs="Times New Roman"/>
                <w:color w:val="000000" w:themeColor="text1"/>
                <w:sz w:val="24"/>
                <w:szCs w:val="24"/>
                <w:highlight w:val="none"/>
                <w:lang w:val="en-US" w:eastAsia="zh-CN"/>
                <w14:textFill>
                  <w14:solidFill>
                    <w14:schemeClr w14:val="tx1"/>
                  </w14:solidFill>
                </w14:textFill>
              </w:rPr>
              <w:t>有机肥</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热力</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供应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项目，属于《产业结构调整指导目录（2024年本）》中</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第一类-鼓励类-14.现代畜牧业及水产生态健康养殖：畜禽标准化规模养殖技术开发与应用，农牧渔产品绿色生产技术开发与应用，畜禽养殖废弃物处理和资源化利用（畜禽粪污肥</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料化、能</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源化、基料化和垫料化利用，病死畜禽无害化处理），远洋渔业、人工鱼礁、渔政渔港工程、绿色环保功能性渔具示范与应用，新能源渔船，淡水与海水健康养殖及产品深加工，淡水与海水渔业资源增殖与保护，海洋牧场；17.可再生资源综合利用：农作物秸秆综合利用（秸秆收储运体系建设、秸秆肥料化利用、秸秆饲料化利用、秸秆能源化利用、秸秆基料化利用、秸秆原料化利用等），农村可再生资源综合利用开发工程（沼气工程、生物天然气工程、再生资源综合利用、沼气发电、生物质能清洁供热、秸秆气化清洁能源利用工程、废弃菌棒利用、太阳能利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属于</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鼓励类；</w:t>
            </w:r>
          </w:p>
          <w:p w14:paraId="4D9F7727">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本项目秸秆炭化采用“干馏炭化工艺”，</w:t>
            </w:r>
            <w:r>
              <w:rPr>
                <w:rFonts w:hint="eastAsia"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秸秆炭化不属于淘汰类的以木材、伐根为主要原料的土法活性炭、土法木炭生产</w:t>
            </w:r>
            <w:r>
              <w:rPr>
                <w:rFonts w:hint="eastAsia" w:cs="Times New Roman"/>
                <w:color w:val="000000" w:themeColor="text1"/>
                <w:sz w:val="24"/>
                <w:szCs w:val="24"/>
                <w:highlight w:val="none"/>
                <w:lang w:val="en-US" w:eastAsia="zh-CN"/>
                <w14:textFill>
                  <w14:solidFill>
                    <w14:schemeClr w14:val="tx1"/>
                  </w14:solidFill>
                </w14:textFill>
              </w:rPr>
              <w:t>工艺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；热风炉不属于淘汰类的一段式固定煤气发生炉（一段式固定煤气发生炉就是把煤炭变成煤气的生产设备，用空气和水蒸气当气化剂，在固定床内让煤和气化剂逆流接触反应生成混合煤气）</w:t>
            </w:r>
            <w:r>
              <w:rPr>
                <w:rFonts w:hint="eastAsia" w:cs="Times New Roman"/>
                <w:color w:val="000000" w:themeColor="text1"/>
                <w:sz w:val="24"/>
                <w:szCs w:val="24"/>
                <w:highlight w:val="none"/>
                <w:lang w:val="en-US" w:eastAsia="zh-CN"/>
                <w14:textFill>
                  <w14:solidFill>
                    <w14:schemeClr w14:val="tx1"/>
                  </w14:solidFill>
                </w14:textFill>
              </w:rPr>
              <w:t>设备</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；本项目不涉及淘汰类及限制类设备及</w:t>
            </w:r>
            <w:r>
              <w:rPr>
                <w:rFonts w:hint="eastAsia"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工艺。</w:t>
            </w:r>
          </w:p>
          <w:p w14:paraId="57B52483">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符合</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《产业结构调整指导目录（2024年本）》</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7089D5F5">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（2）不属于《市场准入负面清单（2025年版）》禁止准入类事项；</w:t>
            </w:r>
          </w:p>
          <w:p w14:paraId="707DA220">
            <w:pPr>
              <w:keepNext w:val="0"/>
              <w:keepLines w:val="0"/>
              <w:pageBreakBefore w:val="0"/>
              <w:widowControl w:val="0"/>
              <w:kinsoku/>
              <w:wordWrap w:val="0"/>
              <w:overflowPunct w:val="0"/>
              <w:topLinePunct w:val="0"/>
              <w:autoSpaceDE w:val="0"/>
              <w:autoSpaceDN w:val="0"/>
              <w:bidi w:val="0"/>
              <w:adjustRightInd w:val="0"/>
              <w:snapToGrid w:val="0"/>
              <w:spacing w:line="360" w:lineRule="auto"/>
              <w:ind w:firstLine="480" w:firstLineChars="200"/>
              <w:jc w:val="left"/>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呼图壁县发展和改革委员会在202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月</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日针对本项目出具了《</w:t>
            </w:r>
            <w:r>
              <w:rPr>
                <w:rFonts w:hint="default" w:ascii="Times New Roman" w:hAnsi="Times New Roman" w:eastAsia="宋体" w:cs="Times New Roman"/>
                <w:color w:val="000000" w:themeColor="text1"/>
                <w:sz w:val="24"/>
                <w:szCs w:val="24"/>
                <w:highlight w:val="none"/>
                <w14:textFill>
                  <w14:solidFill>
                    <w14:schemeClr w14:val="tx1"/>
                  </w14:solidFill>
                </w14:textFill>
              </w:rPr>
              <w:t>新疆维吾尔自治区投资项目备案证</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备案号：</w:t>
            </w:r>
            <w:r>
              <w:rPr>
                <w:rFonts w:hint="default" w:ascii="Times New Roman" w:hAnsi="Times New Roman" w:eastAsia="宋体" w:cs="Times New Roman"/>
                <w:color w:val="000000" w:themeColor="text1"/>
                <w:sz w:val="24"/>
                <w:szCs w:val="24"/>
                <w14:textFill>
                  <w14:solidFill>
                    <w14:schemeClr w14:val="tx1"/>
                  </w14:solidFill>
                </w14:textFill>
              </w:rPr>
              <w:t>2604231255652323000255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项目代码：</w:t>
            </w:r>
            <w:r>
              <w:rPr>
                <w:rFonts w:hint="default" w:ascii="Times New Roman" w:hAnsi="Times New Roman" w:eastAsia="宋体" w:cs="Times New Roman"/>
                <w:color w:val="000000" w:themeColor="text1"/>
                <w:sz w:val="24"/>
                <w:szCs w:val="24"/>
                <w14:textFill>
                  <w14:solidFill>
                    <w14:schemeClr w14:val="tx1"/>
                  </w14:solidFill>
                </w14:textFill>
              </w:rPr>
              <w:t>2604-652323-04-03-397357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w:t>
            </w:r>
          </w:p>
          <w:p w14:paraId="2AA16AA9">
            <w:pPr>
              <w:keepNext w:val="0"/>
              <w:keepLines w:val="0"/>
              <w:pageBreakBefore w:val="0"/>
              <w:widowControl w:val="0"/>
              <w:kinsoku/>
              <w:wordWrap w:val="0"/>
              <w:overflowPunct w:val="0"/>
              <w:topLinePunct w:val="0"/>
              <w:autoSpaceDE w:val="0"/>
              <w:autoSpaceDN w:val="0"/>
              <w:bidi w:val="0"/>
              <w:adjustRightInd w:val="0"/>
              <w:snapToGrid w:val="0"/>
              <w:spacing w:line="360" w:lineRule="auto"/>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项目名称：</w:t>
            </w:r>
            <w:r>
              <w:rPr>
                <w:rFonts w:hint="default" w:ascii="Times New Roman" w:hAnsi="Times New Roman" w:eastAsia="宋体" w:cs="Times New Roman"/>
                <w:color w:val="000000" w:themeColor="text1"/>
                <w:sz w:val="24"/>
                <w:szCs w:val="24"/>
                <w14:textFill>
                  <w14:solidFill>
                    <w14:schemeClr w14:val="tx1"/>
                  </w14:solidFill>
                </w14:textFill>
              </w:rPr>
              <w:t>呼图壁融鼎农林科技有限责任公司秸秆及粪污综合利用项目</w:t>
            </w:r>
            <w:r>
              <w:rPr>
                <w:rFonts w:hint="eastAsia"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建设性质为新建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5DC1B253">
            <w:pPr>
              <w:keepNext w:val="0"/>
              <w:keepLines w:val="0"/>
              <w:pageBreakBefore w:val="0"/>
              <w:widowControl w:val="0"/>
              <w:kinsoku w:val="0"/>
              <w:wordWrap w:val="0"/>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综上所述，本项目符合国家产业政策。</w:t>
            </w:r>
          </w:p>
          <w:p w14:paraId="10CACA82">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54" w:firstLineChars="200"/>
              <w:textAlignment w:val="auto"/>
              <w:rPr>
                <w:rFonts w:hint="default" w:ascii="Times New Roman" w:hAnsi="Times New Roman" w:eastAsia="Times New Roman" w:cs="Times New Roman"/>
                <w:b/>
                <w:bCs/>
                <w:color w:val="000000" w:themeColor="text1"/>
                <w:spacing w:val="-7"/>
                <w:highlight w:val="none"/>
                <w14:textFill>
                  <w14:solidFill>
                    <w14:schemeClr w14:val="tx1"/>
                  </w14:solidFill>
                </w14:textFill>
              </w:rPr>
            </w:pPr>
            <w:r>
              <w:rPr>
                <w:rFonts w:hint="eastAsia" w:ascii="Times New Roman" w:hAnsi="Times New Roman" w:cs="Times New Roman"/>
                <w:b/>
                <w:bCs/>
                <w:color w:val="000000" w:themeColor="text1"/>
                <w:spacing w:val="-7"/>
                <w:highlight w:val="none"/>
                <w:lang w:val="en-US" w:eastAsia="zh-CN"/>
                <w14:textFill>
                  <w14:solidFill>
                    <w14:schemeClr w14:val="tx1"/>
                  </w14:solidFill>
                </w14:textFill>
              </w:rPr>
              <w:t>2、</w:t>
            </w:r>
            <w:r>
              <w:rPr>
                <w:rFonts w:hint="eastAsia" w:ascii="Times New Roman" w:hAnsi="Times New Roman" w:eastAsia="Times New Roman" w:cs="Times New Roman"/>
                <w:b/>
                <w:bCs/>
                <w:color w:val="000000" w:themeColor="text1"/>
                <w:spacing w:val="-7"/>
                <w:highlight w:val="none"/>
                <w14:textFill>
                  <w14:solidFill>
                    <w14:schemeClr w14:val="tx1"/>
                  </w14:solidFill>
                </w14:textFill>
              </w:rPr>
              <w:t>与《</w:t>
            </w:r>
            <w:r>
              <w:rPr>
                <w:rFonts w:hint="eastAsia" w:ascii="Times New Roman" w:hAnsi="Times New Roman" w:eastAsia="Times New Roman" w:cs="Times New Roman"/>
                <w:b/>
                <w:bCs/>
                <w:color w:val="000000" w:themeColor="text1"/>
                <w:spacing w:val="-7"/>
                <w:highlight w:val="none"/>
                <w:lang w:val="en-US" w:eastAsia="zh-CN"/>
                <w14:textFill>
                  <w14:solidFill>
                    <w14:schemeClr w14:val="tx1"/>
                  </w14:solidFill>
                </w14:textFill>
              </w:rPr>
              <w:t>关于印发新疆维吾尔自治区生态环境</w:t>
            </w:r>
            <w:r>
              <w:rPr>
                <w:rFonts w:hint="default" w:ascii="Times New Roman" w:hAnsi="Times New Roman" w:eastAsia="Times New Roman" w:cs="Times New Roman"/>
                <w:b/>
                <w:bCs/>
                <w:color w:val="000000" w:themeColor="text1"/>
                <w:spacing w:val="-7"/>
                <w:highlight w:val="none"/>
                <w:lang w:val="en-US" w:eastAsia="zh-CN"/>
                <w14:textFill>
                  <w14:solidFill>
                    <w14:schemeClr w14:val="tx1"/>
                  </w14:solidFill>
                </w14:textFill>
              </w:rPr>
              <w:t>分区管控</w:t>
            </w:r>
            <w:r>
              <w:rPr>
                <w:rFonts w:hint="eastAsia" w:ascii="Times New Roman" w:hAnsi="Times New Roman" w:eastAsia="Times New Roman" w:cs="Times New Roman"/>
                <w:b/>
                <w:bCs/>
                <w:color w:val="000000" w:themeColor="text1"/>
                <w:spacing w:val="-7"/>
                <w:highlight w:val="none"/>
                <w:lang w:val="en-US" w:eastAsia="zh-CN"/>
                <w14:textFill>
                  <w14:solidFill>
                    <w14:schemeClr w14:val="tx1"/>
                  </w14:solidFill>
                </w14:textFill>
              </w:rPr>
              <w:t>动态更新成果的通知</w:t>
            </w:r>
            <w:r>
              <w:rPr>
                <w:rFonts w:hint="eastAsia" w:ascii="Times New Roman" w:hAnsi="Times New Roman" w:eastAsia="Times New Roman" w:cs="Times New Roman"/>
                <w:b/>
                <w:bCs/>
                <w:color w:val="000000" w:themeColor="text1"/>
                <w:spacing w:val="-7"/>
                <w:highlight w:val="none"/>
                <w14:textFill>
                  <w14:solidFill>
                    <w14:schemeClr w14:val="tx1"/>
                  </w14:solidFill>
                </w14:textFill>
              </w:rPr>
              <w:t>》</w:t>
            </w:r>
            <w:r>
              <w:rPr>
                <w:rFonts w:hint="eastAsia" w:ascii="Times New Roman" w:hAnsi="Times New Roman" w:eastAsia="Times New Roman" w:cs="Times New Roman"/>
                <w:b/>
                <w:bCs/>
                <w:color w:val="000000" w:themeColor="text1"/>
                <w:spacing w:val="-7"/>
                <w:highlight w:val="none"/>
                <w:lang w:eastAsia="zh-CN"/>
                <w14:textFill>
                  <w14:solidFill>
                    <w14:schemeClr w14:val="tx1"/>
                  </w14:solidFill>
                </w14:textFill>
              </w:rPr>
              <w:t>（</w:t>
            </w:r>
            <w:r>
              <w:rPr>
                <w:rFonts w:hint="eastAsia" w:ascii="Times New Roman" w:hAnsi="Times New Roman" w:eastAsia="Times New Roman" w:cs="Times New Roman"/>
                <w:b/>
                <w:bCs/>
                <w:color w:val="000000" w:themeColor="text1"/>
                <w:spacing w:val="-7"/>
                <w:highlight w:val="none"/>
                <w:lang w:val="en-US" w:eastAsia="zh-CN"/>
                <w14:textFill>
                  <w14:solidFill>
                    <w14:schemeClr w14:val="tx1"/>
                  </w14:solidFill>
                </w14:textFill>
              </w:rPr>
              <w:t>新环环评发</w:t>
            </w:r>
            <w:r>
              <w:rPr>
                <w:rFonts w:hint="default" w:ascii="Times New Roman" w:hAnsi="Times New Roman" w:eastAsia="Times New Roman" w:cs="Times New Roman"/>
                <w:b/>
                <w:bCs/>
                <w:color w:val="000000" w:themeColor="text1"/>
                <w:spacing w:val="-7"/>
                <w:highlight w:val="none"/>
                <w:lang w:val="en-US" w:eastAsia="zh-CN"/>
                <w14:textFill>
                  <w14:solidFill>
                    <w14:schemeClr w14:val="tx1"/>
                  </w14:solidFill>
                </w14:textFill>
              </w:rPr>
              <w:t>〔202</w:t>
            </w:r>
            <w:r>
              <w:rPr>
                <w:rFonts w:hint="eastAsia" w:ascii="Times New Roman" w:hAnsi="Times New Roman" w:eastAsia="Times New Roman" w:cs="Times New Roman"/>
                <w:b/>
                <w:bCs/>
                <w:color w:val="000000" w:themeColor="text1"/>
                <w:spacing w:val="-7"/>
                <w:highlight w:val="none"/>
                <w:lang w:val="en-US" w:eastAsia="zh-CN"/>
                <w14:textFill>
                  <w14:solidFill>
                    <w14:schemeClr w14:val="tx1"/>
                  </w14:solidFill>
                </w14:textFill>
              </w:rPr>
              <w:t>4</w:t>
            </w:r>
            <w:r>
              <w:rPr>
                <w:rFonts w:hint="default" w:ascii="Times New Roman" w:hAnsi="Times New Roman" w:eastAsia="Times New Roman" w:cs="Times New Roman"/>
                <w:b/>
                <w:bCs/>
                <w:color w:val="000000" w:themeColor="text1"/>
                <w:spacing w:val="-7"/>
                <w:highlight w:val="none"/>
                <w:lang w:val="en-US" w:eastAsia="zh-CN"/>
                <w14:textFill>
                  <w14:solidFill>
                    <w14:schemeClr w14:val="tx1"/>
                  </w14:solidFill>
                </w14:textFill>
              </w:rPr>
              <w:t>〕</w:t>
            </w:r>
            <w:r>
              <w:rPr>
                <w:rFonts w:hint="eastAsia" w:ascii="Times New Roman" w:hAnsi="Times New Roman" w:eastAsia="Times New Roman" w:cs="Times New Roman"/>
                <w:b/>
                <w:bCs/>
                <w:color w:val="000000" w:themeColor="text1"/>
                <w:spacing w:val="-7"/>
                <w:highlight w:val="none"/>
                <w14:textFill>
                  <w14:solidFill>
                    <w14:schemeClr w14:val="tx1"/>
                  </w14:solidFill>
                </w14:textFill>
              </w:rPr>
              <w:t>1</w:t>
            </w:r>
            <w:r>
              <w:rPr>
                <w:rFonts w:hint="eastAsia" w:ascii="Times New Roman" w:hAnsi="Times New Roman" w:eastAsia="Times New Roman" w:cs="Times New Roman"/>
                <w:b/>
                <w:bCs/>
                <w:color w:val="000000" w:themeColor="text1"/>
                <w:spacing w:val="-7"/>
                <w:highlight w:val="none"/>
                <w:lang w:val="en-US" w:eastAsia="zh-CN"/>
                <w14:textFill>
                  <w14:solidFill>
                    <w14:schemeClr w14:val="tx1"/>
                  </w14:solidFill>
                </w14:textFill>
              </w:rPr>
              <w:t>57</w:t>
            </w:r>
            <w:r>
              <w:rPr>
                <w:rFonts w:hint="eastAsia" w:ascii="Times New Roman" w:hAnsi="Times New Roman" w:eastAsia="Times New Roman" w:cs="Times New Roman"/>
                <w:b/>
                <w:bCs/>
                <w:color w:val="000000" w:themeColor="text1"/>
                <w:spacing w:val="-7"/>
                <w:highlight w:val="none"/>
                <w14:textFill>
                  <w14:solidFill>
                    <w14:schemeClr w14:val="tx1"/>
                  </w14:solidFill>
                </w14:textFill>
              </w:rPr>
              <w:t>号</w:t>
            </w:r>
            <w:r>
              <w:rPr>
                <w:rFonts w:hint="eastAsia" w:ascii="Times New Roman" w:hAnsi="Times New Roman" w:eastAsia="Times New Roman" w:cs="Times New Roman"/>
                <w:b/>
                <w:bCs/>
                <w:color w:val="000000" w:themeColor="text1"/>
                <w:spacing w:val="-7"/>
                <w:highlight w:val="none"/>
                <w:lang w:eastAsia="zh-CN"/>
                <w14:textFill>
                  <w14:solidFill>
                    <w14:schemeClr w14:val="tx1"/>
                  </w14:solidFill>
                </w14:textFill>
              </w:rPr>
              <w:t>）</w:t>
            </w:r>
            <w:r>
              <w:rPr>
                <w:rFonts w:hint="eastAsia" w:ascii="Times New Roman" w:hAnsi="Times New Roman" w:eastAsia="Times New Roman" w:cs="Times New Roman"/>
                <w:b/>
                <w:bCs/>
                <w:color w:val="000000" w:themeColor="text1"/>
                <w:spacing w:val="-7"/>
                <w:highlight w:val="none"/>
                <w14:textFill>
                  <w14:solidFill>
                    <w14:schemeClr w14:val="tx1"/>
                  </w14:solidFill>
                </w14:textFill>
              </w:rPr>
              <w:t>的符合性分析</w:t>
            </w:r>
          </w:p>
          <w:p w14:paraId="036B3BA6">
            <w:pPr>
              <w:pStyle w:val="8"/>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根据《关于印发＜新疆维吾尔自治区生态环境分区管控动态更新成果＞的通知》（新环环评发〔2024〕157号）可知，新疆维吾尔自治区共划定1777个环境管控单元，分为优先保护单元、重点管控单元和一般管控单元三类，实施分类管控。其中优先保护单元925个（主要包括生态保护红线区和生态保护红线区以外的饮用水水源保护区、水源涵养区、防风固沙区、土地沙化防控区、水土流失防控区等一般生态空间管控区）、重点管控单元713、一般管控单元139个。</w:t>
            </w:r>
          </w:p>
          <w:p w14:paraId="7A892716">
            <w:pPr>
              <w:pStyle w:val="8"/>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生态环境保护红线</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本项目位于新疆维吾尔自治区昌吉回族自治州呼图壁县大丰镇红柳塘村丹霞路28号</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本项目的建设不占用自然保护区、</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饮用水水源地、</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生态保护红线、风景名胜区</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基本农田</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等特殊生态环境敏感区。</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符合生态环境保护红线要求</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p>
          <w:p w14:paraId="1D556E1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color w:val="000000" w:themeColor="text1"/>
                <w:sz w:val="24"/>
                <w:szCs w:val="32"/>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环境质量底线</w:t>
            </w:r>
            <w:r>
              <w:rPr>
                <w:rFonts w:hint="eastAsia" w:ascii="Times New Roman" w:hAnsi="Times New Roman" w:eastAsia="宋体" w:cs="Times New Roman"/>
                <w:b/>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14:textFill>
                  <w14:solidFill>
                    <w14:schemeClr w14:val="tx1"/>
                  </w14:solidFill>
                </w14:textFill>
              </w:rPr>
              <w:t>根据项目所在区域基本污染物统计结果可知，项目周边环境空气中SO</w:t>
            </w:r>
            <w:r>
              <w:rPr>
                <w:rFonts w:hint="default" w:ascii="Times New Roman" w:hAnsi="Times New Roman" w:eastAsia="宋体" w:cs="Times New Roman"/>
                <w:b w:val="0"/>
                <w:bCs/>
                <w:color w:val="000000" w:themeColor="text1"/>
                <w:sz w:val="24"/>
                <w:szCs w:val="24"/>
                <w:vertAlign w:val="subscript"/>
                <w14:textFill>
                  <w14:solidFill>
                    <w14:schemeClr w14:val="tx1"/>
                  </w14:solidFill>
                </w14:textFill>
              </w:rPr>
              <w:t>2</w:t>
            </w:r>
            <w:r>
              <w:rPr>
                <w:rFonts w:hint="default" w:ascii="Times New Roman" w:hAnsi="Times New Roman" w:eastAsia="宋体" w:cs="Times New Roman"/>
                <w:b w:val="0"/>
                <w:bCs/>
                <w:color w:val="000000" w:themeColor="text1"/>
                <w:sz w:val="24"/>
                <w:szCs w:val="24"/>
                <w14:textFill>
                  <w14:solidFill>
                    <w14:schemeClr w14:val="tx1"/>
                  </w14:solidFill>
                </w14:textFill>
              </w:rPr>
              <w:t>、NO</w:t>
            </w:r>
            <w:r>
              <w:rPr>
                <w:rFonts w:hint="default" w:ascii="Times New Roman" w:hAnsi="Times New Roman" w:eastAsia="宋体" w:cs="Times New Roman"/>
                <w:b w:val="0"/>
                <w:bCs/>
                <w:color w:val="000000" w:themeColor="text1"/>
                <w:sz w:val="24"/>
                <w:szCs w:val="24"/>
                <w:vertAlign w:val="subscript"/>
                <w14:textFill>
                  <w14:solidFill>
                    <w14:schemeClr w14:val="tx1"/>
                  </w14:solidFill>
                </w14:textFill>
              </w:rPr>
              <w:t>2</w:t>
            </w:r>
            <w:r>
              <w:rPr>
                <w:rFonts w:hint="eastAsia" w:ascii="Times New Roman" w:hAnsi="Times New Roman" w:eastAsia="宋体" w:cs="Times New Roman"/>
                <w:b w:val="0"/>
                <w:bCs/>
                <w:color w:val="000000" w:themeColor="text1"/>
                <w:sz w:val="24"/>
                <w:szCs w:val="24"/>
                <w:vertAlign w:val="baseli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14:textFill>
                  <w14:solidFill>
                    <w14:schemeClr w14:val="tx1"/>
                  </w14:solidFill>
                </w14:textFill>
              </w:rPr>
              <w:t>PM</w:t>
            </w:r>
            <w:r>
              <w:rPr>
                <w:rFonts w:hint="default" w:ascii="Times New Roman" w:hAnsi="Times New Roman" w:eastAsia="宋体" w:cs="Times New Roman"/>
                <w:b w:val="0"/>
                <w:bCs/>
                <w:color w:val="000000" w:themeColor="text1"/>
                <w:sz w:val="24"/>
                <w:szCs w:val="24"/>
                <w:vertAlign w:val="subscript"/>
                <w14:textFill>
                  <w14:solidFill>
                    <w14:schemeClr w14:val="tx1"/>
                  </w14:solidFill>
                </w14:textFill>
              </w:rPr>
              <w:t>10</w:t>
            </w:r>
            <w:r>
              <w:rPr>
                <w:rFonts w:hint="default" w:ascii="Times New Roman" w:hAnsi="Times New Roman" w:eastAsia="宋体" w:cs="Times New Roman"/>
                <w:b w:val="0"/>
                <w:bCs/>
                <w:color w:val="000000" w:themeColor="text1"/>
                <w:sz w:val="24"/>
                <w:szCs w:val="24"/>
                <w14:textFill>
                  <w14:solidFill>
                    <w14:schemeClr w14:val="tx1"/>
                  </w14:solidFill>
                </w14:textFill>
              </w:rPr>
              <w:t>年平均质量浓度</w:t>
            </w:r>
            <w:r>
              <w:rPr>
                <w:rFonts w:hint="default" w:ascii="Times New Roman" w:hAnsi="Times New Roman" w:eastAsia="宋体" w:cs="Times New Roman"/>
                <w:b w:val="0"/>
                <w:bCs/>
                <w:color w:val="000000" w:themeColor="text1"/>
                <w:sz w:val="24"/>
                <w:szCs w:val="24"/>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14:textFill>
                  <w14:solidFill>
                    <w14:schemeClr w14:val="tx1"/>
                  </w14:solidFill>
                </w14:textFill>
              </w:rPr>
              <w:t>CO24h平均浓度第95百分位数</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及</w:t>
            </w:r>
            <w:r>
              <w:rPr>
                <w:rFonts w:hint="default" w:ascii="Times New Roman" w:hAnsi="Times New Roman" w:eastAsia="宋体" w:cs="Times New Roman"/>
                <w:b w:val="0"/>
                <w:bCs/>
                <w:color w:val="000000" w:themeColor="text1"/>
                <w:sz w:val="24"/>
                <w:szCs w:val="24"/>
                <w14:textFill>
                  <w14:solidFill>
                    <w14:schemeClr w14:val="tx1"/>
                  </w14:solidFill>
                </w14:textFill>
              </w:rPr>
              <w:t>O</w:t>
            </w:r>
            <w:r>
              <w:rPr>
                <w:rFonts w:hint="default" w:ascii="Times New Roman" w:hAnsi="Times New Roman" w:eastAsia="宋体" w:cs="Times New Roman"/>
                <w:b w:val="0"/>
                <w:bCs/>
                <w:color w:val="000000" w:themeColor="text1"/>
                <w:sz w:val="24"/>
                <w:szCs w:val="24"/>
                <w:vertAlign w:val="subscript"/>
                <w14:textFill>
                  <w14:solidFill>
                    <w14:schemeClr w14:val="tx1"/>
                  </w14:solidFill>
                </w14:textFill>
              </w:rPr>
              <w:t>3</w:t>
            </w:r>
            <w:r>
              <w:rPr>
                <w:rFonts w:hint="default" w:ascii="Times New Roman" w:hAnsi="Times New Roman" w:eastAsia="宋体" w:cs="Times New Roman"/>
                <w:b w:val="0"/>
                <w:bCs/>
                <w:color w:val="000000" w:themeColor="text1"/>
                <w:sz w:val="24"/>
                <w:szCs w:val="24"/>
                <w14:textFill>
                  <w14:solidFill>
                    <w14:schemeClr w14:val="tx1"/>
                  </w14:solidFill>
                </w14:textFill>
              </w:rPr>
              <w:t>日最大8h平均浓度第90百分位数均</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达到</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《环境空气质量标准》（GB3095-2026）中表1过渡阶段浓度限值的二级标准</w:t>
            </w:r>
            <w:r>
              <w:rPr>
                <w:rFonts w:hint="default" w:ascii="Times New Roman" w:hAnsi="Times New Roman" w:eastAsia="宋体" w:cs="Times New Roman"/>
                <w:b w:val="0"/>
                <w:bCs/>
                <w:color w:val="000000" w:themeColor="text1"/>
                <w:sz w:val="24"/>
                <w:szCs w:val="24"/>
                <w:lang w:val="en-US" w:eastAsia="zh-CN"/>
                <w14:textFill>
                  <w14:solidFill>
                    <w14:schemeClr w14:val="tx1"/>
                  </w14:solidFill>
                </w14:textFill>
              </w:rPr>
              <w:t>限值</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14:textFill>
                  <w14:solidFill>
                    <w14:schemeClr w14:val="tx1"/>
                  </w14:solidFill>
                </w14:textFill>
              </w:rPr>
              <w:t>PM</w:t>
            </w:r>
            <w:r>
              <w:rPr>
                <w:rFonts w:hint="default" w:ascii="Times New Roman" w:hAnsi="Times New Roman" w:eastAsia="宋体" w:cs="Times New Roman"/>
                <w:b w:val="0"/>
                <w:bCs/>
                <w:color w:val="000000" w:themeColor="text1"/>
                <w:sz w:val="24"/>
                <w:szCs w:val="24"/>
                <w:vertAlign w:val="subscript"/>
                <w14:textFill>
                  <w14:solidFill>
                    <w14:schemeClr w14:val="tx1"/>
                  </w14:solidFill>
                </w14:textFill>
              </w:rPr>
              <w:t>10</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和PM</w:t>
            </w:r>
            <w:r>
              <w:rPr>
                <w:rFonts w:hint="eastAsia" w:ascii="Times New Roman" w:hAnsi="Times New Roman" w:eastAsia="宋体" w:cs="Times New Roman"/>
                <w:b w:val="0"/>
                <w:bCs/>
                <w:color w:val="000000" w:themeColor="text1"/>
                <w:sz w:val="24"/>
                <w:szCs w:val="24"/>
                <w:vertAlign w:val="subscript"/>
                <w:lang w:val="en-US" w:eastAsia="zh-CN"/>
                <w14:textFill>
                  <w14:solidFill>
                    <w14:schemeClr w14:val="tx1"/>
                  </w14:solidFill>
                </w14:textFill>
              </w:rPr>
              <w:t>2.5</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超过《环境空气质量标准》（GB3095-2026）中表1过渡阶段浓度限值的二级标准要求，本项目所在区域为不达标区域</w:t>
            </w:r>
            <w:r>
              <w:rPr>
                <w:rFonts w:hint="default" w:ascii="Times New Roman" w:hAnsi="Times New Roman" w:cs="Times New Roman"/>
                <w:color w:val="000000" w:themeColor="text1"/>
                <w:sz w:val="24"/>
                <w:szCs w:val="32"/>
                <w:highlight w:val="none"/>
                <w14:textFill>
                  <w14:solidFill>
                    <w14:schemeClr w14:val="tx1"/>
                  </w14:solidFill>
                </w14:textFill>
              </w:rPr>
              <w:t>。</w:t>
            </w:r>
          </w:p>
          <w:p w14:paraId="60C0E8B8">
            <w:pPr>
              <w:pStyle w:val="8"/>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本项目施工期及运营期废水、固废均得到合理处置，废气达标排放，</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对</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区域</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环境影响较小，不会突破区域环境质量底线</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62C9501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资源利用上线</w:t>
            </w:r>
            <w:r>
              <w:rPr>
                <w:rFonts w:hint="eastAsia" w:ascii="Times New Roman" w:hAnsi="Times New Roman" w:eastAsia="宋体" w:cs="Times New Roman"/>
                <w:b/>
                <w:bCs/>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本项</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目在营运过程中消耗一定的资源，项目对区域资源消耗量相对于区域资源利用总量较少，符合资源利用上线要求。</w:t>
            </w:r>
          </w:p>
          <w:p w14:paraId="630A45E8">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生态环境准入清单：</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eastAsia" w:cs="Times New Roman"/>
                <w:color w:val="000000" w:themeColor="text1"/>
                <w:sz w:val="24"/>
                <w:szCs w:val="24"/>
                <w:highlight w:val="none"/>
                <w:lang w:val="en-US" w:eastAsia="zh-CN"/>
                <w14:textFill>
                  <w14:solidFill>
                    <w14:schemeClr w14:val="tx1"/>
                  </w14:solidFill>
                </w14:textFill>
              </w:rPr>
              <w:t>有机肥</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热力</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供应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，与</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生态环境分区管控符合性分析详见表1</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p>
          <w:p w14:paraId="7E6AA3A8">
            <w:pPr>
              <w:pStyle w:val="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表</w:t>
            </w:r>
            <w:r>
              <w:rPr>
                <w:rFonts w:hint="eastAsia"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 xml:space="preserve">1-1 </w:t>
            </w: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 xml:space="preserve">  与《</w:t>
            </w:r>
            <w:r>
              <w:rPr>
                <w:rFonts w:hint="eastAsia"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印发新疆维吾尔自治区生态环境</w:t>
            </w: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分区管控</w:t>
            </w:r>
            <w:r>
              <w:rPr>
                <w:rFonts w:hint="eastAsia"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动态更新成果的通知》（新环环评发</w:t>
            </w: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〔202</w:t>
            </w:r>
            <w:r>
              <w:rPr>
                <w:rFonts w:hint="eastAsia"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4</w:t>
            </w: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w:t>
            </w:r>
            <w:r>
              <w:rPr>
                <w:rFonts w:hint="eastAsia"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157号）</w:t>
            </w:r>
            <w:r>
              <w:rPr>
                <w:rFonts w:hint="default" w:ascii="Times New Roman" w:hAnsi="Times New Roman" w:eastAsia="宋体" w:cs="Times New Roman"/>
                <w:b/>
                <w:bCs/>
                <w:color w:val="000000" w:themeColor="text1"/>
                <w:kern w:val="2"/>
                <w:sz w:val="21"/>
                <w:szCs w:val="24"/>
                <w:highlight w:val="none"/>
                <w:lang w:val="en-US" w:eastAsia="zh-CN" w:bidi="ar-SA"/>
                <w14:textFill>
                  <w14:solidFill>
                    <w14:schemeClr w14:val="tx1"/>
                  </w14:solidFill>
                </w14:textFill>
              </w:rPr>
              <w:t>》的符合性分析</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67"/>
              <w:gridCol w:w="405"/>
              <w:gridCol w:w="3356"/>
              <w:gridCol w:w="2137"/>
              <w:gridCol w:w="385"/>
            </w:tblGrid>
            <w:tr w14:paraId="2B3C23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2" w:type="dxa"/>
                  <w:gridSpan w:val="2"/>
                  <w:tcBorders>
                    <w:tl2br w:val="nil"/>
                    <w:tr2bl w:val="nil"/>
                  </w:tcBorders>
                  <w:noWrap w:val="0"/>
                  <w:vAlign w:val="center"/>
                </w:tcPr>
                <w:p w14:paraId="55C8CC6B">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t>管控维度</w:t>
                  </w:r>
                </w:p>
              </w:tc>
              <w:tc>
                <w:tcPr>
                  <w:tcW w:w="3356" w:type="dxa"/>
                  <w:tcBorders>
                    <w:tl2br w:val="nil"/>
                    <w:tr2bl w:val="nil"/>
                  </w:tcBorders>
                  <w:noWrap w:val="0"/>
                  <w:vAlign w:val="center"/>
                </w:tcPr>
                <w:p w14:paraId="0065AFE3">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t>管控要求</w:t>
                  </w:r>
                </w:p>
              </w:tc>
              <w:tc>
                <w:tcPr>
                  <w:tcW w:w="2137" w:type="dxa"/>
                  <w:tcBorders>
                    <w:tl2br w:val="nil"/>
                    <w:tr2bl w:val="nil"/>
                  </w:tcBorders>
                  <w:noWrap w:val="0"/>
                  <w:vAlign w:val="center"/>
                </w:tcPr>
                <w:p w14:paraId="28BF384C">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t>本项目情况</w:t>
                  </w:r>
                </w:p>
              </w:tc>
              <w:tc>
                <w:tcPr>
                  <w:tcW w:w="385" w:type="dxa"/>
                  <w:tcBorders>
                    <w:tl2br w:val="nil"/>
                    <w:tr2bl w:val="nil"/>
                  </w:tcBorders>
                  <w:noWrap w:val="0"/>
                  <w:vAlign w:val="center"/>
                </w:tcPr>
                <w:p w14:paraId="21FA94FF">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t>符合性</w:t>
                  </w:r>
                </w:p>
              </w:tc>
            </w:tr>
            <w:tr w14:paraId="1C2DBF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7" w:type="dxa"/>
                  <w:vMerge w:val="restart"/>
                  <w:tcBorders>
                    <w:tl2br w:val="nil"/>
                    <w:tr2bl w:val="nil"/>
                  </w:tcBorders>
                  <w:noWrap w:val="0"/>
                  <w:vAlign w:val="center"/>
                </w:tcPr>
                <w:p w14:paraId="4C07CBA6">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A1空间布局约束</w:t>
                  </w:r>
                </w:p>
              </w:tc>
              <w:tc>
                <w:tcPr>
                  <w:tcW w:w="405" w:type="dxa"/>
                  <w:tcBorders>
                    <w:tl2br w:val="nil"/>
                    <w:tr2bl w:val="nil"/>
                  </w:tcBorders>
                  <w:noWrap w:val="0"/>
                  <w:vAlign w:val="center"/>
                </w:tcPr>
                <w:p w14:paraId="62375675">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A1.1禁止开发建设的活动</w:t>
                  </w:r>
                </w:p>
              </w:tc>
              <w:tc>
                <w:tcPr>
                  <w:tcW w:w="3356" w:type="dxa"/>
                  <w:tcBorders>
                    <w:tl2br w:val="nil"/>
                    <w:tr2bl w:val="nil"/>
                  </w:tcBorders>
                  <w:noWrap w:val="0"/>
                  <w:vAlign w:val="center"/>
                </w:tcPr>
                <w:p w14:paraId="0E2C98C6">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【A1.1-1】禁止新建、扩建《产业结构调整指导目录（2024年本）》中淘汰类项目。禁止引入《市场准入负面清单（2022年版）》禁止准入类事项</w:t>
                  </w:r>
                  <w:r>
                    <w:rPr>
                      <w:rFonts w:hint="eastAsia" w:ascii="Times New Roman" w:hAnsi="Times New Roman"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137" w:type="dxa"/>
                  <w:tcBorders>
                    <w:tl2br w:val="nil"/>
                    <w:tr2bl w:val="nil"/>
                  </w:tcBorders>
                  <w:noWrap w:val="0"/>
                  <w:vAlign w:val="center"/>
                </w:tcPr>
                <w:p w14:paraId="4DD302BF">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根据《产业结构调整指导目录（2024年本）》，本项目为鼓励类项目</w:t>
                  </w: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，项目不涉及淘汰类及限制类设备及生产工艺</w:t>
                  </w:r>
                  <w:r>
                    <w:rPr>
                      <w:rFonts w:hint="eastAsia" w:ascii="Times New Roman" w:hAnsi="Times New Roman" w:cs="Times New Roman"/>
                      <w:b w:val="0"/>
                      <w:bCs w:val="0"/>
                      <w:snapToGrid w:val="0"/>
                      <w:color w:val="000000" w:themeColor="text1"/>
                      <w:kern w:val="0"/>
                      <w:sz w:val="21"/>
                      <w:szCs w:val="21"/>
                      <w:highlight w:val="none"/>
                      <w:lang w:val="en-US" w:eastAsia="zh-CN" w:bidi="ar-SA"/>
                      <w14:textFill>
                        <w14:solidFill>
                          <w14:schemeClr w14:val="tx1"/>
                        </w14:solidFill>
                      </w14:textFill>
                    </w:rPr>
                    <w:t>；不属于</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《市场准入负面清单（202</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5</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年版）》禁止准入类事项</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符合国家产业政策。</w:t>
                  </w:r>
                </w:p>
              </w:tc>
              <w:tc>
                <w:tcPr>
                  <w:tcW w:w="385" w:type="dxa"/>
                  <w:tcBorders>
                    <w:tl2br w:val="nil"/>
                    <w:tr2bl w:val="nil"/>
                  </w:tcBorders>
                  <w:noWrap w:val="0"/>
                  <w:vAlign w:val="center"/>
                </w:tcPr>
                <w:p w14:paraId="6683AF89">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符合</w:t>
                  </w:r>
                </w:p>
              </w:tc>
            </w:tr>
            <w:tr w14:paraId="7A1152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7" w:type="dxa"/>
                  <w:vMerge w:val="continue"/>
                  <w:tcBorders>
                    <w:tl2br w:val="nil"/>
                    <w:tr2bl w:val="nil"/>
                  </w:tcBorders>
                  <w:noWrap w:val="0"/>
                  <w:vAlign w:val="center"/>
                </w:tcPr>
                <w:p w14:paraId="727D3107">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p>
              </w:tc>
              <w:tc>
                <w:tcPr>
                  <w:tcW w:w="405" w:type="dxa"/>
                  <w:tcBorders>
                    <w:tl2br w:val="nil"/>
                    <w:tr2bl w:val="nil"/>
                  </w:tcBorders>
                  <w:noWrap w:val="0"/>
                  <w:vAlign w:val="center"/>
                </w:tcPr>
                <w:p w14:paraId="787BF2DF">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A1.4其他布局要求</w:t>
                  </w:r>
                </w:p>
              </w:tc>
              <w:tc>
                <w:tcPr>
                  <w:tcW w:w="3356" w:type="dxa"/>
                  <w:tcBorders>
                    <w:tl2br w:val="nil"/>
                    <w:tr2bl w:val="nil"/>
                  </w:tcBorders>
                  <w:noWrap w:val="0"/>
                  <w:vAlign w:val="center"/>
                </w:tcPr>
                <w:p w14:paraId="689ACD24">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r>
                    <w:rPr>
                      <w:rFonts w:hint="eastAsia" w:ascii="Times New Roman" w:hAnsi="Times New Roman"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137" w:type="dxa"/>
                  <w:tcBorders>
                    <w:tl2br w:val="nil"/>
                    <w:tr2bl w:val="nil"/>
                  </w:tcBorders>
                  <w:noWrap w:val="0"/>
                  <w:vAlign w:val="center"/>
                </w:tcPr>
                <w:p w14:paraId="4E81F986">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本项目的建设符合《呼图壁县大丰镇红柳塘村村庄规划（2021-2035年）》的相关要求。</w:t>
                  </w:r>
                </w:p>
              </w:tc>
              <w:tc>
                <w:tcPr>
                  <w:tcW w:w="385" w:type="dxa"/>
                  <w:tcBorders>
                    <w:tl2br w:val="nil"/>
                    <w:tr2bl w:val="nil"/>
                  </w:tcBorders>
                  <w:noWrap w:val="0"/>
                  <w:vAlign w:val="center"/>
                </w:tcPr>
                <w:p w14:paraId="6785E2F4">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符合</w:t>
                  </w:r>
                </w:p>
              </w:tc>
            </w:tr>
            <w:tr w14:paraId="01B2B7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7" w:type="dxa"/>
                  <w:vMerge w:val="continue"/>
                  <w:tcBorders>
                    <w:tl2br w:val="nil"/>
                    <w:tr2bl w:val="nil"/>
                  </w:tcBorders>
                  <w:noWrap w:val="0"/>
                  <w:vAlign w:val="center"/>
                </w:tcPr>
                <w:p w14:paraId="7B10F6E2">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p>
              </w:tc>
              <w:tc>
                <w:tcPr>
                  <w:tcW w:w="405" w:type="dxa"/>
                  <w:tcBorders>
                    <w:tl2br w:val="nil"/>
                    <w:tr2bl w:val="nil"/>
                  </w:tcBorders>
                  <w:noWrap w:val="0"/>
                  <w:vAlign w:val="center"/>
                </w:tcPr>
                <w:p w14:paraId="11546DB9">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A2.1污染物削减/替代要求</w:t>
                  </w:r>
                </w:p>
              </w:tc>
              <w:tc>
                <w:tcPr>
                  <w:tcW w:w="3356" w:type="dxa"/>
                  <w:tcBorders>
                    <w:tl2br w:val="nil"/>
                    <w:tr2bl w:val="nil"/>
                  </w:tcBorders>
                  <w:noWrap w:val="0"/>
                  <w:vAlign w:val="center"/>
                </w:tcPr>
                <w:p w14:paraId="3509C759">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2.2-9】加强种植业污染防治。深入推进化肥农药减量增效，全面推广测土配方施肥，引导推动有机肥、绿肥替代化肥，集成推广化肥减量增效技术模式，加强农药包装废弃物管理。实施农膜回收行动，健全农田废旧地膜回收利用体系，提高废旧地膜回收率。推进农作物秸秆综合利用，不断完善秸秆收储运用体系，形成布局合理、多元利用的秸秆综合利用格局</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137" w:type="dxa"/>
                  <w:tcBorders>
                    <w:tl2br w:val="nil"/>
                    <w:tr2bl w:val="nil"/>
                  </w:tcBorders>
                  <w:noWrap w:val="0"/>
                  <w:vAlign w:val="center"/>
                </w:tcPr>
                <w:p w14:paraId="704692FE">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项目以果木枝条、农作物秸秆等农林废弃物为原料</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进行</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炭化，</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炭块</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经复配</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矿源腐殖酸粉</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、复合生物酶粉剂后制成有机肥，生产过程副产木醋液，有机肥与木醋液均可改良土壤、提升耕地地力。</w:t>
                  </w:r>
                </w:p>
              </w:tc>
              <w:tc>
                <w:tcPr>
                  <w:tcW w:w="385" w:type="dxa"/>
                  <w:tcBorders>
                    <w:tl2br w:val="nil"/>
                    <w:tr2bl w:val="nil"/>
                  </w:tcBorders>
                  <w:noWrap w:val="0"/>
                  <w:vAlign w:val="center"/>
                </w:tcPr>
                <w:p w14:paraId="00296C4D">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符合</w:t>
                  </w:r>
                </w:p>
              </w:tc>
            </w:tr>
            <w:tr w14:paraId="6E5A01F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7" w:type="dxa"/>
                  <w:vMerge w:val="restart"/>
                  <w:tcBorders>
                    <w:tl2br w:val="nil"/>
                    <w:tr2bl w:val="nil"/>
                  </w:tcBorders>
                  <w:noWrap w:val="0"/>
                  <w:vAlign w:val="center"/>
                </w:tcPr>
                <w:p w14:paraId="7399C90C">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A3环境风险防控</w:t>
                  </w:r>
                </w:p>
              </w:tc>
              <w:tc>
                <w:tcPr>
                  <w:tcW w:w="405" w:type="dxa"/>
                  <w:vMerge w:val="restart"/>
                  <w:tcBorders>
                    <w:tl2br w:val="nil"/>
                    <w:tr2bl w:val="nil"/>
                  </w:tcBorders>
                  <w:noWrap w:val="0"/>
                  <w:vAlign w:val="center"/>
                </w:tcPr>
                <w:p w14:paraId="03A600CA">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p>
              </w:tc>
              <w:tc>
                <w:tcPr>
                  <w:tcW w:w="3356" w:type="dxa"/>
                  <w:tcBorders>
                    <w:tl2br w:val="nil"/>
                    <w:tr2bl w:val="nil"/>
                  </w:tcBorders>
                  <w:noWrap w:val="0"/>
                  <w:vAlign w:val="center"/>
                </w:tcPr>
                <w:p w14:paraId="444FDBA6">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3.2-4】加强环境风险预警防控。加强涉危险废物企业、涉重金属企业、化工园区、集中式饮用水水源地及重点流域环境风险调查评估，实施分类分级风险管控，协同推进重点区域、流域生态环境污染综合防治、风险防控与生态修复</w:t>
                  </w:r>
                  <w:r>
                    <w:rPr>
                      <w:rFonts w:hint="eastAsia" w:ascii="Times New Roman" w:hAnsi="Times New Roman"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137" w:type="dxa"/>
                  <w:tcBorders>
                    <w:tl2br w:val="nil"/>
                    <w:tr2bl w:val="nil"/>
                  </w:tcBorders>
                  <w:noWrap w:val="0"/>
                  <w:vAlign w:val="center"/>
                </w:tcPr>
                <w:p w14:paraId="0EE4D704">
                  <w:pPr>
                    <w:jc w:val="cente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本项目运营期</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产生的废润滑油、废润滑油桶及含油废抹布收集后暂存于危废贮存库，定期委托有危废处理资质的单位清运处置</w:t>
                  </w: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385" w:type="dxa"/>
                  <w:tcBorders>
                    <w:tl2br w:val="nil"/>
                    <w:tr2bl w:val="nil"/>
                  </w:tcBorders>
                  <w:noWrap w:val="0"/>
                  <w:vAlign w:val="center"/>
                </w:tcPr>
                <w:p w14:paraId="5BACBAD4">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符合</w:t>
                  </w:r>
                </w:p>
              </w:tc>
            </w:tr>
            <w:tr w14:paraId="3281DA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7" w:type="dxa"/>
                  <w:vMerge w:val="continue"/>
                  <w:tcBorders>
                    <w:tl2br w:val="nil"/>
                    <w:tr2bl w:val="nil"/>
                  </w:tcBorders>
                  <w:noWrap w:val="0"/>
                  <w:vAlign w:val="center"/>
                </w:tcPr>
                <w:p w14:paraId="14490A43">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p>
              </w:tc>
              <w:tc>
                <w:tcPr>
                  <w:tcW w:w="405" w:type="dxa"/>
                  <w:vMerge w:val="continue"/>
                  <w:tcBorders>
                    <w:tl2br w:val="nil"/>
                    <w:tr2bl w:val="nil"/>
                  </w:tcBorders>
                  <w:noWrap w:val="0"/>
                  <w:vAlign w:val="center"/>
                </w:tcPr>
                <w:p w14:paraId="54A681C6">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p>
              </w:tc>
              <w:tc>
                <w:tcPr>
                  <w:tcW w:w="3356" w:type="dxa"/>
                  <w:tcBorders>
                    <w:tl2br w:val="nil"/>
                    <w:tr2bl w:val="nil"/>
                  </w:tcBorders>
                  <w:noWrap w:val="0"/>
                  <w:vAlign w:val="center"/>
                </w:tcPr>
                <w:p w14:paraId="70AC9DAF">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137" w:type="dxa"/>
                  <w:tcBorders>
                    <w:tl2br w:val="nil"/>
                    <w:tr2bl w:val="nil"/>
                  </w:tcBorders>
                  <w:noWrap w:val="0"/>
                  <w:vAlign w:val="center"/>
                </w:tcPr>
                <w:p w14:paraId="30824F56">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w:t>
                  </w:r>
                  <w:r>
                    <w:rPr>
                      <w:rFonts w:hint="eastAsia" w:cs="Times New Roman"/>
                      <w:color w:val="000000" w:themeColor="text1"/>
                      <w:sz w:val="21"/>
                      <w:szCs w:val="21"/>
                      <w:highlight w:val="none"/>
                      <w:lang w:val="en-US" w:eastAsia="zh-CN"/>
                      <w14:textFill>
                        <w14:solidFill>
                          <w14:schemeClr w14:val="tx1"/>
                        </w14:solidFill>
                      </w14:textFill>
                    </w:rPr>
                    <w:t>目在</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做好环评提出的各项风险的预防和应急措施的前提下，发生污染事故的概率较小，所产生的环境风险可以控制在可接受风险水平之内，同时要求企业编制突发环境事件应急预案，并定期开展突发环境事件应急培训及演练</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，并</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做好区域</w:t>
                  </w: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风险防控</w:t>
                  </w:r>
                  <w:r>
                    <w:rPr>
                      <w:rFonts w:hint="eastAsia" w:ascii="Times New Roman" w:hAnsi="Times New Roman" w:eastAsia="宋体" w:cs="Times New Roman"/>
                      <w:color w:val="000000" w:themeColor="text1"/>
                      <w:spacing w:val="7"/>
                      <w:sz w:val="21"/>
                      <w:szCs w:val="21"/>
                      <w:lang w:val="en-US" w:eastAsia="zh-CN"/>
                      <w14:textFill>
                        <w14:solidFill>
                          <w14:schemeClr w14:val="tx1"/>
                        </w14:solidFill>
                      </w14:textFill>
                    </w:rPr>
                    <w:t>的衔接。</w:t>
                  </w:r>
                </w:p>
              </w:tc>
              <w:tc>
                <w:tcPr>
                  <w:tcW w:w="385" w:type="dxa"/>
                  <w:tcBorders>
                    <w:tl2br w:val="nil"/>
                    <w:tr2bl w:val="nil"/>
                  </w:tcBorders>
                  <w:noWrap w:val="0"/>
                  <w:vAlign w:val="center"/>
                </w:tcPr>
                <w:p w14:paraId="103371CE">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符合</w:t>
                  </w:r>
                </w:p>
              </w:tc>
            </w:tr>
            <w:tr w14:paraId="18D2CC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7" w:type="dxa"/>
                  <w:vMerge w:val="continue"/>
                  <w:tcBorders>
                    <w:tl2br w:val="nil"/>
                    <w:tr2bl w:val="nil"/>
                  </w:tcBorders>
                  <w:noWrap w:val="0"/>
                  <w:vAlign w:val="center"/>
                </w:tcPr>
                <w:p w14:paraId="2AAB8BD8">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p>
              </w:tc>
              <w:tc>
                <w:tcPr>
                  <w:tcW w:w="405" w:type="dxa"/>
                  <w:tcBorders>
                    <w:tl2br w:val="nil"/>
                    <w:tr2bl w:val="nil"/>
                  </w:tcBorders>
                  <w:noWrap w:val="0"/>
                  <w:vAlign w:val="center"/>
                </w:tcPr>
                <w:p w14:paraId="08AF23A7">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A4.5资源综合</w:t>
                  </w:r>
                </w:p>
              </w:tc>
              <w:tc>
                <w:tcPr>
                  <w:tcW w:w="3356" w:type="dxa"/>
                  <w:tcBorders>
                    <w:tl2br w:val="nil"/>
                    <w:tr2bl w:val="nil"/>
                  </w:tcBorders>
                  <w:noWrap w:val="0"/>
                  <w:vAlign w:val="center"/>
                </w:tcPr>
                <w:p w14:paraId="508CAEB4">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A4.5-4】发展生态种植、生态养殖，建立农业循环经济发展模式，促进农业固体废物综合利用。鼓励和引导农民采用增施有机肥秸秆还田、种植绿肥等技术，持续减少化肥农药使用比例。加大畜禽粪污和秸秆资源化利用先进技术和新型市场模式的集成推广，推动形成长效运行机制</w:t>
                  </w:r>
                  <w:r>
                    <w:rPr>
                      <w:rFonts w:hint="eastAsia" w:ascii="Times New Roman" w:hAnsi="Times New Roman"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137" w:type="dxa"/>
                  <w:tcBorders>
                    <w:tl2br w:val="nil"/>
                    <w:tr2bl w:val="nil"/>
                  </w:tcBorders>
                  <w:noWrap w:val="0"/>
                  <w:vAlign w:val="center"/>
                </w:tcPr>
                <w:p w14:paraId="30B7C335">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项目以果木枝条、农作物秸秆等农林废弃物为原料开展炭化加工，炭化产物经复配</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矿源腐殖酸粉</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、复合生物酶粉剂后制成有机肥，生产过程副产木醋液，有机肥与木醋液均可改良土壤、提升耕地地力。</w:t>
                  </w:r>
                </w:p>
              </w:tc>
              <w:tc>
                <w:tcPr>
                  <w:tcW w:w="385" w:type="dxa"/>
                  <w:tcBorders>
                    <w:tl2br w:val="nil"/>
                    <w:tr2bl w:val="nil"/>
                  </w:tcBorders>
                  <w:noWrap w:val="0"/>
                  <w:vAlign w:val="center"/>
                </w:tcPr>
                <w:p w14:paraId="1B0EA09B">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符合</w:t>
                  </w:r>
                </w:p>
              </w:tc>
            </w:tr>
          </w:tbl>
          <w:p w14:paraId="1FA08501">
            <w:pPr>
              <w:pageBreakBefore w:val="0"/>
              <w:kinsoku/>
              <w:wordWrap/>
              <w:overflowPunct/>
              <w:topLinePunct w:val="0"/>
              <w:autoSpaceDE w:val="0"/>
              <w:autoSpaceDN w:val="0"/>
              <w:bidi w:val="0"/>
              <w:adjustRightInd w:val="0"/>
              <w:snapToGrid w:val="0"/>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综上，本项目符合《关于印发新疆维吾尔自治区生态环境分区管控动态更新成果的通知》（新环环评发〔2024〕157号）的相关规定。</w:t>
            </w:r>
          </w:p>
          <w:p w14:paraId="38ED3E56">
            <w:pPr>
              <w:pStyle w:val="64"/>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Times New Roman" w:hAnsi="Times New Roman" w:eastAsia="Times New Roman" w:cs="Times New Roman"/>
                <w:b/>
                <w:bCs/>
                <w:color w:val="000000" w:themeColor="text1"/>
                <w:spacing w:val="-7"/>
                <w:lang w:val="en-US" w:eastAsia="zh-CN"/>
                <w14:textFill>
                  <w14:solidFill>
                    <w14:schemeClr w14:val="tx1"/>
                  </w14:solidFill>
                </w14:textFill>
              </w:rPr>
            </w:pPr>
            <w:r>
              <w:rPr>
                <w:rFonts w:hint="eastAsia" w:ascii="Times New Roman" w:hAnsi="Times New Roman" w:eastAsia="Times New Roman" w:cs="Times New Roman"/>
                <w:b/>
                <w:bCs/>
                <w:color w:val="000000" w:themeColor="text1"/>
                <w:spacing w:val="-7"/>
                <w:lang w:val="en-US" w:eastAsia="zh-CN"/>
                <w14:textFill>
                  <w14:solidFill>
                    <w14:schemeClr w14:val="tx1"/>
                  </w14:solidFill>
                </w14:textFill>
              </w:rPr>
              <w:t>3、</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与《昌吉回族自治州生态环境准入清单（2024年）》</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符合性分析</w:t>
            </w:r>
          </w:p>
          <w:p w14:paraId="77C34006">
            <w:pPr>
              <w:pageBreakBefore w:val="0"/>
              <w:kinsoku/>
              <w:wordWrap/>
              <w:overflowPunct/>
              <w:topLinePunct w:val="0"/>
              <w:autoSpaceDE w:val="0"/>
              <w:autoSpaceDN w:val="0"/>
              <w:bidi w:val="0"/>
              <w:adjustRightInd w:val="0"/>
              <w:snapToGrid w:val="0"/>
              <w:spacing w:line="360" w:lineRule="auto"/>
              <w:ind w:firstLine="480" w:firstLineChars="20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位于</w:t>
            </w:r>
            <w:r>
              <w:rPr>
                <w:rFonts w:hint="default" w:ascii="Times New Roman" w:hAnsi="Times New Roman" w:eastAsia="宋体" w:cs="Times New Roman"/>
                <w:color w:val="000000" w:themeColor="text1"/>
                <w:sz w:val="24"/>
                <w:szCs w:val="24"/>
                <w14:textFill>
                  <w14:solidFill>
                    <w14:schemeClr w14:val="tx1"/>
                  </w14:solidFill>
                </w14:textFill>
              </w:rPr>
              <w:t>新疆维吾尔自治区昌吉回族自治州呼图壁县大丰镇</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红柳塘村</w:t>
            </w:r>
            <w:r>
              <w:rPr>
                <w:rFonts w:hint="default" w:ascii="Times New Roman" w:hAnsi="Times New Roman" w:eastAsia="宋体" w:cs="Times New Roman"/>
                <w:color w:val="000000" w:themeColor="text1"/>
                <w:sz w:val="24"/>
                <w:szCs w:val="24"/>
                <w14:textFill>
                  <w14:solidFill>
                    <w14:schemeClr w14:val="tx1"/>
                  </w14:solidFill>
                </w14:textFill>
              </w:rPr>
              <w:t>丹霞路28号</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根据《昌吉回族自治州生态环境准入清单（2024年）》</w:t>
            </w:r>
            <w:r>
              <w:rPr>
                <w:rFonts w:hint="default" w:ascii="Times New Roman" w:hAnsi="Times New Roman" w:eastAsia="宋体" w:cs="Times New Roman"/>
                <w:snapToGrid/>
                <w:color w:val="000000" w:themeColor="text1"/>
                <w:kern w:val="2"/>
                <w:sz w:val="24"/>
                <w:szCs w:val="24"/>
                <w:u w:val="none" w:color="auto"/>
                <w:lang w:val="en-US" w:eastAsia="zh-CN"/>
                <w14:textFill>
                  <w14:solidFill>
                    <w14:schemeClr w14:val="tx1"/>
                  </w14:solidFill>
                </w14:textFill>
              </w:rPr>
              <w:t>文件</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本项目所属的管控</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单</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元为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“昌吉州西部限采区”，属于重点管控单元，管控单元编号：ZH65232320004。</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本项目在</w:t>
            </w:r>
            <w:r>
              <w:rPr>
                <w:rFonts w:hint="default" w:ascii="Times New Roman" w:hAnsi="Times New Roman" w:cs="Times New Roman"/>
                <w:color w:val="000000" w:themeColor="text1"/>
                <w:sz w:val="24"/>
                <w:szCs w:val="24"/>
                <w:highlight w:val="none"/>
                <w14:textFill>
                  <w14:solidFill>
                    <w14:schemeClr w14:val="tx1"/>
                  </w14:solidFill>
                </w14:textFill>
              </w:rPr>
              <w:t>环境管控单元</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位置</w:t>
            </w:r>
            <w:r>
              <w:rPr>
                <w:rFonts w:hint="default" w:ascii="Times New Roman" w:hAnsi="Times New Roman" w:cs="Times New Roman"/>
                <w:color w:val="000000" w:themeColor="text1"/>
                <w:sz w:val="24"/>
                <w:szCs w:val="24"/>
                <w:highlight w:val="none"/>
                <w14:textFill>
                  <w14:solidFill>
                    <w14:schemeClr w14:val="tx1"/>
                  </w14:solidFill>
                </w14:textFill>
              </w:rPr>
              <w:t>图中的位置见</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附</w:t>
            </w:r>
            <w:r>
              <w:rPr>
                <w:rFonts w:hint="default" w:ascii="Times New Roman" w:hAnsi="Times New Roman" w:cs="Times New Roman"/>
                <w:color w:val="000000" w:themeColor="text1"/>
                <w:sz w:val="24"/>
                <w:szCs w:val="24"/>
                <w:highlight w:val="none"/>
                <w14:textFill>
                  <w14:solidFill>
                    <w14:schemeClr w14:val="tx1"/>
                  </w14:solidFill>
                </w14:textFill>
              </w:rPr>
              <w:t>图</w:t>
            </w:r>
            <w:r>
              <w:rPr>
                <w:rFonts w:hint="eastAsia" w:cs="Times New Roman"/>
                <w:color w:val="000000" w:themeColor="text1"/>
                <w:sz w:val="24"/>
                <w:szCs w:val="24"/>
                <w:highlight w:val="none"/>
                <w:lang w:val="en-US" w:eastAsia="zh-CN"/>
                <w14:textFill>
                  <w14:solidFill>
                    <w14:schemeClr w14:val="tx1"/>
                  </w14:solidFill>
                </w14:textFill>
              </w:rPr>
              <w:t>3</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本项目与其符合情况见下表</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1-2。</w:t>
            </w:r>
          </w:p>
          <w:p w14:paraId="22A558EE">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contextualSpacing/>
              <w:jc w:val="center"/>
              <w:textAlignment w:val="auto"/>
              <w:outlineLvl w:val="9"/>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表1</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与</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昌吉回族自治州生态环境准入清单（2024年）</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符合性分析</w:t>
            </w:r>
          </w:p>
          <w:tbl>
            <w:tblPr>
              <w:tblStyle w:val="30"/>
              <w:tblW w:w="499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03"/>
              <w:gridCol w:w="2805"/>
              <w:gridCol w:w="2441"/>
              <w:gridCol w:w="360"/>
            </w:tblGrid>
            <w:tr w14:paraId="25EDD40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81" w:type="pct"/>
                  <w:tcBorders>
                    <w:tl2br w:val="nil"/>
                    <w:tr2bl w:val="nil"/>
                  </w:tcBorders>
                  <w:noWrap w:val="0"/>
                  <w:vAlign w:val="center"/>
                </w:tcPr>
                <w:p w14:paraId="02962273">
                  <w:pPr>
                    <w:pStyle w:val="13"/>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vertAlign w:val="baseline"/>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管控单元名称</w:t>
                  </w:r>
                </w:p>
              </w:tc>
              <w:tc>
                <w:tcPr>
                  <w:tcW w:w="2412" w:type="pct"/>
                  <w:gridSpan w:val="2"/>
                  <w:tcBorders>
                    <w:tl2br w:val="nil"/>
                    <w:tr2bl w:val="nil"/>
                  </w:tcBorders>
                  <w:noWrap w:val="0"/>
                  <w:vAlign w:val="center"/>
                </w:tcPr>
                <w:p w14:paraId="502DA121">
                  <w:pPr>
                    <w:pStyle w:val="13"/>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管控要求</w:t>
                  </w:r>
                </w:p>
              </w:tc>
              <w:tc>
                <w:tcPr>
                  <w:tcW w:w="1835" w:type="pct"/>
                  <w:tcBorders>
                    <w:tl2br w:val="nil"/>
                    <w:tr2bl w:val="nil"/>
                  </w:tcBorders>
                  <w:noWrap w:val="0"/>
                  <w:vAlign w:val="center"/>
                </w:tcPr>
                <w:p w14:paraId="751611E9">
                  <w:pPr>
                    <w:pStyle w:val="13"/>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vertAlign w:val="baseline"/>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项目情况</w:t>
                  </w:r>
                </w:p>
              </w:tc>
              <w:tc>
                <w:tcPr>
                  <w:tcW w:w="270" w:type="pct"/>
                  <w:tcBorders>
                    <w:tl2br w:val="nil"/>
                    <w:tr2bl w:val="nil"/>
                  </w:tcBorders>
                  <w:noWrap w:val="0"/>
                  <w:vAlign w:val="center"/>
                </w:tcPr>
                <w:p w14:paraId="58F0A03C">
                  <w:pPr>
                    <w:pStyle w:val="13"/>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vertAlign w:val="baseline"/>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符合性</w:t>
                  </w:r>
                </w:p>
              </w:tc>
            </w:tr>
            <w:tr w14:paraId="1A71FEC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591" w:hRule="atLeast"/>
                <w:jc w:val="center"/>
              </w:trPr>
              <w:tc>
                <w:tcPr>
                  <w:tcW w:w="481" w:type="pct"/>
                  <w:vMerge w:val="restart"/>
                  <w:tcBorders>
                    <w:tl2br w:val="nil"/>
                    <w:tr2bl w:val="nil"/>
                  </w:tcBorders>
                  <w:noWrap w:val="0"/>
                  <w:vAlign w:val="center"/>
                </w:tcPr>
                <w:p w14:paraId="7AA9B5CA">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14:textFill>
                        <w14:solidFill>
                          <w14:schemeClr w14:val="tx1"/>
                        </w14:solidFill>
                      </w14:textFill>
                    </w:rPr>
                  </w:pPr>
                  <w:r>
                    <w:rPr>
                      <w:rFonts w:hint="eastAsia" w:ascii="Times New Roman" w:hAnsi="Times New Roman" w:cs="Times New Roman"/>
                      <w:color w:val="000000" w:themeColor="text1"/>
                      <w:spacing w:val="7"/>
                      <w:sz w:val="21"/>
                      <w:szCs w:val="21"/>
                      <w:lang w:val="en-US" w:eastAsia="zh-CN"/>
                      <w14:textFill>
                        <w14:solidFill>
                          <w14:schemeClr w14:val="tx1"/>
                        </w14:solidFill>
                      </w14:textFill>
                    </w:rPr>
                    <w:t>“昌吉州西部限采区”</w:t>
                  </w: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，管控单元编号：ZH65232320004</w:t>
                  </w:r>
                </w:p>
              </w:tc>
              <w:tc>
                <w:tcPr>
                  <w:tcW w:w="303" w:type="pct"/>
                  <w:tcBorders>
                    <w:tl2br w:val="nil"/>
                    <w:tr2bl w:val="nil"/>
                  </w:tcBorders>
                  <w:noWrap w:val="0"/>
                  <w:vAlign w:val="center"/>
                </w:tcPr>
                <w:p w14:paraId="2AD74374">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14:textFill>
                        <w14:solidFill>
                          <w14:schemeClr w14:val="tx1"/>
                        </w14:solidFill>
                      </w14:textFill>
                    </w:rPr>
                  </w:pP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空间布局约束</w:t>
                  </w:r>
                </w:p>
              </w:tc>
              <w:tc>
                <w:tcPr>
                  <w:tcW w:w="2109" w:type="pct"/>
                  <w:tcBorders>
                    <w:tl2br w:val="nil"/>
                    <w:tr2bl w:val="nil"/>
                  </w:tcBorders>
                  <w:noWrap w:val="0"/>
                  <w:vAlign w:val="center"/>
                </w:tcPr>
                <w:p w14:paraId="67367FD8">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1835" w:type="pct"/>
                  <w:tcBorders>
                    <w:tl2br w:val="nil"/>
                    <w:tr2bl w:val="nil"/>
                  </w:tcBorders>
                  <w:noWrap w:val="0"/>
                  <w:vAlign w:val="center"/>
                </w:tcPr>
                <w:p w14:paraId="4ABE507A">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宋体" w:hAnsi="宋体" w:eastAsia="宋体" w:cs="宋体"/>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70" w:type="pct"/>
                  <w:tcBorders>
                    <w:tl2br w:val="nil"/>
                    <w:tr2bl w:val="nil"/>
                  </w:tcBorders>
                  <w:noWrap w:val="0"/>
                  <w:vAlign w:val="center"/>
                </w:tcPr>
                <w:p w14:paraId="3BBC7307">
                  <w:pPr>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r>
            <w:tr w14:paraId="0D12B1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1" w:type="pct"/>
                  <w:vMerge w:val="continue"/>
                  <w:tcBorders>
                    <w:tl2br w:val="nil"/>
                    <w:tr2bl w:val="nil"/>
                  </w:tcBorders>
                  <w:noWrap w:val="0"/>
                  <w:vAlign w:val="center"/>
                </w:tcPr>
                <w:p w14:paraId="63DD2099">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14:textFill>
                        <w14:solidFill>
                          <w14:schemeClr w14:val="tx1"/>
                        </w14:solidFill>
                      </w14:textFill>
                    </w:rPr>
                  </w:pPr>
                </w:p>
              </w:tc>
              <w:tc>
                <w:tcPr>
                  <w:tcW w:w="303" w:type="pct"/>
                  <w:tcBorders>
                    <w:tl2br w:val="nil"/>
                    <w:tr2bl w:val="nil"/>
                  </w:tcBorders>
                  <w:noWrap w:val="0"/>
                  <w:vAlign w:val="center"/>
                </w:tcPr>
                <w:p w14:paraId="5C9E42F0">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污染物排放管控</w:t>
                  </w:r>
                </w:p>
              </w:tc>
              <w:tc>
                <w:tcPr>
                  <w:tcW w:w="2109" w:type="pct"/>
                  <w:tcBorders>
                    <w:tl2br w:val="nil"/>
                    <w:tr2bl w:val="nil"/>
                  </w:tcBorders>
                  <w:noWrap w:val="0"/>
                  <w:vAlign w:val="center"/>
                </w:tcPr>
                <w:p w14:paraId="38D266E9">
                  <w:pPr>
                    <w:pStyle w:val="11"/>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40" w:lineRule="auto"/>
                    <w:ind w:firstLine="0" w:firstLineChars="0"/>
                    <w:jc w:val="center"/>
                    <w:textAlignment w:val="auto"/>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1835" w:type="pct"/>
                  <w:tcBorders>
                    <w:tl2br w:val="nil"/>
                    <w:tr2bl w:val="nil"/>
                  </w:tcBorders>
                  <w:noWrap w:val="0"/>
                  <w:vAlign w:val="center"/>
                </w:tcPr>
                <w:p w14:paraId="0E4BE63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70" w:type="pct"/>
                  <w:tcBorders>
                    <w:tl2br w:val="nil"/>
                    <w:tr2bl w:val="nil"/>
                  </w:tcBorders>
                  <w:noWrap w:val="0"/>
                  <w:vAlign w:val="center"/>
                </w:tcPr>
                <w:p w14:paraId="450369A8">
                  <w:pPr>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r>
            <w:tr w14:paraId="385F37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1" w:type="pct"/>
                  <w:vMerge w:val="continue"/>
                  <w:tcBorders>
                    <w:tl2br w:val="nil"/>
                    <w:tr2bl w:val="nil"/>
                  </w:tcBorders>
                  <w:noWrap w:val="0"/>
                  <w:vAlign w:val="center"/>
                </w:tcPr>
                <w:p w14:paraId="6F01E292">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14:textFill>
                        <w14:solidFill>
                          <w14:schemeClr w14:val="tx1"/>
                        </w14:solidFill>
                      </w14:textFill>
                    </w:rPr>
                  </w:pPr>
                </w:p>
              </w:tc>
              <w:tc>
                <w:tcPr>
                  <w:tcW w:w="303" w:type="pct"/>
                  <w:tcBorders>
                    <w:tl2br w:val="nil"/>
                    <w:tr2bl w:val="nil"/>
                  </w:tcBorders>
                  <w:noWrap w:val="0"/>
                  <w:vAlign w:val="center"/>
                </w:tcPr>
                <w:p w14:paraId="58780705">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pPr>
                </w:p>
                <w:p w14:paraId="2C73325C">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环境风险防控</w:t>
                  </w:r>
                </w:p>
                <w:p w14:paraId="3E05C9FA">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pPr>
                </w:p>
              </w:tc>
              <w:tc>
                <w:tcPr>
                  <w:tcW w:w="2109" w:type="pct"/>
                  <w:tcBorders>
                    <w:tl2br w:val="nil"/>
                    <w:tr2bl w:val="nil"/>
                  </w:tcBorders>
                  <w:noWrap w:val="0"/>
                  <w:vAlign w:val="center"/>
                </w:tcPr>
                <w:p w14:paraId="7FDDC7CC">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pacing w:val="7"/>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pacing w:val="7"/>
                      <w:sz w:val="21"/>
                      <w:szCs w:val="21"/>
                      <w:lang w:val="en-US" w:eastAsia="zh-CN"/>
                      <w14:textFill>
                        <w14:solidFill>
                          <w14:schemeClr w14:val="tx1"/>
                        </w14:solidFill>
                      </w14:textFill>
                    </w:rPr>
                    <w:t>/</w:t>
                  </w:r>
                </w:p>
              </w:tc>
              <w:tc>
                <w:tcPr>
                  <w:tcW w:w="1835" w:type="pct"/>
                  <w:tcBorders>
                    <w:tl2br w:val="nil"/>
                    <w:tr2bl w:val="nil"/>
                  </w:tcBorders>
                  <w:noWrap w:val="0"/>
                  <w:vAlign w:val="center"/>
                </w:tcPr>
                <w:p w14:paraId="63C77319">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c>
                <w:tcPr>
                  <w:tcW w:w="270" w:type="pct"/>
                  <w:tcBorders>
                    <w:tl2br w:val="nil"/>
                    <w:tr2bl w:val="nil"/>
                  </w:tcBorders>
                  <w:noWrap w:val="0"/>
                  <w:vAlign w:val="center"/>
                </w:tcPr>
                <w:p w14:paraId="04130D03">
                  <w:pPr>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w:t>
                  </w:r>
                </w:p>
              </w:tc>
            </w:tr>
            <w:tr w14:paraId="2C0827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1" w:type="pct"/>
                  <w:vMerge w:val="continue"/>
                  <w:tcBorders>
                    <w:tl2br w:val="nil"/>
                    <w:tr2bl w:val="nil"/>
                  </w:tcBorders>
                  <w:noWrap w:val="0"/>
                  <w:vAlign w:val="center"/>
                </w:tcPr>
                <w:p w14:paraId="314CB07F">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14:textFill>
                        <w14:solidFill>
                          <w14:schemeClr w14:val="tx1"/>
                        </w14:solidFill>
                      </w14:textFill>
                    </w:rPr>
                  </w:pPr>
                </w:p>
              </w:tc>
              <w:tc>
                <w:tcPr>
                  <w:tcW w:w="303" w:type="pct"/>
                  <w:tcBorders>
                    <w:tl2br w:val="nil"/>
                    <w:tr2bl w:val="nil"/>
                  </w:tcBorders>
                  <w:noWrap w:val="0"/>
                  <w:vAlign w:val="center"/>
                </w:tcPr>
                <w:p w14:paraId="3121080A">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资源利用效率</w:t>
                  </w:r>
                </w:p>
              </w:tc>
              <w:tc>
                <w:tcPr>
                  <w:tcW w:w="2109" w:type="pct"/>
                  <w:tcBorders>
                    <w:tl2br w:val="nil"/>
                    <w:tr2bl w:val="nil"/>
                  </w:tcBorders>
                  <w:noWrap w:val="0"/>
                  <w:vAlign w:val="center"/>
                </w:tcPr>
                <w:p w14:paraId="47BBAD26">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1、县级以上人民政府水行政主管部门应当合理配置地表水、地下水，从严控制地下水取水总量。2、严守水资源开发利用控制、用水效率控制和水功能区限制纳污</w:t>
                  </w:r>
                  <w:r>
                    <w:rPr>
                      <w:rFonts w:hint="eastAsia" w:ascii="Times New Roman" w:hAnsi="Times New Roman" w:eastAsia="宋体" w:cs="Times New Roman"/>
                      <w:color w:val="000000" w:themeColor="text1"/>
                      <w:spacing w:val="7"/>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三条红线</w:t>
                  </w:r>
                  <w:r>
                    <w:rPr>
                      <w:rFonts w:hint="eastAsia" w:ascii="Times New Roman" w:hAnsi="Times New Roman" w:eastAsia="宋体" w:cs="Times New Roman"/>
                      <w:color w:val="000000" w:themeColor="text1"/>
                      <w:spacing w:val="7"/>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，严格实行区域用水总量和强度控制，强化用水定额管理。推进地下水超采综合治理。</w:t>
                  </w:r>
                </w:p>
                <w:p w14:paraId="39DE4733">
                  <w:pPr>
                    <w:pStyle w:val="64"/>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pPr>
                </w:p>
              </w:tc>
              <w:tc>
                <w:tcPr>
                  <w:tcW w:w="1835" w:type="pct"/>
                  <w:tcBorders>
                    <w:tl2br w:val="nil"/>
                    <w:tr2bl w:val="nil"/>
                  </w:tcBorders>
                  <w:noWrap w:val="0"/>
                  <w:vAlign w:val="center"/>
                </w:tcPr>
                <w:p w14:paraId="30784EF1">
                  <w:pPr>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本项目新鲜水来源于市政给水管网，不涉及地下水开采</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项目用水由</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市政</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给水管网供应，</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用水量较小，</w:t>
                  </w:r>
                  <w:r>
                    <w:rPr>
                      <w:rFonts w:hint="default"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不挤占当地的农业用水、生态用水和居民用水</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，符合</w:t>
                  </w:r>
                  <w:r>
                    <w:rPr>
                      <w:rFonts w:hint="eastAsia" w:ascii="Times New Roman" w:hAnsi="Times New Roman" w:eastAsia="宋体" w:cs="Times New Roman"/>
                      <w:color w:val="000000" w:themeColor="text1"/>
                      <w:spacing w:val="7"/>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pacing w:val="7"/>
                      <w:sz w:val="21"/>
                      <w:szCs w:val="21"/>
                      <w:lang w:val="en-US" w:eastAsia="zh-CN"/>
                      <w14:textFill>
                        <w14:solidFill>
                          <w14:schemeClr w14:val="tx1"/>
                        </w14:solidFill>
                      </w14:textFill>
                    </w:rPr>
                    <w:t>三条红线</w:t>
                  </w:r>
                  <w:r>
                    <w:rPr>
                      <w:rFonts w:hint="eastAsia" w:ascii="Times New Roman" w:hAnsi="Times New Roman" w:eastAsia="宋体" w:cs="Times New Roman"/>
                      <w:color w:val="000000" w:themeColor="text1"/>
                      <w:spacing w:val="7"/>
                      <w:sz w:val="21"/>
                      <w:szCs w:val="21"/>
                      <w:lang w:val="en-US" w:eastAsia="zh-CN"/>
                      <w14:textFill>
                        <w14:solidFill>
                          <w14:schemeClr w14:val="tx1"/>
                        </w14:solidFill>
                      </w14:textFill>
                    </w:rPr>
                    <w:t>”控制要求。</w:t>
                  </w:r>
                </w:p>
              </w:tc>
              <w:tc>
                <w:tcPr>
                  <w:tcW w:w="270" w:type="pct"/>
                  <w:tcBorders>
                    <w:tl2br w:val="nil"/>
                    <w:tr2bl w:val="nil"/>
                  </w:tcBorders>
                  <w:noWrap w:val="0"/>
                  <w:vAlign w:val="center"/>
                </w:tcPr>
                <w:p w14:paraId="0FDE0879">
                  <w:pPr>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符合</w:t>
                  </w:r>
                </w:p>
              </w:tc>
            </w:tr>
          </w:tbl>
          <w:p w14:paraId="429A80A5">
            <w:pPr>
              <w:keepNext w:val="0"/>
              <w:keepLines w:val="0"/>
              <w:pageBreakBefore w:val="0"/>
              <w:widowControl/>
              <w:kinsoku/>
              <w:wordWrap/>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4</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与《新疆生态环境保护“十四五”规划》符合性分析</w:t>
            </w:r>
          </w:p>
          <w:p w14:paraId="56AFAF67">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与《新疆生态环境保护“十四五”规划》符合性分析见表1-3。</w:t>
            </w:r>
          </w:p>
          <w:p w14:paraId="09626EE0">
            <w:pPr>
              <w:adjustRightInd w:val="0"/>
              <w:snapToGrid w:val="0"/>
              <w:spacing w:line="240" w:lineRule="auto"/>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表1</w:t>
            </w:r>
            <w:r>
              <w:rPr>
                <w:rFonts w:hint="eastAsia"/>
                <w:b/>
                <w:bCs/>
                <w:color w:val="000000" w:themeColor="text1"/>
                <w:kern w:val="0"/>
                <w:szCs w:val="21"/>
                <w:highlight w:val="none"/>
                <w:lang w:val="en-US" w:eastAsia="zh-CN"/>
                <w14:textFill>
                  <w14:solidFill>
                    <w14:schemeClr w14:val="tx1"/>
                  </w14:solidFill>
                </w14:textFill>
              </w:rPr>
              <w:t>-3</w:t>
            </w:r>
            <w:r>
              <w:rPr>
                <w:b/>
                <w:bCs/>
                <w:color w:val="000000" w:themeColor="text1"/>
                <w:kern w:val="0"/>
                <w:szCs w:val="21"/>
                <w:highlight w:val="none"/>
                <w14:textFill>
                  <w14:solidFill>
                    <w14:schemeClr w14:val="tx1"/>
                  </w14:solidFill>
                </w14:textFill>
              </w:rPr>
              <w:t xml:space="preserve">   与</w:t>
            </w:r>
            <w:r>
              <w:rPr>
                <w:rFonts w:hint="eastAsia"/>
                <w:b/>
                <w:bCs/>
                <w:color w:val="000000" w:themeColor="text1"/>
                <w:kern w:val="0"/>
                <w:szCs w:val="21"/>
                <w:highlight w:val="none"/>
                <w:lang w:eastAsia="zh-CN"/>
                <w14:textFill>
                  <w14:solidFill>
                    <w14:schemeClr w14:val="tx1"/>
                  </w14:solidFill>
                </w14:textFill>
              </w:rPr>
              <w:t>《新疆生态环境保护“十四五”规划》符合性分析</w:t>
            </w:r>
            <w:r>
              <w:rPr>
                <w:b/>
                <w:bCs/>
                <w:color w:val="000000" w:themeColor="text1"/>
                <w:kern w:val="0"/>
                <w:szCs w:val="21"/>
                <w:highlight w:val="none"/>
                <w14:textFill>
                  <w14:solidFill>
                    <w14:schemeClr w14:val="tx1"/>
                  </w14:solidFill>
                </w14:textFill>
              </w:rPr>
              <w:t>一览表</w:t>
            </w:r>
          </w:p>
          <w:tbl>
            <w:tblPr>
              <w:tblStyle w:val="29"/>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219"/>
              <w:gridCol w:w="2448"/>
              <w:gridCol w:w="982"/>
            </w:tblGrid>
            <w:tr w14:paraId="5BC109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27" w:type="dxa"/>
                  <w:noWrap w:val="0"/>
                  <w:vAlign w:val="center"/>
                </w:tcPr>
                <w:p w14:paraId="7A4906CA">
                  <w:pPr>
                    <w:adjustRightInd w:val="0"/>
                    <w:snapToGrid w:val="0"/>
                    <w:jc w:val="center"/>
                    <w:rPr>
                      <w:rFonts w:hint="default" w:eastAsia="宋体"/>
                      <w:b/>
                      <w:bCs/>
                      <w:color w:val="000000" w:themeColor="text1"/>
                      <w:szCs w:val="21"/>
                      <w:highlight w:val="none"/>
                      <w:lang w:val="en-US" w:eastAsia="zh-CN"/>
                      <w14:textFill>
                        <w14:solidFill>
                          <w14:schemeClr w14:val="tx1"/>
                        </w14:solidFill>
                      </w14:textFill>
                    </w:rPr>
                  </w:pPr>
                  <w:r>
                    <w:rPr>
                      <w:rFonts w:hint="eastAsia"/>
                      <w:b/>
                      <w:bCs/>
                      <w:color w:val="000000" w:themeColor="text1"/>
                      <w:szCs w:val="21"/>
                      <w:highlight w:val="none"/>
                      <w:lang w:val="en-US" w:eastAsia="zh-CN"/>
                      <w14:textFill>
                        <w14:solidFill>
                          <w14:schemeClr w14:val="tx1"/>
                        </w14:solidFill>
                      </w14:textFill>
                    </w:rPr>
                    <w:t>相关条款要求</w:t>
                  </w:r>
                </w:p>
              </w:tc>
              <w:tc>
                <w:tcPr>
                  <w:tcW w:w="2454" w:type="dxa"/>
                  <w:noWrap w:val="0"/>
                  <w:vAlign w:val="center"/>
                </w:tcPr>
                <w:p w14:paraId="5FE5AA8D">
                  <w:pPr>
                    <w:adjustRightInd w:val="0"/>
                    <w:snapToGrid w:val="0"/>
                    <w:jc w:val="center"/>
                    <w:rPr>
                      <w:rFonts w:hint="default" w:eastAsia="宋体"/>
                      <w:b/>
                      <w:bCs/>
                      <w:color w:val="000000" w:themeColor="text1"/>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本项目概况</w:t>
                  </w:r>
                </w:p>
              </w:tc>
              <w:tc>
                <w:tcPr>
                  <w:tcW w:w="985" w:type="dxa"/>
                  <w:noWrap w:val="0"/>
                  <w:vAlign w:val="center"/>
                </w:tcPr>
                <w:p w14:paraId="7B517F3A">
                  <w:pPr>
                    <w:adjustRightInd w:val="0"/>
                    <w:snapToGrid w:val="0"/>
                    <w:jc w:val="center"/>
                    <w:rPr>
                      <w:rFonts w:hint="eastAsia"/>
                      <w:b/>
                      <w:bCs/>
                      <w:color w:val="000000" w:themeColor="text1"/>
                      <w:szCs w:val="21"/>
                      <w:highlight w:val="none"/>
                      <w:lang w:val="en-US" w:eastAsia="zh-CN"/>
                      <w14:textFill>
                        <w14:solidFill>
                          <w14:schemeClr w14:val="tx1"/>
                        </w14:solidFill>
                      </w14:textFill>
                    </w:rPr>
                  </w:pPr>
                  <w:r>
                    <w:rPr>
                      <w:rFonts w:hint="eastAsia"/>
                      <w:b/>
                      <w:bCs/>
                      <w:color w:val="000000" w:themeColor="text1"/>
                      <w:szCs w:val="21"/>
                      <w:highlight w:val="none"/>
                      <w:lang w:val="en-US" w:eastAsia="zh-CN"/>
                      <w14:textFill>
                        <w14:solidFill>
                          <w14:schemeClr w14:val="tx1"/>
                        </w14:solidFill>
                      </w14:textFill>
                    </w:rPr>
                    <w:t>符合性</w:t>
                  </w:r>
                </w:p>
                <w:p w14:paraId="391DE65B">
                  <w:pPr>
                    <w:adjustRightInd w:val="0"/>
                    <w:snapToGrid w:val="0"/>
                    <w:jc w:val="center"/>
                    <w:rPr>
                      <w:rFonts w:hint="default" w:eastAsia="宋体"/>
                      <w:b/>
                      <w:bCs/>
                      <w:color w:val="000000" w:themeColor="text1"/>
                      <w:szCs w:val="21"/>
                      <w:highlight w:val="none"/>
                      <w:lang w:val="en-US" w:eastAsia="zh-CN"/>
                      <w14:textFill>
                        <w14:solidFill>
                          <w14:schemeClr w14:val="tx1"/>
                        </w14:solidFill>
                      </w14:textFill>
                    </w:rPr>
                  </w:pPr>
                  <w:r>
                    <w:rPr>
                      <w:rFonts w:hint="eastAsia"/>
                      <w:b/>
                      <w:bCs/>
                      <w:color w:val="000000" w:themeColor="text1"/>
                      <w:szCs w:val="21"/>
                      <w:highlight w:val="none"/>
                      <w:lang w:val="en-US" w:eastAsia="zh-CN"/>
                      <w14:textFill>
                        <w14:solidFill>
                          <w14:schemeClr w14:val="tx1"/>
                        </w14:solidFill>
                      </w14:textFill>
                    </w:rPr>
                    <w:t>分析</w:t>
                  </w:r>
                </w:p>
              </w:tc>
            </w:tr>
            <w:tr w14:paraId="2A4579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27" w:type="dxa"/>
                  <w:noWrap w:val="0"/>
                  <w:vAlign w:val="center"/>
                </w:tcPr>
                <w:p w14:paraId="499B7E62">
                  <w:pPr>
                    <w:adjustRightInd w:val="0"/>
                    <w:snapToGrid w:val="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强化危险废物全过程环境监管。建立健全各类危险废物重点监管单位清单，全面实行危险废物清单化管理。督促各类危险废物产生单位和经营单位依法申报危险废物产生处置情况，报备管理计划，做好信息公开工作，规范运行危险废物转移联单。精准实施《国家危险废物名录》，加强危险废物经营许可、跨省转移以及危险废物鉴别等工作。加强全区危险废物环境监管机构和人才队伍建设，逐步建立健全自治区、地州市二级危险废物环境管理技术支撑体系，提升危险废物监管能力、鉴别能力与应急处置技术支持能力。推动工业固体废物依法纳入排污许可管理。升级完善自治区固体废物动态信息管理平台及视频监控系统，有序推进危险废物产生、收集、贮存、转移、利用和处置等全过程监控和信息化追溯。深入开展危险废物规范化环境管理评估考核与专项整治，严厉打击非法排放、倾倒、转移、利用、处置危险废物等环境违法犯罪行为。</w:t>
                  </w:r>
                </w:p>
              </w:tc>
              <w:tc>
                <w:tcPr>
                  <w:tcW w:w="2454" w:type="dxa"/>
                  <w:noWrap w:val="0"/>
                  <w:vAlign w:val="center"/>
                </w:tcPr>
                <w:p w14:paraId="7142F2B5">
                  <w:pPr>
                    <w:widowControl w:val="0"/>
                    <w:kinsoku/>
                    <w:autoSpaceDE/>
                    <w:autoSpaceDN/>
                    <w:adjustRightInd/>
                    <w:snapToGrid/>
                    <w:spacing w:line="240" w:lineRule="auto"/>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本项目运营期</w:t>
                  </w:r>
                  <w:r>
                    <w:rPr>
                      <w:rFonts w:hint="eastAsia" w:cs="Times New Roman"/>
                      <w:color w:val="000000" w:themeColor="text1"/>
                      <w:kern w:val="2"/>
                      <w:sz w:val="21"/>
                      <w:szCs w:val="21"/>
                      <w:highlight w:val="none"/>
                      <w:lang w:val="en-US" w:eastAsia="zh-CN" w:bidi="ar-SA"/>
                      <w14:textFill>
                        <w14:solidFill>
                          <w14:schemeClr w14:val="tx1"/>
                        </w14:solidFill>
                      </w14:textFill>
                    </w:rPr>
                    <w:t>产生的</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废润滑油</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废润滑油桶</w:t>
                  </w:r>
                  <w:r>
                    <w:rPr>
                      <w:rFonts w:hint="eastAsia" w:cs="Times New Roman"/>
                      <w:snapToGrid/>
                      <w:color w:val="000000" w:themeColor="text1"/>
                      <w:kern w:val="2"/>
                      <w:sz w:val="21"/>
                      <w:szCs w:val="21"/>
                      <w:highlight w:val="none"/>
                      <w:lang w:val="en-US" w:eastAsia="zh-CN"/>
                      <w14:textFill>
                        <w14:solidFill>
                          <w14:schemeClr w14:val="tx1"/>
                        </w14:solidFill>
                      </w14:textFill>
                    </w:rPr>
                    <w:t>及含油废抹布分类收集后</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暂存于危废贮存库，定期委托有危废处理资质的单位清运处置</w:t>
                  </w:r>
                  <w:r>
                    <w:rPr>
                      <w:rFonts w:hint="eastAsia" w:cs="Times New Roman"/>
                      <w:snapToGrid/>
                      <w:color w:val="000000" w:themeColor="text1"/>
                      <w:kern w:val="2"/>
                      <w:sz w:val="21"/>
                      <w:szCs w:val="21"/>
                      <w:highlight w:val="none"/>
                      <w:lang w:val="en-US" w:eastAsia="zh-CN"/>
                      <w14:textFill>
                        <w14:solidFill>
                          <w14:schemeClr w14:val="tx1"/>
                        </w14:solidFill>
                      </w14:textFill>
                    </w:rPr>
                    <w:t>，贮存严格执行</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《危险废物贮存污染控制标准》（GB18597-2023）相关要求</w:t>
                  </w: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985" w:type="dxa"/>
                  <w:noWrap w:val="0"/>
                  <w:vAlign w:val="center"/>
                </w:tcPr>
                <w:p w14:paraId="41D7B243">
                  <w:pPr>
                    <w:adjustRightInd w:val="0"/>
                    <w:snapToGrid w:val="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符合</w:t>
                  </w:r>
                </w:p>
              </w:tc>
            </w:tr>
            <w:tr w14:paraId="0F184E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27" w:type="dxa"/>
                  <w:noWrap w:val="0"/>
                  <w:vAlign w:val="center"/>
                </w:tcPr>
                <w:p w14:paraId="57EB8D96">
                  <w:pPr>
                    <w:adjustRightInd w:val="0"/>
                    <w:snapToGrid w:val="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推进固体废物源头减量和资源化利用。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矸石、炉渣、粉煤灰、脱硫石膏、冶炼渣、建筑垃圾等为重点，持续推进固体废物综合利用和环境整治，不断提高大宗固体废物资源化利用水平。持续开展固体废物非法转移和倾倒排查整治，持续保持打击洋垃圾走私高压态势。推行生活垃圾分类，加快建设县（市）生活垃圾处理设施，到2025年，全疆城市生活垃圾无害化处理率达到99%以上。</w:t>
                  </w:r>
                </w:p>
              </w:tc>
              <w:tc>
                <w:tcPr>
                  <w:tcW w:w="2454" w:type="dxa"/>
                  <w:noWrap w:val="0"/>
                  <w:vAlign w:val="center"/>
                </w:tcPr>
                <w:p w14:paraId="4A2F3AAF">
                  <w:pPr>
                    <w:widowControl w:val="0"/>
                    <w:kinsoku/>
                    <w:autoSpaceDE/>
                    <w:autoSpaceDN/>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本项目运营期</w:t>
                  </w:r>
                  <w:r>
                    <w:rPr>
                      <w:rFonts w:hint="eastAsia" w:cs="Times New Roman"/>
                      <w:color w:val="000000" w:themeColor="text1"/>
                      <w:kern w:val="2"/>
                      <w:sz w:val="21"/>
                      <w:szCs w:val="21"/>
                      <w:highlight w:val="none"/>
                      <w:lang w:val="en-US" w:eastAsia="zh-CN" w:bidi="ar-SA"/>
                      <w14:textFill>
                        <w14:solidFill>
                          <w14:schemeClr w14:val="tx1"/>
                        </w14:solidFill>
                      </w14:textFill>
                    </w:rPr>
                    <w:t>产生的</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废润滑油</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废润滑油桶</w:t>
                  </w:r>
                  <w:r>
                    <w:rPr>
                      <w:rFonts w:hint="eastAsia" w:cs="Times New Roman"/>
                      <w:snapToGrid/>
                      <w:color w:val="000000" w:themeColor="text1"/>
                      <w:kern w:val="2"/>
                      <w:sz w:val="21"/>
                      <w:szCs w:val="21"/>
                      <w:highlight w:val="none"/>
                      <w:lang w:val="en-US" w:eastAsia="zh-CN"/>
                      <w14:textFill>
                        <w14:solidFill>
                          <w14:schemeClr w14:val="tx1"/>
                        </w14:solidFill>
                      </w14:textFill>
                    </w:rPr>
                    <w:t>及含油废抹布分类收集后</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暂存于危废贮存库，定期委托有危废处理资质的单位清运处置</w:t>
                  </w:r>
                  <w:r>
                    <w:rPr>
                      <w:rFonts w:hint="eastAsia" w:cs="Times New Roman"/>
                      <w:snapToGrid/>
                      <w:color w:val="000000" w:themeColor="text1"/>
                      <w:kern w:val="2"/>
                      <w:sz w:val="21"/>
                      <w:szCs w:val="21"/>
                      <w:highlight w:val="none"/>
                      <w:lang w:val="en-US" w:eastAsia="zh-CN"/>
                      <w14:textFill>
                        <w14:solidFill>
                          <w14:schemeClr w14:val="tx1"/>
                        </w14:solidFill>
                      </w14:textFill>
                    </w:rPr>
                    <w:t>，贮存严格执行</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《危险废物贮存污染控制标准》（GB18597-2023）相关要求</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；一般工业固废处置符合《一般工业固体废物贮存和填埋污染控制标准》（GB18599-2020）要求。项目各类固体废物处置及贮存措施可行、管理规范，可有效控制环境风险，对周边环境影响较小。</w:t>
                  </w:r>
                </w:p>
              </w:tc>
              <w:tc>
                <w:tcPr>
                  <w:tcW w:w="985" w:type="dxa"/>
                  <w:noWrap w:val="0"/>
                  <w:vAlign w:val="center"/>
                </w:tcPr>
                <w:p w14:paraId="4CA8D770">
                  <w:pPr>
                    <w:adjustRightInd w:val="0"/>
                    <w:snapToGrid w:val="0"/>
                    <w:jc w:val="center"/>
                    <w:rPr>
                      <w:rFonts w:hint="default"/>
                      <w:b/>
                      <w:bCs/>
                      <w:color w:val="000000" w:themeColor="text1"/>
                      <w:szCs w:val="21"/>
                      <w:highlight w:val="none"/>
                      <w:lang w:val="en-US" w:eastAsia="zh-CN"/>
                      <w14:textFill>
                        <w14:solidFill>
                          <w14:schemeClr w14:val="tx1"/>
                        </w14:solidFill>
                      </w14:textFill>
                    </w:rPr>
                  </w:pPr>
                  <w:r>
                    <w:rPr>
                      <w:rFonts w:hint="eastAsia"/>
                      <w:b w:val="0"/>
                      <w:bCs w:val="0"/>
                      <w:color w:val="000000" w:themeColor="text1"/>
                      <w:szCs w:val="21"/>
                      <w:highlight w:val="none"/>
                      <w:lang w:val="en-US" w:eastAsia="zh-CN"/>
                      <w14:textFill>
                        <w14:solidFill>
                          <w14:schemeClr w14:val="tx1"/>
                        </w14:solidFill>
                      </w14:textFill>
                    </w:rPr>
                    <w:t>符合</w:t>
                  </w:r>
                </w:p>
              </w:tc>
            </w:tr>
          </w:tbl>
          <w:p w14:paraId="0C7ED1D8">
            <w:pPr>
              <w:keepNext w:val="0"/>
              <w:keepLines w:val="0"/>
              <w:pageBreakBefore w:val="0"/>
              <w:tabs>
                <w:tab w:val="left" w:pos="356"/>
              </w:tabs>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综上所述，</w:t>
            </w:r>
            <w:r>
              <w:rPr>
                <w:rFonts w:hint="eastAsia" w:ascii="Times New Roman" w:hAnsi="Times New Roman" w:eastAsia="宋体" w:cs="Times New Roman"/>
                <w:color w:val="000000" w:themeColor="text1"/>
                <w:sz w:val="24"/>
                <w:highlight w:val="none"/>
                <w14:textFill>
                  <w14:solidFill>
                    <w14:schemeClr w14:val="tx1"/>
                  </w14:solidFill>
                </w14:textFill>
              </w:rPr>
              <w:t>本项目符合《新疆生态环境保护“十四五”规划》</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中相关条款要求</w:t>
            </w:r>
            <w:r>
              <w:rPr>
                <w:rFonts w:hint="eastAsia" w:ascii="Times New Roman" w:hAnsi="Times New Roman" w:eastAsia="宋体" w:cs="Times New Roman"/>
                <w:color w:val="000000" w:themeColor="text1"/>
                <w:sz w:val="24"/>
                <w:highlight w:val="none"/>
                <w14:textFill>
                  <w14:solidFill>
                    <w14:schemeClr w14:val="tx1"/>
                  </w14:solidFill>
                </w14:textFill>
              </w:rPr>
              <w:t>。</w:t>
            </w:r>
          </w:p>
          <w:p w14:paraId="28FD1D2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5</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r>
              <w:rPr>
                <w:rFonts w:hint="eastAsia" w:cs="Times New Roman"/>
                <w:b/>
                <w:bCs/>
                <w:color w:val="000000" w:themeColor="text1"/>
                <w:kern w:val="0"/>
                <w:sz w:val="24"/>
                <w:szCs w:val="24"/>
                <w:lang w:val="en-US" w:eastAsia="zh-CN" w:bidi="ar"/>
                <w14:textFill>
                  <w14:solidFill>
                    <w14:schemeClr w14:val="tx1"/>
                  </w14:solidFill>
                </w14:textFill>
              </w:rPr>
              <w:t>与</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《新疆维吾尔自治区大气污染防治条例》的符合性分析</w:t>
            </w:r>
          </w:p>
          <w:p w14:paraId="6D4175D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《新疆维吾尔自治区大气污染防治条例》中与本项目有关内容进行相符性对照，本项目符合性分析见表1-</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4</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700889DC">
            <w:pPr>
              <w:keepNext w:val="0"/>
              <w:keepLines w:val="0"/>
              <w:widowControl/>
              <w:suppressLineNumbers w:val="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表1-</w:t>
            </w:r>
            <w:r>
              <w:rPr>
                <w:rFonts w:hint="eastAsia" w:ascii="Times New Roman" w:hAnsi="Times New Roman" w:eastAsia="宋体" w:cs="Times New Roman"/>
                <w:b/>
                <w:bCs/>
                <w:color w:val="000000" w:themeColor="text1"/>
                <w:kern w:val="0"/>
                <w:sz w:val="21"/>
                <w:szCs w:val="21"/>
                <w:lang w:val="en-US" w:eastAsia="zh-CN" w:bidi="ar"/>
                <w14:textFill>
                  <w14:solidFill>
                    <w14:schemeClr w14:val="tx1"/>
                  </w14:solidFill>
                </w14:textFill>
              </w:rPr>
              <w:t>4</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lang w:val="en-US" w:eastAsia="zh-CN" w:bidi="ar"/>
                <w14:textFill>
                  <w14:solidFill>
                    <w14:schemeClr w14:val="tx1"/>
                  </w14:solidFill>
                </w14:textFill>
              </w:rPr>
              <w:t xml:space="preserve"> </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与新疆维吾尔自治区大气污染防治条例符合性分析</w:t>
            </w:r>
          </w:p>
          <w:tbl>
            <w:tblPr>
              <w:tblStyle w:val="30"/>
              <w:tblW w:w="495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49"/>
              <w:gridCol w:w="2364"/>
              <w:gridCol w:w="2427"/>
              <w:gridCol w:w="1043"/>
            </w:tblGrid>
            <w:tr w14:paraId="644E5A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11" w:type="dxa"/>
                  <w:tcBorders>
                    <w:tl2br w:val="nil"/>
                    <w:tr2bl w:val="nil"/>
                  </w:tcBorders>
                  <w:noWrap w:val="0"/>
                  <w:vAlign w:val="center"/>
                </w:tcPr>
                <w:p w14:paraId="35FB7055">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t>序号</w:t>
                  </w:r>
                </w:p>
              </w:tc>
              <w:tc>
                <w:tcPr>
                  <w:tcW w:w="2250" w:type="dxa"/>
                  <w:tcBorders>
                    <w:tl2br w:val="nil"/>
                    <w:tr2bl w:val="nil"/>
                  </w:tcBorders>
                  <w:noWrap w:val="0"/>
                  <w:vAlign w:val="center"/>
                </w:tcPr>
                <w:p w14:paraId="34247A62">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t>文件要求</w:t>
                  </w:r>
                </w:p>
              </w:tc>
              <w:tc>
                <w:tcPr>
                  <w:tcW w:w="2310" w:type="dxa"/>
                  <w:tcBorders>
                    <w:tl2br w:val="nil"/>
                    <w:tr2bl w:val="nil"/>
                  </w:tcBorders>
                  <w:noWrap w:val="0"/>
                  <w:vAlign w:val="center"/>
                </w:tcPr>
                <w:p w14:paraId="7DA388F7">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t>本项目建设情况</w:t>
                  </w:r>
                </w:p>
              </w:tc>
              <w:tc>
                <w:tcPr>
                  <w:tcW w:w="991" w:type="dxa"/>
                  <w:tcBorders>
                    <w:tl2br w:val="nil"/>
                    <w:tr2bl w:val="nil"/>
                  </w:tcBorders>
                  <w:noWrap w:val="0"/>
                  <w:vAlign w:val="center"/>
                </w:tcPr>
                <w:p w14:paraId="05519106">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14:textFill>
                        <w14:solidFill>
                          <w14:schemeClr w14:val="tx1"/>
                        </w14:solidFill>
                      </w14:textFill>
                    </w:rPr>
                    <w:t>符合性</w:t>
                  </w:r>
                </w:p>
              </w:tc>
            </w:tr>
            <w:tr w14:paraId="0B7447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11" w:type="dxa"/>
                  <w:tcBorders>
                    <w:tl2br w:val="nil"/>
                    <w:tr2bl w:val="nil"/>
                  </w:tcBorders>
                  <w:noWrap w:val="0"/>
                  <w:vAlign w:val="center"/>
                </w:tcPr>
                <w:p w14:paraId="1B444FE5">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t>1</w:t>
                  </w:r>
                </w:p>
              </w:tc>
              <w:tc>
                <w:tcPr>
                  <w:tcW w:w="2250" w:type="dxa"/>
                  <w:tcBorders>
                    <w:tl2br w:val="nil"/>
                    <w:tr2bl w:val="nil"/>
                  </w:tcBorders>
                  <w:noWrap w:val="0"/>
                  <w:vAlign w:val="center"/>
                </w:tcPr>
                <w:p w14:paraId="1706557E">
                  <w:pPr>
                    <w:keepNext w:val="0"/>
                    <w:keepLines w:val="0"/>
                    <w:widowControl/>
                    <w:numPr>
                      <w:ilvl w:val="0"/>
                      <w:numId w:val="0"/>
                    </w:numPr>
                    <w:suppressLineNumbers w:val="0"/>
                    <w:jc w:val="center"/>
                    <w:rPr>
                      <w:rFonts w:hint="default" w:ascii="Times New Roman" w:hAnsi="Times New Roman" w:eastAsia="宋体" w:cs="Times New Roman"/>
                      <w:color w:val="000000" w:themeColor="text1"/>
                      <w:kern w:val="0"/>
                      <w:sz w:val="21"/>
                      <w:szCs w:val="21"/>
                      <w:vertAlign w:val="baseli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禁止在自治区行政区域内引进能（水）耗不符合相关国家标准中准入值要求且污染物排放和环境风险防控不符合国家（地方）标准及有关产业准入条件的高污染（排放）、高能（水）耗、高环境风险的工业项目。</w:t>
                  </w:r>
                </w:p>
              </w:tc>
              <w:tc>
                <w:tcPr>
                  <w:tcW w:w="2310" w:type="dxa"/>
                  <w:tcBorders>
                    <w:tl2br w:val="nil"/>
                    <w:tr2bl w:val="nil"/>
                  </w:tcBorders>
                  <w:noWrap w:val="0"/>
                  <w:vAlign w:val="center"/>
                </w:tcPr>
                <w:p w14:paraId="52260961">
                  <w:pPr>
                    <w:keepNext w:val="0"/>
                    <w:keepLines w:val="0"/>
                    <w:widowControl/>
                    <w:numPr>
                      <w:ilvl w:val="0"/>
                      <w:numId w:val="0"/>
                    </w:numPr>
                    <w:suppressLineNumbers w:val="0"/>
                    <w:jc w:val="center"/>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pPr>
                  <w:r>
                    <w:rPr>
                      <w:rFonts w:hint="eastAsia" w:cs="Times New Roman"/>
                      <w:color w:val="000000" w:themeColor="text1"/>
                      <w:kern w:val="0"/>
                      <w:sz w:val="21"/>
                      <w:szCs w:val="21"/>
                      <w:vertAlign w:val="baseline"/>
                      <w:lang w:val="en-US" w:eastAsia="zh-CN"/>
                      <w14:textFill>
                        <w14:solidFill>
                          <w14:schemeClr w14:val="tx1"/>
                        </w14:solidFill>
                      </w14:textFill>
                    </w:rPr>
                    <w:t>本项目非“三高”</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工业项目。</w:t>
                  </w:r>
                </w:p>
              </w:tc>
              <w:tc>
                <w:tcPr>
                  <w:tcW w:w="991" w:type="dxa"/>
                  <w:tcBorders>
                    <w:tl2br w:val="nil"/>
                    <w:tr2bl w:val="nil"/>
                  </w:tcBorders>
                  <w:noWrap w:val="0"/>
                  <w:vAlign w:val="center"/>
                </w:tcPr>
                <w:p w14:paraId="129C6BBC">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t>符合</w:t>
                  </w:r>
                </w:p>
              </w:tc>
            </w:tr>
            <w:tr w14:paraId="3F1321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11" w:type="dxa"/>
                  <w:tcBorders>
                    <w:tl2br w:val="nil"/>
                    <w:tr2bl w:val="nil"/>
                  </w:tcBorders>
                  <w:noWrap w:val="0"/>
                  <w:vAlign w:val="center"/>
                </w:tcPr>
                <w:p w14:paraId="2CA5EB58">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t>2</w:t>
                  </w:r>
                </w:p>
              </w:tc>
              <w:tc>
                <w:tcPr>
                  <w:tcW w:w="2250" w:type="dxa"/>
                  <w:tcBorders>
                    <w:tl2br w:val="nil"/>
                    <w:tr2bl w:val="nil"/>
                  </w:tcBorders>
                  <w:noWrap w:val="0"/>
                  <w:vAlign w:val="center"/>
                </w:tcPr>
                <w:p w14:paraId="6EFC9569">
                  <w:pPr>
                    <w:keepNext w:val="0"/>
                    <w:keepLines w:val="0"/>
                    <w:pageBreakBefore w:val="0"/>
                    <w:widowControl/>
                    <w:suppressLineNumbers w:val="0"/>
                    <w:kinsoku/>
                    <w:wordWrap/>
                    <w:overflowPunct/>
                    <w:topLinePunct w:val="0"/>
                    <w:bidi w:val="0"/>
                    <w:adjustRightInd w:val="0"/>
                    <w:snapToGrid w:val="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禁止新建、改建、扩建列入淘汰类目录的高污染工业项目。禁止使用列入淘汰类目录的</w:t>
                  </w:r>
                </w:p>
                <w:p w14:paraId="780889C0">
                  <w:pPr>
                    <w:keepNext w:val="0"/>
                    <w:keepLines w:val="0"/>
                    <w:pageBreakBefore w:val="0"/>
                    <w:widowControl/>
                    <w:suppressLineNumbers w:val="0"/>
                    <w:kinsoku/>
                    <w:wordWrap/>
                    <w:overflowPunct/>
                    <w:topLinePunct w:val="0"/>
                    <w:bidi w:val="0"/>
                    <w:adjustRightInd w:val="0"/>
                    <w:snapToGrid w:val="0"/>
                    <w:jc w:val="center"/>
                    <w:textAlignment w:val="auto"/>
                    <w:rPr>
                      <w:rFonts w:hint="default" w:ascii="Times New Roman" w:hAnsi="Times New Roman" w:eastAsia="宋体" w:cs="Times New Roman"/>
                      <w:color w:val="000000" w:themeColor="text1"/>
                      <w:kern w:val="0"/>
                      <w:sz w:val="21"/>
                      <w:szCs w:val="21"/>
                      <w:vertAlign w:val="baseline"/>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工艺、设备、产品。</w:t>
                  </w:r>
                </w:p>
              </w:tc>
              <w:tc>
                <w:tcPr>
                  <w:tcW w:w="2310" w:type="dxa"/>
                  <w:tcBorders>
                    <w:tl2br w:val="nil"/>
                    <w:tr2bl w:val="nil"/>
                  </w:tcBorders>
                  <w:noWrap w:val="0"/>
                  <w:vAlign w:val="center"/>
                </w:tcPr>
                <w:p w14:paraId="7892956E">
                  <w:pPr>
                    <w:keepNext w:val="0"/>
                    <w:keepLines w:val="0"/>
                    <w:widowControl/>
                    <w:numPr>
                      <w:ilvl w:val="0"/>
                      <w:numId w:val="0"/>
                    </w:numPr>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本项目不涉及淘汰类及限制类设备</w:t>
                  </w:r>
                  <w:r>
                    <w:rPr>
                      <w:rFonts w:hint="eastAsia" w:cs="Times New Roman"/>
                      <w:color w:val="000000" w:themeColor="text1"/>
                      <w:sz w:val="21"/>
                      <w:szCs w:val="21"/>
                      <w:highlight w:val="none"/>
                      <w:lang w:val="en-US" w:eastAsia="zh-CN"/>
                      <w14:textFill>
                        <w14:solidFill>
                          <w14:schemeClr w14:val="tx1"/>
                        </w14:solidFill>
                      </w14:textFill>
                    </w:rPr>
                    <w:t>。</w:t>
                  </w:r>
                </w:p>
              </w:tc>
              <w:tc>
                <w:tcPr>
                  <w:tcW w:w="991" w:type="dxa"/>
                  <w:tcBorders>
                    <w:tl2br w:val="nil"/>
                    <w:tr2bl w:val="nil"/>
                  </w:tcBorders>
                  <w:noWrap w:val="0"/>
                  <w:vAlign w:val="center"/>
                </w:tcPr>
                <w:p w14:paraId="632D537B">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t>符合</w:t>
                  </w:r>
                </w:p>
              </w:tc>
            </w:tr>
            <w:tr w14:paraId="6465D4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11" w:type="dxa"/>
                  <w:tcBorders>
                    <w:tl2br w:val="nil"/>
                    <w:tr2bl w:val="nil"/>
                  </w:tcBorders>
                  <w:noWrap w:val="0"/>
                  <w:vAlign w:val="center"/>
                </w:tcPr>
                <w:p w14:paraId="6874131C">
                  <w:pPr>
                    <w:keepNext w:val="0"/>
                    <w:keepLines w:val="0"/>
                    <w:widowControl/>
                    <w:numPr>
                      <w:ilvl w:val="0"/>
                      <w:numId w:val="0"/>
                    </w:numPr>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w:t>
                  </w:r>
                </w:p>
              </w:tc>
              <w:tc>
                <w:tcPr>
                  <w:tcW w:w="2250" w:type="dxa"/>
                  <w:tcBorders>
                    <w:tl2br w:val="nil"/>
                    <w:tr2bl w:val="nil"/>
                  </w:tcBorders>
                  <w:noWrap w:val="0"/>
                  <w:vAlign w:val="center"/>
                </w:tcPr>
                <w:p w14:paraId="491ECA54">
                  <w:pPr>
                    <w:keepNext w:val="0"/>
                    <w:keepLines w:val="0"/>
                    <w:widowControl/>
                    <w:numPr>
                      <w:ilvl w:val="0"/>
                      <w:numId w:val="0"/>
                    </w:numPr>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贮存易产生扬尘的煤炭、煤矸石、煤渣、煤灰、水泥、石灰、石膏、砂土等物料的堆场应当密闭；不能密闭的，贮存单位或者个人应当采取下列防尘措施：（一）堆场的场坪、路面应当进行硬化处理，并保持路面整洁；（二）堆场周边应当配备高于堆存物料的围挡、防风抑尘网等设施；（三）按照物料类别采取相应的覆盖、喷淋和围挡等防风抑尘措施。露天装卸物料应当采取密闭或者喷淋等抑尘措施；输送的物料应当在装料、卸料处配备吸尘、喷淋等防尘设施。</w:t>
                  </w:r>
                </w:p>
              </w:tc>
              <w:tc>
                <w:tcPr>
                  <w:tcW w:w="2310" w:type="dxa"/>
                  <w:tcBorders>
                    <w:tl2br w:val="nil"/>
                    <w:tr2bl w:val="nil"/>
                  </w:tcBorders>
                  <w:noWrap w:val="0"/>
                  <w:vAlign w:val="center"/>
                </w:tcPr>
                <w:p w14:paraId="3202887C">
                  <w:pPr>
                    <w:keepNext w:val="0"/>
                    <w:keepLines w:val="0"/>
                    <w:widowControl/>
                    <w:numPr>
                      <w:ilvl w:val="0"/>
                      <w:numId w:val="0"/>
                    </w:numPr>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秸秆破碎、炭块粉碎、有机肥加工等工序废气经集气罩收集、布袋除尘后，通过15m排气筒高空排放，颗粒物执行《大气污染物综合排放标准》（GB16297-1996）二级标准；热风炉燃烧</w:t>
                  </w:r>
                  <w:r>
                    <w:rPr>
                      <w:rFonts w:hint="eastAsia" w:cs="Times New Roman"/>
                      <w:color w:val="000000" w:themeColor="text1"/>
                      <w:kern w:val="0"/>
                      <w:sz w:val="21"/>
                      <w:szCs w:val="21"/>
                      <w:lang w:val="en-US" w:eastAsia="zh-CN" w:bidi="ar"/>
                      <w14:textFill>
                        <w14:solidFill>
                          <w14:schemeClr w14:val="tx1"/>
                        </w14:solidFill>
                      </w14:textFill>
                    </w:rPr>
                    <w:t>废气</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配套静电除尘装置，经15m排气筒排放，</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热风炉废气处理后颗粒物、二氧化硫、氮氧化物均满足《新疆维吾尔自治区工业炉窑大气污染综合治理实施方案》（新大气发〔2019〕127号）中重点区域工业炉窑大气排放浓度限值</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，项目大气治理措施均符合相关法规、标准要求。</w:t>
                  </w:r>
                </w:p>
              </w:tc>
              <w:tc>
                <w:tcPr>
                  <w:tcW w:w="991" w:type="dxa"/>
                  <w:tcBorders>
                    <w:tl2br w:val="nil"/>
                    <w:tr2bl w:val="nil"/>
                  </w:tcBorders>
                  <w:noWrap w:val="0"/>
                  <w:vAlign w:val="center"/>
                </w:tcPr>
                <w:p w14:paraId="529C7AC6">
                  <w:pPr>
                    <w:keepNext w:val="0"/>
                    <w:keepLines w:val="0"/>
                    <w:pageBreakBefore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vertAlign w:val="baseline"/>
                      <w:lang w:val="en-US" w:eastAsia="zh-CN"/>
                      <w14:textFill>
                        <w14:solidFill>
                          <w14:schemeClr w14:val="tx1"/>
                        </w14:solidFill>
                      </w14:textFill>
                    </w:rPr>
                    <w:t>符合</w:t>
                  </w:r>
                </w:p>
              </w:tc>
            </w:tr>
          </w:tbl>
          <w:p w14:paraId="7740FD17">
            <w:pPr>
              <w:keepNext w:val="0"/>
              <w:keepLines w:val="0"/>
              <w:pageBreakBefore w:val="0"/>
              <w:tabs>
                <w:tab w:val="left" w:pos="356"/>
              </w:tabs>
              <w:kinsoku/>
              <w:wordWrap/>
              <w:overflowPunct/>
              <w:topLinePunct w:val="0"/>
              <w:autoSpaceDE w:val="0"/>
              <w:autoSpaceDN w:val="0"/>
              <w:bidi w:val="0"/>
              <w:adjustRightInd w:val="0"/>
              <w:snapToGrid w:val="0"/>
              <w:spacing w:line="360" w:lineRule="auto"/>
              <w:ind w:firstLine="480" w:firstLineChars="200"/>
              <w:textAlignment w:val="auto"/>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综上所述</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，本项目建设符合《新疆维吾尔自治区大气污染防治条例》。</w:t>
            </w:r>
          </w:p>
          <w:p w14:paraId="5CF3B011">
            <w:pPr>
              <w:pStyle w:val="5"/>
              <w:keepNext/>
              <w:keepLines/>
              <w:pageBreakBefore w:val="0"/>
              <w:widowControl w:val="0"/>
              <w:kinsoku/>
              <w:wordWrap/>
              <w:overflowPunct/>
              <w:topLinePunct w:val="0"/>
              <w:autoSpaceDE/>
              <w:autoSpaceDN/>
              <w:bidi w:val="0"/>
              <w:adjustRightInd w:val="0"/>
              <w:snapToGrid w:val="0"/>
              <w:spacing w:before="0" w:after="0" w:line="360" w:lineRule="auto"/>
              <w:ind w:left="0" w:leftChars="0" w:firstLine="482" w:firstLineChars="200"/>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eastAsia="宋体" w:cs="Times New Roman"/>
                <w:b/>
                <w:bCs/>
                <w:color w:val="000000" w:themeColor="text1"/>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与《新疆维吾尔自治区2025年空气质量持续改善行动实施方案》</w:t>
            </w:r>
            <w:r>
              <w:rPr>
                <w:rFonts w:hint="eastAsia"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新政办发〔2024〕58号</w:t>
            </w:r>
            <w:r>
              <w:rPr>
                <w:rFonts w:hint="eastAsia"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符合性分析</w:t>
            </w:r>
          </w:p>
          <w:p w14:paraId="672A304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与《新疆维吾尔自治区2025年空气质量持续改善行动实施方案》（新政办发〔2024〕58号）符合性分析见表1-5。</w:t>
            </w:r>
          </w:p>
          <w:p w14:paraId="1C1DDD51">
            <w:pPr>
              <w:adjustRightInd w:val="0"/>
              <w:snapToGrid w:val="0"/>
              <w:spacing w:line="240" w:lineRule="auto"/>
              <w:jc w:val="center"/>
              <w:rPr>
                <w:rFonts w:hint="default"/>
                <w:b/>
                <w:bCs/>
                <w:color w:val="000000" w:themeColor="text1"/>
                <w:kern w:val="0"/>
                <w:szCs w:val="21"/>
                <w:highlight w:val="none"/>
                <w:lang w:val="en-US" w:eastAsia="zh-CN"/>
                <w14:textFill>
                  <w14:solidFill>
                    <w14:schemeClr w14:val="tx1"/>
                  </w14:solidFill>
                </w14:textFill>
              </w:rPr>
            </w:pPr>
            <w:r>
              <w:rPr>
                <w:b/>
                <w:bCs/>
                <w:color w:val="000000" w:themeColor="text1"/>
                <w:kern w:val="0"/>
                <w:szCs w:val="21"/>
                <w:highlight w:val="none"/>
                <w14:textFill>
                  <w14:solidFill>
                    <w14:schemeClr w14:val="tx1"/>
                  </w14:solidFill>
                </w14:textFill>
              </w:rPr>
              <w:t>表1</w:t>
            </w:r>
            <w:r>
              <w:rPr>
                <w:rFonts w:hint="eastAsia"/>
                <w:b/>
                <w:bCs/>
                <w:color w:val="000000" w:themeColor="text1"/>
                <w:kern w:val="0"/>
                <w:szCs w:val="21"/>
                <w:highlight w:val="none"/>
                <w:lang w:val="en-US" w:eastAsia="zh-CN"/>
                <w14:textFill>
                  <w14:solidFill>
                    <w14:schemeClr w14:val="tx1"/>
                  </w14:solidFill>
                </w14:textFill>
              </w:rPr>
              <w:t>-5</w:t>
            </w:r>
            <w:r>
              <w:rPr>
                <w:b/>
                <w:bCs/>
                <w:color w:val="000000" w:themeColor="text1"/>
                <w:kern w:val="0"/>
                <w:szCs w:val="21"/>
                <w:highlight w:val="none"/>
                <w14:textFill>
                  <w14:solidFill>
                    <w14:schemeClr w14:val="tx1"/>
                  </w14:solidFill>
                </w14:textFill>
              </w:rPr>
              <w:t xml:space="preserve"> </w:t>
            </w:r>
            <w:r>
              <w:rPr>
                <w:rFonts w:hint="eastAsia"/>
                <w:b/>
                <w:bCs/>
                <w:color w:val="000000" w:themeColor="text1"/>
                <w:kern w:val="0"/>
                <w:szCs w:val="21"/>
                <w:highlight w:val="none"/>
                <w:lang w:val="en-US" w:eastAsia="zh-CN"/>
                <w14:textFill>
                  <w14:solidFill>
                    <w14:schemeClr w14:val="tx1"/>
                  </w14:solidFill>
                </w14:textFill>
              </w:rPr>
              <w:t xml:space="preserve">  </w:t>
            </w:r>
            <w:r>
              <w:rPr>
                <w:b/>
                <w:bCs/>
                <w:color w:val="000000" w:themeColor="text1"/>
                <w:kern w:val="0"/>
                <w:szCs w:val="21"/>
                <w:highlight w:val="none"/>
                <w14:textFill>
                  <w14:solidFill>
                    <w14:schemeClr w14:val="tx1"/>
                  </w14:solidFill>
                </w14:textFill>
              </w:rPr>
              <w:t>与</w:t>
            </w:r>
            <w:r>
              <w:rPr>
                <w:rFonts w:hint="default"/>
                <w:b/>
                <w:bCs/>
                <w:color w:val="000000" w:themeColor="text1"/>
                <w:kern w:val="0"/>
                <w:szCs w:val="21"/>
                <w:highlight w:val="none"/>
                <w:lang w:val="en-US" w:eastAsia="zh-CN"/>
                <w14:textFill>
                  <w14:solidFill>
                    <w14:schemeClr w14:val="tx1"/>
                  </w14:solidFill>
                </w14:textFill>
              </w:rPr>
              <w:t>《新疆维吾尔自治区2025年空气质量持续改善行动实施方案》</w:t>
            </w:r>
          </w:p>
          <w:p w14:paraId="02CD6407">
            <w:pPr>
              <w:adjustRightInd w:val="0"/>
              <w:snapToGrid w:val="0"/>
              <w:spacing w:line="240" w:lineRule="auto"/>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lang w:eastAsia="zh-CN"/>
                <w14:textFill>
                  <w14:solidFill>
                    <w14:schemeClr w14:val="tx1"/>
                  </w14:solidFill>
                </w14:textFill>
              </w:rPr>
              <w:t>符合性分析</w:t>
            </w:r>
            <w:r>
              <w:rPr>
                <w:b/>
                <w:bCs/>
                <w:color w:val="000000" w:themeColor="text1"/>
                <w:kern w:val="0"/>
                <w:szCs w:val="21"/>
                <w:highlight w:val="none"/>
                <w14:textFill>
                  <w14:solidFill>
                    <w14:schemeClr w14:val="tx1"/>
                  </w14:solidFill>
                </w14:textFill>
              </w:rPr>
              <w:t>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09"/>
              <w:gridCol w:w="3731"/>
              <w:gridCol w:w="1899"/>
              <w:gridCol w:w="611"/>
            </w:tblGrid>
            <w:tr w14:paraId="46E82E2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09602496">
                  <w:pPr>
                    <w:spacing w:line="240" w:lineRule="auto"/>
                    <w:jc w:val="cente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序号</w:t>
                  </w:r>
                </w:p>
              </w:tc>
              <w:tc>
                <w:tcPr>
                  <w:tcW w:w="2804" w:type="pct"/>
                  <w:tcBorders>
                    <w:tl2br w:val="nil"/>
                    <w:tr2bl w:val="nil"/>
                  </w:tcBorders>
                  <w:noWrap w:val="0"/>
                  <w:vAlign w:val="center"/>
                </w:tcPr>
                <w:p w14:paraId="3577E8A9">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政策要求</w:t>
                  </w:r>
                </w:p>
              </w:tc>
              <w:tc>
                <w:tcPr>
                  <w:tcW w:w="1427" w:type="pct"/>
                  <w:tcBorders>
                    <w:tl2br w:val="nil"/>
                    <w:tr2bl w:val="nil"/>
                  </w:tcBorders>
                  <w:noWrap w:val="0"/>
                  <w:vAlign w:val="center"/>
                </w:tcPr>
                <w:p w14:paraId="1ECFACEC">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项目情况</w:t>
                  </w:r>
                </w:p>
              </w:tc>
              <w:tc>
                <w:tcPr>
                  <w:tcW w:w="459" w:type="pct"/>
                  <w:tcBorders>
                    <w:tl2br w:val="nil"/>
                    <w:tr2bl w:val="nil"/>
                  </w:tcBorders>
                  <w:noWrap w:val="0"/>
                  <w:vAlign w:val="center"/>
                </w:tcPr>
                <w:p w14:paraId="1FF6874A">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符合性</w:t>
                  </w:r>
                </w:p>
              </w:tc>
            </w:tr>
            <w:tr w14:paraId="01DBBA4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518B19A5">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2804" w:type="pct"/>
                  <w:tcBorders>
                    <w:tl2br w:val="nil"/>
                    <w:tr2bl w:val="nil"/>
                  </w:tcBorders>
                  <w:noWrap w:val="0"/>
                  <w:vAlign w:val="center"/>
                </w:tcPr>
                <w:p w14:paraId="08F709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十五）加强秸秆综合利用和禁烧。提高秸秆还田标准化、规范化水平，健全秸秆收储运服务体系，提升产业化能力，提高离田效能。全区秸秆综合利用率达到90%以上。各地结合实际精准划分禁烧范围，加强秸秆焚烧监管，开展秸秆焚烧重点时段巡查。</w:t>
                  </w:r>
                </w:p>
              </w:tc>
              <w:tc>
                <w:tcPr>
                  <w:tcW w:w="1427" w:type="pct"/>
                  <w:tcBorders>
                    <w:tl2br w:val="nil"/>
                    <w:tr2bl w:val="nil"/>
                  </w:tcBorders>
                  <w:noWrap w:val="0"/>
                  <w:vAlign w:val="center"/>
                </w:tcPr>
                <w:p w14:paraId="6EA0F5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本项目以果木枝条、农作物秸秆等农林废弃物为原料开展炭化处置，是当地循环经济产业布局的关键配套项目，从源头杜绝农林秸秆露天焚烧带来的大气污染问题；炭化所得炭基物料搭配</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矿源腐殖酸粉</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、复合生物酶粉剂加工制成成品有机肥，生产同步副产木醋液，两类产品均可有效改良土壤理化性质、提升耕地肥力，实现农林废弃物资源化、肥料产品生态化的闭环循环利用。</w:t>
                  </w:r>
                </w:p>
              </w:tc>
              <w:tc>
                <w:tcPr>
                  <w:tcW w:w="459" w:type="pct"/>
                  <w:tcBorders>
                    <w:tl2br w:val="nil"/>
                    <w:tr2bl w:val="nil"/>
                  </w:tcBorders>
                  <w:noWrap w:val="0"/>
                  <w:vAlign w:val="center"/>
                </w:tcPr>
                <w:p w14:paraId="17F41D68">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符合</w:t>
                  </w:r>
                </w:p>
              </w:tc>
            </w:tr>
            <w:tr w14:paraId="2B0F515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3B4D6B3A">
                  <w:pPr>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804" w:type="pct"/>
                  <w:tcBorders>
                    <w:tl2br w:val="nil"/>
                    <w:tr2bl w:val="nil"/>
                  </w:tcBorders>
                  <w:noWrap w:val="0"/>
                  <w:vAlign w:val="center"/>
                </w:tcPr>
                <w:p w14:paraId="4EB031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十七）强化挥发性有机物和氮氧化物综合治理。优化含VOCs原辅材料和产品结构，加快推进含VOCs原辅材料源头替代，推广使用低（无）VOCs含量涂料，严格执行VOCs含量限值标准。实施石化、化工、工业涂装、包装印刷等重点行业及油品储运销（储罐）VOCs深度治理。企业开停工、检维修期间，及时收集处理退料、清洗、吹扫等作业产生的VOCs废气，不得将火炬燃烧装置作为日常大气污染处理设施。联防联控区石化、化工行业集中的园区，建立统一的泄漏检测与修复信息管理平台。加大锅炉、炉窑及移动源氮氧化物减排力度，有序实施燃气锅炉低氮燃烧改造。加强氮肥、纯碱等行业大气氨排放治理，强化工业源烟气脱硫脱硝氨逃逸防控。</w:t>
                  </w:r>
                </w:p>
              </w:tc>
              <w:tc>
                <w:tcPr>
                  <w:tcW w:w="1427" w:type="pct"/>
                  <w:tcBorders>
                    <w:tl2br w:val="nil"/>
                    <w:tr2bl w:val="nil"/>
                  </w:tcBorders>
                  <w:noWrap w:val="0"/>
                  <w:vAlign w:val="center"/>
                </w:tcPr>
                <w:p w14:paraId="5D8A8E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本项目炭化产生的</w:t>
                  </w:r>
                  <w:r>
                    <w:rPr>
                      <w:rFonts w:hint="eastAsia" w:cs="Times New Roman"/>
                      <w:color w:val="000000" w:themeColor="text1"/>
                      <w:sz w:val="21"/>
                      <w:szCs w:val="21"/>
                      <w:highlight w:val="none"/>
                      <w:lang w:val="en-US" w:eastAsia="zh-CN"/>
                      <w14:textFill>
                        <w14:solidFill>
                          <w14:schemeClr w14:val="tx1"/>
                        </w14:solidFill>
                      </w14:textFill>
                    </w:rPr>
                    <w:t>木煤气（</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VOCs</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在双模储气柜暂存后，利用管道通向热风炉进行燃烧；</w:t>
                  </w:r>
                  <w:r>
                    <w:rPr>
                      <w:rFonts w:hint="eastAsia" w:cs="Times New Roman"/>
                      <w:color w:val="000000" w:themeColor="text1"/>
                      <w:sz w:val="21"/>
                      <w:szCs w:val="21"/>
                      <w:highlight w:val="none"/>
                      <w:lang w:val="en-US" w:eastAsia="zh-CN"/>
                      <w14:textFill>
                        <w14:solidFill>
                          <w14:schemeClr w14:val="tx1"/>
                        </w14:solidFill>
                      </w14:textFill>
                    </w:rPr>
                    <w:t>本环评要求，项目应</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保持炭化炉至储气柜负压，定期维保实现密闭输气；储气柜大小呼吸废气分别引至热风炉焚烧处理</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。采取以上措施后，</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VOCs</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逸散量较少；木煤气为清洁能源，热风炉废气处理后颗粒物、二氧化硫、氮氧化物均满足《新疆维吾尔自治区工业炉窑大气污染综合治理实施方案》（新大气发〔2019〕127号）中重点区域工业炉窑大气排放浓度限值。</w:t>
                  </w:r>
                </w:p>
              </w:tc>
              <w:tc>
                <w:tcPr>
                  <w:tcW w:w="459" w:type="pct"/>
                  <w:tcBorders>
                    <w:tl2br w:val="nil"/>
                    <w:tr2bl w:val="nil"/>
                  </w:tcBorders>
                  <w:noWrap w:val="0"/>
                  <w:vAlign w:val="center"/>
                </w:tcPr>
                <w:p w14:paraId="7EFB24A6">
                  <w:pPr>
                    <w:spacing w:line="240" w:lineRule="auto"/>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符合</w:t>
                  </w:r>
                </w:p>
              </w:tc>
            </w:tr>
          </w:tbl>
          <w:p w14:paraId="4536CCF2">
            <w:pPr>
              <w:keepNext w:val="0"/>
              <w:keepLines w:val="0"/>
              <w:pageBreakBefore w:val="0"/>
              <w:numPr>
                <w:ilvl w:val="0"/>
                <w:numId w:val="0"/>
              </w:numPr>
              <w:kinsoku/>
              <w:wordWrap/>
              <w:overflowPunct/>
              <w:topLinePunct w:val="0"/>
              <w:bidi w:val="0"/>
              <w:adjustRightInd w:val="0"/>
              <w:snapToGrid w:val="0"/>
              <w:spacing w:line="360" w:lineRule="auto"/>
              <w:ind w:firstLine="480" w:firstLineChars="200"/>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综上所述，</w:t>
            </w:r>
            <w:r>
              <w:rPr>
                <w:rFonts w:hint="eastAsia"/>
                <w:color w:val="000000" w:themeColor="text1"/>
                <w:sz w:val="24"/>
                <w:szCs w:val="24"/>
                <w:highlight w:val="none"/>
                <w14:textFill>
                  <w14:solidFill>
                    <w14:schemeClr w14:val="tx1"/>
                  </w14:solidFill>
                </w14:textFill>
              </w:rPr>
              <w:t>本项目符合</w:t>
            </w:r>
            <w:r>
              <w:rPr>
                <w:rFonts w:hint="eastAsia"/>
                <w:color w:val="000000" w:themeColor="text1"/>
                <w:sz w:val="24"/>
                <w:szCs w:val="24"/>
                <w:highlight w:val="none"/>
                <w:lang w:val="en-US" w:eastAsia="zh-CN"/>
                <w14:textFill>
                  <w14:solidFill>
                    <w14:schemeClr w14:val="tx1"/>
                  </w14:solidFill>
                </w14:textFill>
              </w:rPr>
              <w:t>《新疆维吾尔自治区2025年空气质量持续改善行动实施方案》中相关条款要求</w:t>
            </w:r>
            <w:r>
              <w:rPr>
                <w:rFonts w:hint="eastAsia"/>
                <w:color w:val="000000" w:themeColor="text1"/>
                <w:sz w:val="24"/>
                <w:szCs w:val="24"/>
                <w:highlight w:val="none"/>
                <w14:textFill>
                  <w14:solidFill>
                    <w14:schemeClr w14:val="tx1"/>
                  </w14:solidFill>
                </w14:textFill>
              </w:rPr>
              <w:t>。</w:t>
            </w:r>
          </w:p>
          <w:p w14:paraId="332372D0">
            <w:pPr>
              <w:pStyle w:val="5"/>
              <w:keepNext/>
              <w:keepLines/>
              <w:pageBreakBefore w:val="0"/>
              <w:widowControl w:val="0"/>
              <w:kinsoku/>
              <w:wordWrap/>
              <w:overflowPunct/>
              <w:topLinePunct w:val="0"/>
              <w:autoSpaceDE/>
              <w:autoSpaceDN/>
              <w:bidi w:val="0"/>
              <w:adjustRightInd w:val="0"/>
              <w:snapToGrid w:val="0"/>
              <w:spacing w:before="0" w:after="0" w:line="360" w:lineRule="auto"/>
              <w:ind w:left="0" w:leftChars="0" w:firstLine="482" w:firstLineChars="200"/>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eastAsia="宋体" w:cs="Times New Roman"/>
                <w:b/>
                <w:bCs/>
                <w:color w:val="000000" w:themeColor="text1"/>
                <w:highlight w:val="none"/>
                <w:lang w:val="en-US" w:eastAsia="zh-CN"/>
                <w14:textFill>
                  <w14:solidFill>
                    <w14:schemeClr w14:val="tx1"/>
                  </w14:solidFill>
                </w14:textFill>
              </w:rPr>
              <w:t>7、</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与关于印发《自治区农业农村减排固碳实施方案</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2022</w:t>
            </w:r>
            <w:r>
              <w:rPr>
                <w:rFonts w:hint="eastAsia" w:ascii="宋体" w:hAnsi="宋体" w:eastAsia="宋体" w:cs="宋体"/>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2030年</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》的通知</w:t>
            </w:r>
            <w:r>
              <w:rPr>
                <w:rFonts w:hint="eastAsia" w:eastAsia="宋体" w:cs="Times New Roman"/>
                <w:b/>
                <w:bCs/>
                <w:color w:val="000000" w:themeColor="text1"/>
                <w:highlight w:val="none"/>
                <w:lang w:val="en-US" w:eastAsia="zh-CN"/>
                <w14:textFill>
                  <w14:solidFill>
                    <w14:schemeClr w14:val="tx1"/>
                  </w14:solidFill>
                </w14:textFill>
              </w:rPr>
              <w:t>（新农科</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〔202</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〕58号</w:t>
            </w:r>
            <w:r>
              <w:rPr>
                <w:rFonts w:hint="eastAsia"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符合性分析</w:t>
            </w:r>
          </w:p>
          <w:p w14:paraId="008311A7">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与关于印发《自治区农业农村减排固碳实施方案（2022</w:t>
            </w:r>
            <w:r>
              <w:rPr>
                <w:rFonts w:hint="eastAsia" w:ascii="宋体" w:hAnsi="宋体" w:eastAsia="宋体" w:cs="宋体"/>
                <w:b/>
                <w:bCs/>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2030年）》的通知符合性分析见表1-6。</w:t>
            </w:r>
          </w:p>
          <w:p w14:paraId="02133227">
            <w:pPr>
              <w:adjustRightInd w:val="0"/>
              <w:snapToGrid w:val="0"/>
              <w:spacing w:line="240" w:lineRule="auto"/>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表1</w:t>
            </w:r>
            <w:r>
              <w:rPr>
                <w:rFonts w:hint="eastAsia"/>
                <w:b/>
                <w:bCs/>
                <w:color w:val="000000" w:themeColor="text1"/>
                <w:kern w:val="0"/>
                <w:szCs w:val="21"/>
                <w:highlight w:val="none"/>
                <w:lang w:val="en-US" w:eastAsia="zh-CN"/>
                <w14:textFill>
                  <w14:solidFill>
                    <w14:schemeClr w14:val="tx1"/>
                  </w14:solidFill>
                </w14:textFill>
              </w:rPr>
              <w:t>-6</w:t>
            </w:r>
            <w:r>
              <w:rPr>
                <w:b/>
                <w:bCs/>
                <w:color w:val="000000" w:themeColor="text1"/>
                <w:kern w:val="0"/>
                <w:szCs w:val="21"/>
                <w:highlight w:val="none"/>
                <w14:textFill>
                  <w14:solidFill>
                    <w14:schemeClr w14:val="tx1"/>
                  </w14:solidFill>
                </w14:textFill>
              </w:rPr>
              <w:t xml:space="preserve"> </w:t>
            </w:r>
            <w:r>
              <w:rPr>
                <w:rFonts w:hint="eastAsia"/>
                <w:b/>
                <w:bCs/>
                <w:color w:val="000000" w:themeColor="text1"/>
                <w:kern w:val="0"/>
                <w:szCs w:val="21"/>
                <w:highlight w:val="none"/>
                <w:lang w:val="en-US" w:eastAsia="zh-CN"/>
                <w14:textFill>
                  <w14:solidFill>
                    <w14:schemeClr w14:val="tx1"/>
                  </w14:solidFill>
                </w14:textFill>
              </w:rPr>
              <w:t xml:space="preserve">  </w:t>
            </w:r>
            <w:r>
              <w:rPr>
                <w:b/>
                <w:bCs/>
                <w:color w:val="000000" w:themeColor="text1"/>
                <w:kern w:val="0"/>
                <w:szCs w:val="21"/>
                <w:highlight w:val="none"/>
                <w14:textFill>
                  <w14:solidFill>
                    <w14:schemeClr w14:val="tx1"/>
                  </w14:solidFill>
                </w14:textFill>
              </w:rPr>
              <w:t>与</w:t>
            </w:r>
            <w:r>
              <w:rPr>
                <w:rFonts w:hint="eastAsia"/>
                <w:b/>
                <w:bCs/>
                <w:color w:val="000000" w:themeColor="text1"/>
                <w:kern w:val="0"/>
                <w:szCs w:val="21"/>
                <w:highlight w:val="none"/>
                <w:lang w:val="en-US" w:eastAsia="zh-CN"/>
                <w14:textFill>
                  <w14:solidFill>
                    <w14:schemeClr w14:val="tx1"/>
                  </w14:solidFill>
                </w14:textFill>
              </w:rPr>
              <w:t>关于印发《自治区农业农村减排固碳实施方案（2022一2030年）》的通知</w:t>
            </w:r>
            <w:r>
              <w:rPr>
                <w:rFonts w:hint="eastAsia"/>
                <w:b/>
                <w:bCs/>
                <w:color w:val="000000" w:themeColor="text1"/>
                <w:kern w:val="0"/>
                <w:szCs w:val="21"/>
                <w:highlight w:val="none"/>
                <w:lang w:eastAsia="zh-CN"/>
                <w14:textFill>
                  <w14:solidFill>
                    <w14:schemeClr w14:val="tx1"/>
                  </w14:solidFill>
                </w14:textFill>
              </w:rPr>
              <w:t>符合性分析</w:t>
            </w:r>
            <w:r>
              <w:rPr>
                <w:b/>
                <w:bCs/>
                <w:color w:val="000000" w:themeColor="text1"/>
                <w:kern w:val="0"/>
                <w:szCs w:val="21"/>
                <w:highlight w:val="none"/>
                <w14:textFill>
                  <w14:solidFill>
                    <w14:schemeClr w14:val="tx1"/>
                  </w14:solidFill>
                </w14:textFill>
              </w:rPr>
              <w:t>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09"/>
              <w:gridCol w:w="3731"/>
              <w:gridCol w:w="1899"/>
              <w:gridCol w:w="611"/>
            </w:tblGrid>
            <w:tr w14:paraId="1A0B82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5850079B">
                  <w:pPr>
                    <w:spacing w:line="240" w:lineRule="auto"/>
                    <w:jc w:val="cente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序号</w:t>
                  </w:r>
                </w:p>
              </w:tc>
              <w:tc>
                <w:tcPr>
                  <w:tcW w:w="2804" w:type="pct"/>
                  <w:tcBorders>
                    <w:tl2br w:val="nil"/>
                    <w:tr2bl w:val="nil"/>
                  </w:tcBorders>
                  <w:noWrap w:val="0"/>
                  <w:vAlign w:val="center"/>
                </w:tcPr>
                <w:p w14:paraId="0663B524">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政策要求</w:t>
                  </w:r>
                </w:p>
              </w:tc>
              <w:tc>
                <w:tcPr>
                  <w:tcW w:w="1427" w:type="pct"/>
                  <w:tcBorders>
                    <w:tl2br w:val="nil"/>
                    <w:tr2bl w:val="nil"/>
                  </w:tcBorders>
                  <w:noWrap w:val="0"/>
                  <w:vAlign w:val="center"/>
                </w:tcPr>
                <w:p w14:paraId="1135D9E7">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项目情况</w:t>
                  </w:r>
                </w:p>
              </w:tc>
              <w:tc>
                <w:tcPr>
                  <w:tcW w:w="459" w:type="pct"/>
                  <w:tcBorders>
                    <w:tl2br w:val="nil"/>
                    <w:tr2bl w:val="nil"/>
                  </w:tcBorders>
                  <w:noWrap w:val="0"/>
                  <w:vAlign w:val="center"/>
                </w:tcPr>
                <w:p w14:paraId="3F51E223">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符合性</w:t>
                  </w:r>
                </w:p>
              </w:tc>
            </w:tr>
            <w:tr w14:paraId="5D7EEC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63B7FAFA">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2804" w:type="pct"/>
                  <w:tcBorders>
                    <w:tl2br w:val="nil"/>
                    <w:tr2bl w:val="nil"/>
                  </w:tcBorders>
                  <w:noWrap w:val="0"/>
                  <w:vAlign w:val="center"/>
                </w:tcPr>
                <w:p w14:paraId="21A474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八</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可再生能源替代行动。以清洁低碳转型为重点，大力推进农村可再生能源综合开发利用。因地制宜发展农村沼气，鼓励有条件地区以农业农村废弃物为原料，建设规模化沼气/生物天然气工程，推进沼气集中供气供热、发电上网、生物天然气车用和并入燃气管网等应用，替代化石能源。推广生物质成型燃料、打捆直燃、热解炭气联产等技术，配套清洁炉具和生物质锅炉，助力农村地区清洁取暖。推广太阳能热水器、太阳能灯、太阳房，利用农业设施棚顶、鱼塘等发展光伏农业。</w:t>
                  </w:r>
                </w:p>
              </w:tc>
              <w:tc>
                <w:tcPr>
                  <w:tcW w:w="1427" w:type="pct"/>
                  <w:tcBorders>
                    <w:tl2br w:val="nil"/>
                    <w:tr2bl w:val="nil"/>
                  </w:tcBorders>
                  <w:noWrap w:val="0"/>
                  <w:vAlign w:val="center"/>
                </w:tcPr>
                <w:p w14:paraId="5D9D07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木煤气燃烧后的热能采用</w:t>
                  </w:r>
                  <w:r>
                    <w:rPr>
                      <w:color w:val="000000" w:themeColor="text1"/>
                      <w:sz w:val="21"/>
                      <w:szCs w:val="21"/>
                      <w:highlight w:val="none"/>
                      <w14:textFill>
                        <w14:solidFill>
                          <w14:schemeClr w14:val="tx1"/>
                        </w14:solidFill>
                      </w14:textFill>
                    </w:rPr>
                    <w:t>氢氧化钙-氧化钙/水体系</w:t>
                  </w:r>
                  <w:r>
                    <w:rPr>
                      <w:rFonts w:hint="eastAsia"/>
                      <w:color w:val="000000" w:themeColor="text1"/>
                      <w:sz w:val="21"/>
                      <w:szCs w:val="21"/>
                      <w:highlight w:val="none"/>
                      <w:lang w:val="en-US" w:eastAsia="zh-CN"/>
                      <w14:textFill>
                        <w14:solidFill>
                          <w14:schemeClr w14:val="tx1"/>
                        </w14:solidFill>
                      </w14:textFill>
                    </w:rPr>
                    <w:t>吸热放热进行热能储存与应用，供给周边村庄，用于大棚供暖，减少了农村散煤的使用。</w:t>
                  </w:r>
                </w:p>
              </w:tc>
              <w:tc>
                <w:tcPr>
                  <w:tcW w:w="459" w:type="pct"/>
                  <w:tcBorders>
                    <w:tl2br w:val="nil"/>
                    <w:tr2bl w:val="nil"/>
                  </w:tcBorders>
                  <w:noWrap w:val="0"/>
                  <w:vAlign w:val="center"/>
                </w:tcPr>
                <w:p w14:paraId="4F5A3AA2">
                  <w:pPr>
                    <w:spacing w:line="240" w:lineRule="auto"/>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符合</w:t>
                  </w:r>
                </w:p>
              </w:tc>
            </w:tr>
            <w:tr w14:paraId="0D3B82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6917EBB6">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c>
                <w:tcPr>
                  <w:tcW w:w="2804" w:type="pct"/>
                  <w:tcBorders>
                    <w:tl2br w:val="nil"/>
                    <w:tr2bl w:val="nil"/>
                  </w:tcBorders>
                  <w:noWrap w:val="0"/>
                  <w:vAlign w:val="center"/>
                </w:tcPr>
                <w:p w14:paraId="45F734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专栏13 生物质发电/热电/燃料联产</w:t>
                  </w:r>
                </w:p>
                <w:p w14:paraId="337FF4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生物质发电/热电联产。将生物质通过燃烧、气化等热化学技术转化为热能，用作发电、供热等清洁能源。热解炭气多联产。生物质在隔绝或少量空气条件下，热解转化生成生物炭、热解气、热解油等多联产技术，热解气能够替代化石能源，为农村提供清洁用能，生物炭可作为炭基肥还田固碳。</w:t>
                  </w:r>
                </w:p>
              </w:tc>
              <w:tc>
                <w:tcPr>
                  <w:tcW w:w="1427" w:type="pct"/>
                  <w:tcBorders>
                    <w:tl2br w:val="nil"/>
                    <w:tr2bl w:val="nil"/>
                  </w:tcBorders>
                  <w:noWrap w:val="0"/>
                  <w:vAlign w:val="center"/>
                </w:tcPr>
                <w:p w14:paraId="5A6370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项目以果木枝条、农作物秸秆等农林废弃物为原料开展炭化加工，是区域循环经济产业体系的重要组成部分；炭化产物经复配</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矿源腐殖酸粉</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、复合生物酶粉剂后制成有机肥，生产过程副产木醋液，有机肥与木醋液均可改良土壤、提升耕地地力；</w:t>
                  </w:r>
                  <w:r>
                    <w:rPr>
                      <w:rFonts w:hint="eastAsia"/>
                      <w:color w:val="000000" w:themeColor="text1"/>
                      <w:sz w:val="21"/>
                      <w:szCs w:val="21"/>
                      <w:highlight w:val="none"/>
                      <w:lang w:val="en-US" w:eastAsia="zh-CN"/>
                      <w14:textFill>
                        <w14:solidFill>
                          <w14:schemeClr w14:val="tx1"/>
                        </w14:solidFill>
                      </w14:textFill>
                    </w:rPr>
                    <w:t>木煤气燃烧后的热能采用</w:t>
                  </w:r>
                  <w:r>
                    <w:rPr>
                      <w:color w:val="000000" w:themeColor="text1"/>
                      <w:sz w:val="21"/>
                      <w:szCs w:val="21"/>
                      <w:highlight w:val="none"/>
                      <w14:textFill>
                        <w14:solidFill>
                          <w14:schemeClr w14:val="tx1"/>
                        </w14:solidFill>
                      </w14:textFill>
                    </w:rPr>
                    <w:t>氢氧化钙-氧化钙/水体系</w:t>
                  </w:r>
                  <w:r>
                    <w:rPr>
                      <w:rFonts w:hint="eastAsia"/>
                      <w:color w:val="000000" w:themeColor="text1"/>
                      <w:sz w:val="21"/>
                      <w:szCs w:val="21"/>
                      <w:highlight w:val="none"/>
                      <w:lang w:val="en-US" w:eastAsia="zh-CN"/>
                      <w14:textFill>
                        <w14:solidFill>
                          <w14:schemeClr w14:val="tx1"/>
                        </w14:solidFill>
                      </w14:textFill>
                    </w:rPr>
                    <w:t>吸热放热进行热能储存与应用，供给周边村庄，用于大棚供暖。</w:t>
                  </w:r>
                </w:p>
              </w:tc>
              <w:tc>
                <w:tcPr>
                  <w:tcW w:w="459" w:type="pct"/>
                  <w:tcBorders>
                    <w:tl2br w:val="nil"/>
                    <w:tr2bl w:val="nil"/>
                  </w:tcBorders>
                  <w:noWrap w:val="0"/>
                  <w:vAlign w:val="center"/>
                </w:tcPr>
                <w:p w14:paraId="3EAF3EC5">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符合</w:t>
                  </w:r>
                </w:p>
              </w:tc>
            </w:tr>
          </w:tbl>
          <w:p w14:paraId="323699EA">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both"/>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综上所述，</w:t>
            </w:r>
            <w:r>
              <w:rPr>
                <w:rFonts w:hint="default" w:ascii="Times New Roman" w:hAnsi="Times New Roman" w:cs="Times New Roman"/>
                <w:color w:val="000000" w:themeColor="text1"/>
                <w:sz w:val="24"/>
                <w:szCs w:val="24"/>
                <w:highlight w:val="none"/>
                <w14:textFill>
                  <w14:solidFill>
                    <w14:schemeClr w14:val="tx1"/>
                  </w14:solidFill>
                </w14:textFill>
              </w:rPr>
              <w:t>本项目符合</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关于印发《自治区农业农村减排固碳实施方案（2022</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2030年）》的通知中相关条款要求</w:t>
            </w:r>
            <w:r>
              <w:rPr>
                <w:rFonts w:hint="default" w:ascii="Times New Roman" w:hAnsi="Times New Roman" w:cs="Times New Roman"/>
                <w:color w:val="000000" w:themeColor="text1"/>
                <w:sz w:val="24"/>
                <w:szCs w:val="24"/>
                <w:highlight w:val="none"/>
                <w14:textFill>
                  <w14:solidFill>
                    <w14:schemeClr w14:val="tx1"/>
                  </w14:solidFill>
                </w14:textFill>
              </w:rPr>
              <w:t>。</w:t>
            </w:r>
          </w:p>
          <w:p w14:paraId="292623ED">
            <w:pPr>
              <w:pStyle w:val="5"/>
              <w:keepNext/>
              <w:keepLines/>
              <w:pageBreakBefore w:val="0"/>
              <w:widowControl w:val="0"/>
              <w:kinsoku/>
              <w:wordWrap/>
              <w:overflowPunct/>
              <w:topLinePunct w:val="0"/>
              <w:autoSpaceDE/>
              <w:autoSpaceDN/>
              <w:bidi w:val="0"/>
              <w:adjustRightInd w:val="0"/>
              <w:snapToGrid w:val="0"/>
              <w:spacing w:before="0" w:after="0" w:line="360" w:lineRule="auto"/>
              <w:ind w:left="0" w:leftChars="0" w:firstLine="482" w:firstLineChars="200"/>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8</w:t>
            </w:r>
            <w:r>
              <w:rPr>
                <w:rFonts w:hint="eastAsia"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与关于印发《新疆维吾尔自治区工业炉窑大气污染综合治理实施方案》的通知</w:t>
            </w:r>
            <w:r>
              <w:rPr>
                <w:rFonts w:hint="eastAsia" w:eastAsia="宋体" w:cs="Times New Roman"/>
                <w:b/>
                <w:bCs/>
                <w:color w:val="000000" w:themeColor="text1"/>
                <w:highlight w:val="none"/>
                <w:lang w:val="en-US" w:eastAsia="zh-CN"/>
                <w14:textFill>
                  <w14:solidFill>
                    <w14:schemeClr w14:val="tx1"/>
                  </w14:solidFill>
                </w14:textFill>
              </w:rPr>
              <w:t>（新大气发</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〔20</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19</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127</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号</w:t>
            </w:r>
            <w:r>
              <w:rPr>
                <w:rFonts w:hint="eastAsia" w:eastAsia="宋体"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符合性分析</w:t>
            </w:r>
          </w:p>
          <w:p w14:paraId="6A74BA5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与关于印发《新疆维吾尔自治区工业炉窑大气污染综合治理实施方案》的通知符合性分析见表1-7。</w:t>
            </w:r>
          </w:p>
          <w:p w14:paraId="3334EF6F">
            <w:pPr>
              <w:adjustRightInd w:val="0"/>
              <w:snapToGrid w:val="0"/>
              <w:spacing w:line="240" w:lineRule="auto"/>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表1</w:t>
            </w:r>
            <w:r>
              <w:rPr>
                <w:rFonts w:hint="eastAsia"/>
                <w:b/>
                <w:bCs/>
                <w:color w:val="000000" w:themeColor="text1"/>
                <w:kern w:val="0"/>
                <w:szCs w:val="21"/>
                <w:highlight w:val="none"/>
                <w:lang w:val="en-US" w:eastAsia="zh-CN"/>
                <w14:textFill>
                  <w14:solidFill>
                    <w14:schemeClr w14:val="tx1"/>
                  </w14:solidFill>
                </w14:textFill>
              </w:rPr>
              <w:t>-7</w:t>
            </w:r>
            <w:r>
              <w:rPr>
                <w:b/>
                <w:bCs/>
                <w:color w:val="000000" w:themeColor="text1"/>
                <w:kern w:val="0"/>
                <w:szCs w:val="21"/>
                <w:highlight w:val="none"/>
                <w14:textFill>
                  <w14:solidFill>
                    <w14:schemeClr w14:val="tx1"/>
                  </w14:solidFill>
                </w14:textFill>
              </w:rPr>
              <w:t xml:space="preserve"> </w:t>
            </w:r>
            <w:r>
              <w:rPr>
                <w:rFonts w:hint="eastAsia"/>
                <w:b/>
                <w:bCs/>
                <w:color w:val="000000" w:themeColor="text1"/>
                <w:kern w:val="0"/>
                <w:szCs w:val="21"/>
                <w:highlight w:val="none"/>
                <w:lang w:val="en-US" w:eastAsia="zh-CN"/>
                <w14:textFill>
                  <w14:solidFill>
                    <w14:schemeClr w14:val="tx1"/>
                  </w14:solidFill>
                </w14:textFill>
              </w:rPr>
              <w:t xml:space="preserve">  </w:t>
            </w:r>
            <w:r>
              <w:rPr>
                <w:b/>
                <w:bCs/>
                <w:color w:val="000000" w:themeColor="text1"/>
                <w:kern w:val="0"/>
                <w:szCs w:val="21"/>
                <w:highlight w:val="none"/>
                <w14:textFill>
                  <w14:solidFill>
                    <w14:schemeClr w14:val="tx1"/>
                  </w14:solidFill>
                </w14:textFill>
              </w:rPr>
              <w:t>与</w:t>
            </w:r>
            <w:r>
              <w:rPr>
                <w:rFonts w:hint="eastAsia"/>
                <w:b/>
                <w:bCs/>
                <w:color w:val="000000" w:themeColor="text1"/>
                <w:kern w:val="0"/>
                <w:szCs w:val="21"/>
                <w:highlight w:val="none"/>
                <w:lang w:val="en-US" w:eastAsia="zh-CN"/>
                <w14:textFill>
                  <w14:solidFill>
                    <w14:schemeClr w14:val="tx1"/>
                  </w14:solidFill>
                </w14:textFill>
              </w:rPr>
              <w:t>关于印发</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《新疆维吾尔自治区工业炉窑大气污染综合治理实施方案》</w:t>
            </w:r>
            <w:r>
              <w:rPr>
                <w:rFonts w:hint="eastAsia"/>
                <w:b/>
                <w:bCs/>
                <w:color w:val="000000" w:themeColor="text1"/>
                <w:kern w:val="0"/>
                <w:szCs w:val="21"/>
                <w:highlight w:val="none"/>
                <w:lang w:val="en-US" w:eastAsia="zh-CN"/>
                <w14:textFill>
                  <w14:solidFill>
                    <w14:schemeClr w14:val="tx1"/>
                  </w14:solidFill>
                </w14:textFill>
              </w:rPr>
              <w:t>的通知</w:t>
            </w:r>
            <w:r>
              <w:rPr>
                <w:rFonts w:hint="eastAsia"/>
                <w:b/>
                <w:bCs/>
                <w:color w:val="000000" w:themeColor="text1"/>
                <w:kern w:val="0"/>
                <w:szCs w:val="21"/>
                <w:highlight w:val="none"/>
                <w:lang w:eastAsia="zh-CN"/>
                <w14:textFill>
                  <w14:solidFill>
                    <w14:schemeClr w14:val="tx1"/>
                  </w14:solidFill>
                </w14:textFill>
              </w:rPr>
              <w:t>符合性分析</w:t>
            </w:r>
            <w:r>
              <w:rPr>
                <w:b/>
                <w:bCs/>
                <w:color w:val="000000" w:themeColor="text1"/>
                <w:kern w:val="0"/>
                <w:szCs w:val="21"/>
                <w:highlight w:val="none"/>
                <w14:textFill>
                  <w14:solidFill>
                    <w14:schemeClr w14:val="tx1"/>
                  </w14:solidFill>
                </w14:textFill>
              </w:rPr>
              <w:t>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09"/>
              <w:gridCol w:w="3731"/>
              <w:gridCol w:w="1899"/>
              <w:gridCol w:w="611"/>
            </w:tblGrid>
            <w:tr w14:paraId="4BE4B5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5300FF6A">
                  <w:pPr>
                    <w:spacing w:line="240" w:lineRule="auto"/>
                    <w:jc w:val="cente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序号</w:t>
                  </w:r>
                </w:p>
              </w:tc>
              <w:tc>
                <w:tcPr>
                  <w:tcW w:w="2804" w:type="pct"/>
                  <w:tcBorders>
                    <w:tl2br w:val="nil"/>
                    <w:tr2bl w:val="nil"/>
                  </w:tcBorders>
                  <w:noWrap w:val="0"/>
                  <w:vAlign w:val="center"/>
                </w:tcPr>
                <w:p w14:paraId="4D4EBEAE">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政策要求</w:t>
                  </w:r>
                </w:p>
              </w:tc>
              <w:tc>
                <w:tcPr>
                  <w:tcW w:w="1427" w:type="pct"/>
                  <w:tcBorders>
                    <w:tl2br w:val="nil"/>
                    <w:tr2bl w:val="nil"/>
                  </w:tcBorders>
                  <w:noWrap w:val="0"/>
                  <w:vAlign w:val="center"/>
                </w:tcPr>
                <w:p w14:paraId="311E4503">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项目情况</w:t>
                  </w:r>
                </w:p>
              </w:tc>
              <w:tc>
                <w:tcPr>
                  <w:tcW w:w="459" w:type="pct"/>
                  <w:tcBorders>
                    <w:tl2br w:val="nil"/>
                    <w:tr2bl w:val="nil"/>
                  </w:tcBorders>
                  <w:noWrap w:val="0"/>
                  <w:vAlign w:val="center"/>
                </w:tcPr>
                <w:p w14:paraId="71C901C4">
                  <w:pPr>
                    <w:spacing w:line="240" w:lineRule="auto"/>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符合性</w:t>
                  </w:r>
                </w:p>
              </w:tc>
            </w:tr>
            <w:tr w14:paraId="6E40F9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4078FCFB">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2804" w:type="pct"/>
                  <w:tcBorders>
                    <w:tl2br w:val="nil"/>
                    <w:tr2bl w:val="nil"/>
                  </w:tcBorders>
                  <w:noWrap w:val="0"/>
                  <w:vAlign w:val="center"/>
                </w:tcPr>
                <w:p w14:paraId="46C2B7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加大落后产能和不达标工业炉窑淘汰力度。分行业清理《产业结构调整指导目录》淘汰类工业炉窑。对热效率低下、敞开未封闭，装备简易落后、自动化程度低，无组织排放突出，以及无治理设施或治理设施工艺落后等严重污染环境的工业炉窑，依法责令停业关闭。</w:t>
                  </w:r>
                </w:p>
              </w:tc>
              <w:tc>
                <w:tcPr>
                  <w:tcW w:w="1427" w:type="pct"/>
                  <w:tcBorders>
                    <w:tl2br w:val="nil"/>
                    <w:tr2bl w:val="nil"/>
                  </w:tcBorders>
                  <w:noWrap w:val="0"/>
                  <w:vAlign w:val="center"/>
                </w:tcPr>
                <w:p w14:paraId="66C5E4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本项目不涉及淘汰类及限制类设备</w:t>
                  </w:r>
                  <w:r>
                    <w:rPr>
                      <w:rFonts w:hint="eastAsia" w:cs="Times New Roman"/>
                      <w:color w:val="000000" w:themeColor="text1"/>
                      <w:sz w:val="21"/>
                      <w:szCs w:val="21"/>
                      <w:highlight w:val="none"/>
                      <w:lang w:val="en-US" w:eastAsia="zh-CN"/>
                      <w14:textFill>
                        <w14:solidFill>
                          <w14:schemeClr w14:val="tx1"/>
                        </w14:solidFill>
                      </w14:textFill>
                    </w:rPr>
                    <w:t>。</w:t>
                  </w:r>
                </w:p>
              </w:tc>
              <w:tc>
                <w:tcPr>
                  <w:tcW w:w="459" w:type="pct"/>
                  <w:tcBorders>
                    <w:tl2br w:val="nil"/>
                    <w:tr2bl w:val="nil"/>
                  </w:tcBorders>
                  <w:noWrap w:val="0"/>
                  <w:vAlign w:val="center"/>
                </w:tcPr>
                <w:p w14:paraId="57758797">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符合</w:t>
                  </w:r>
                </w:p>
              </w:tc>
            </w:tr>
            <w:tr w14:paraId="113A02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7" w:type="pct"/>
                  <w:tcBorders>
                    <w:tl2br w:val="nil"/>
                    <w:tr2bl w:val="nil"/>
                  </w:tcBorders>
                  <w:noWrap w:val="0"/>
                  <w:vAlign w:val="center"/>
                </w:tcPr>
                <w:p w14:paraId="2C061DDB">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2804" w:type="pct"/>
                  <w:tcBorders>
                    <w:tl2br w:val="nil"/>
                    <w:tr2bl w:val="nil"/>
                  </w:tcBorders>
                  <w:noWrap w:val="0"/>
                  <w:vAlign w:val="center"/>
                </w:tcPr>
                <w:p w14:paraId="54A548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推进工业炉窑全面达标排放。已有行业排放标准的工业炉窑，严格执行行业排放标准相关规定，配套建设高效脱硫脱硝除尘设施，确保稳定达标排放。重点区域钢铁、水泥、焦化、石化、化工、有色等行业，二氧化硫、氮氧化物、颗粒物、挥发性有机物</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VOCs</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排放全面执行大气污染物特别排放限值。已核发排污许可证的，应严格执行许可要求。暂未制订行业排放标准的工业炉窑，包括铸造、日用玻璃、玻璃纤维、耐火材料、石灰、矿物棉等建材行业，钨、工业硅、金属冶炼废渣</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灰</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二次提取等有色金属行业，氮肥、电石、无机磷、活性炭等化工行业，应参照相关行业已出台的标准，全面加大污染治理力度，铸造行业烧结、高炉工序污染排放控制按照钢铁行业相关标准要求执行</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重点区域原则上按照颗粒物、二氧化硫、氮氧化物排放限值分别不高于30、200、300毫克/立方米实施改造，其中，日用玻璃、玻璃棉氮氧化物排放限值不高于400毫克/立方米。</w:t>
                  </w:r>
                </w:p>
              </w:tc>
              <w:tc>
                <w:tcPr>
                  <w:tcW w:w="1427" w:type="pct"/>
                  <w:tcBorders>
                    <w:tl2br w:val="nil"/>
                    <w:tr2bl w:val="nil"/>
                  </w:tcBorders>
                  <w:noWrap w:val="0"/>
                  <w:vAlign w:val="center"/>
                </w:tcPr>
                <w:p w14:paraId="421D7D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项目热风炉废气处理后颗粒物、二氧化硫、氮氧化物均满足《新疆维吾尔自治区工业炉窑大气污染综合治理实施方案》（新大气发〔2019〕127号）中重点区域工业炉窑大气排放浓度限值。</w:t>
                  </w:r>
                </w:p>
              </w:tc>
              <w:tc>
                <w:tcPr>
                  <w:tcW w:w="459" w:type="pct"/>
                  <w:tcBorders>
                    <w:tl2br w:val="nil"/>
                    <w:tr2bl w:val="nil"/>
                  </w:tcBorders>
                  <w:noWrap w:val="0"/>
                  <w:vAlign w:val="center"/>
                </w:tcPr>
                <w:p w14:paraId="18360473">
                  <w:pPr>
                    <w:spacing w:line="240" w:lineRule="auto"/>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符合</w:t>
                  </w:r>
                </w:p>
              </w:tc>
            </w:tr>
          </w:tbl>
          <w:p w14:paraId="0EE6377F">
            <w:pPr>
              <w:pStyle w:val="64"/>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right="0" w:firstLine="480" w:firstLineChars="200"/>
              <w:jc w:val="both"/>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综上所述，</w:t>
            </w:r>
            <w:r>
              <w:rPr>
                <w:rFonts w:hint="default" w:ascii="Times New Roman" w:hAnsi="Times New Roman" w:cs="Times New Roman"/>
                <w:color w:val="000000" w:themeColor="text1"/>
                <w:sz w:val="24"/>
                <w:szCs w:val="24"/>
                <w:highlight w:val="none"/>
                <w14:textFill>
                  <w14:solidFill>
                    <w14:schemeClr w14:val="tx1"/>
                  </w14:solidFill>
                </w14:textFill>
              </w:rPr>
              <w:t>本项目符合</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关于印发《新疆维吾尔自治区工业炉窑大气污染综</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合治理实施方案》的通知中相关条款要求</w:t>
            </w:r>
            <w:r>
              <w:rPr>
                <w:rFonts w:hint="default" w:ascii="Times New Roman" w:hAnsi="Times New Roman" w:cs="Times New Roman"/>
                <w:color w:val="000000" w:themeColor="text1"/>
                <w:sz w:val="24"/>
                <w:szCs w:val="24"/>
                <w:highlight w:val="none"/>
                <w14:textFill>
                  <w14:solidFill>
                    <w14:schemeClr w14:val="tx1"/>
                  </w14:solidFill>
                </w14:textFill>
              </w:rPr>
              <w:t>。</w:t>
            </w:r>
          </w:p>
          <w:p w14:paraId="73304C7E">
            <w:pPr>
              <w:pStyle w:val="64"/>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right="0" w:firstLine="482" w:firstLineChars="200"/>
              <w:textAlignment w:val="auto"/>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cs="Times New Roman"/>
                <w:b/>
                <w:bCs/>
                <w:color w:val="000000" w:themeColor="text1"/>
                <w:kern w:val="0"/>
                <w:sz w:val="24"/>
                <w:szCs w:val="24"/>
                <w:highlight w:val="none"/>
                <w:lang w:val="en-US" w:eastAsia="zh-CN" w:bidi="ar-SA"/>
                <w14:textFill>
                  <w14:solidFill>
                    <w14:schemeClr w14:val="tx1"/>
                  </w14:solidFill>
                </w14:textFill>
              </w:rPr>
              <w:t>9</w:t>
            </w:r>
            <w:r>
              <w:rPr>
                <w:rFonts w:hint="eastAsia"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、选址合理性</w:t>
            </w:r>
          </w:p>
          <w:p w14:paraId="3CE185A6">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1）本项目区域不属于特殊或重要生态敏感区，附近无国家及省级确定的风景名胜区、历史遗迹等保护区，无地表水、地下水水源地分布，也无重点保护生态品种及濒危生物物种、文物古迹等，生态约束条件少。</w:t>
            </w:r>
          </w:p>
          <w:p w14:paraId="052DD5B6">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（2）本项目位于新疆昌吉回族自治州呼图壁县大丰镇红柳塘村丹霞路28号，租赁呼图壁县大丰镇红柳塘村股份经济合作社现有场地，占地面积8123m</w:t>
            </w:r>
            <w:r>
              <w:rPr>
                <w:rFonts w:hint="eastAsia" w:ascii="Times New Roman" w:hAnsi="Times New Roman" w:cs="Times New Roman"/>
                <w:color w:val="000000" w:themeColor="text1"/>
                <w:kern w:val="0"/>
                <w:sz w:val="24"/>
                <w:szCs w:val="24"/>
                <w:highlight w:val="none"/>
                <w:vertAlign w:val="superscript"/>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，用地合法且规模、性质、权属等清楚无纠纷，占地</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类型为工业用地，本项目建设不另新增用地，用地条件满足项目建设需求。</w:t>
            </w:r>
          </w:p>
          <w:p w14:paraId="19D7ED32">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3）根据现状调查资料，项目所在地环境空气、地表水、声环境质量均较好，具有一定的环境容量，项目的建设符合当地环境功能区划要求。本项目废气预测结果表明，各废气污染物短期最大贡献浓度均小于环境质量浓度限值，本项目无需设置大气环境防护距离。</w:t>
            </w:r>
          </w:p>
          <w:p w14:paraId="03AF9DC7">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（4）项目区西侧丹霞路，丹霞路与G312相接，交通条件十分便利，区位优势明显；厂址所在地水、电、原料供应均有保证，满足生产及生活需求。</w:t>
            </w:r>
          </w:p>
          <w:p w14:paraId="04E25D1B">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（5）与西侧新疆元鲜记食品科技有限公司相容性分析</w:t>
            </w:r>
          </w:p>
          <w:p w14:paraId="37D557F1">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根据表3</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3主要环境保护目标，本项目大气主要环境保护目标为厂址北侧105~535m的红柳塘村四队居民点、厂址西侧15~155m的新疆元鲜记食品科技有限公司（食品生产企业，保护对象为厂区工作人员）。</w:t>
            </w:r>
          </w:p>
          <w:p w14:paraId="48134775">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对照《食品安全国家标准 食品生产通用卫生规范》（GB14881</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2025）3.1、3.2章节选址及厂区环境要求，该标准仅作出定性管控，未规定量化防护距离数值，食品生产企业应规避有毒有害物质、粉尘等扩散性污染源，本项目为有机肥生产及热力生产供应项目，存在粉尘等污染物产生；从总平面布置上，项目全部产污工艺单元均布置于厂区东侧，远离西侧新疆元鲜记食品科技有限公司，从布局源头降低废气对西侧食品企业的影响。结合呼图壁县风玫瑰可知，区域常年主导风向为西南风，红柳塘村四队居民点位于年主导风向侧风向；西侧新疆元鲜记食品科技有限公司处于年主导风向侧上风向。</w:t>
            </w:r>
          </w:p>
          <w:p w14:paraId="2842172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新疆元鲜记食品科技有限公司为番茄酱生产企业，生产周期为每年8～9月</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根据该企业环境影响报告表，项目无防护距离要求，但环评提出管控要求：厂区周边不得引进、新建水泥类生产企业，保障番茄酱厂正常生产运行</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不属于水泥类生产企业；同时，从食品卫生防护角度考虑，本项目与新疆元鲜记食品科技有限公司采取错峰生产方案，即本项目每年8～9月停产检修。综上，本项目建设不会对新疆元鲜记食品科技有限公司生产运营产生不利影响，可满足原有环评及其批复中关于周边企业引进的管控要求。</w:t>
            </w:r>
          </w:p>
          <w:p w14:paraId="28B8CD3D">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本项目配套多套布袋除尘、静电除尘等废气治理设施，可有效削减大气污染物排放，进一步减小废气环境影响，最大限度降低粉尘等无组织扩散风险，减小对西侧新疆元鲜记食品科技有限公司的污染影响；在落实各项污染防治措施前提下，项目废气影响可控，可满足GB14881</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2025对食品生产企业周边污染源的防控前提。</w:t>
            </w:r>
          </w:p>
          <w:p w14:paraId="594AB2CA">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（6）声环境方面：项目厂界外50m范围内无声环境保护目标，生产设备噪声采取减振、隔声等降噪措施后，对周边居民生活影响较小。</w:t>
            </w:r>
          </w:p>
          <w:p w14:paraId="60D08434">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综合项目用地条件、区域环境功能区划、气象风向条件、总平面布局、污染治理配套条件、与西侧已建食品企业原有环评批复、现行食品卫生标准符合性、大气预测结论来看，本项目选址从大气、声环境保护角度具备合理性。</w:t>
            </w:r>
          </w:p>
          <w:p w14:paraId="065CFF17">
            <w:pPr>
              <w:pStyle w:val="2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综上所述，项目的厂址选择是可行的。</w:t>
            </w:r>
          </w:p>
          <w:p w14:paraId="7CAF7C6E">
            <w:pPr>
              <w:keepNext w:val="0"/>
              <w:keepLines w:val="0"/>
              <w:pageBreakBefore w:val="0"/>
              <w:widowControl w:val="0"/>
              <w:suppressLineNumbers w:val="0"/>
              <w:kinsoku/>
              <w:wordWrap w:val="0"/>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602E9B73">
            <w:pPr>
              <w:pStyle w:val="7"/>
              <w:rPr>
                <w:rFonts w:hint="default"/>
                <w:color w:val="000000" w:themeColor="text1"/>
                <w:lang w:val="en-US" w:eastAsia="zh-CN"/>
                <w14:textFill>
                  <w14:solidFill>
                    <w14:schemeClr w14:val="tx1"/>
                  </w14:solidFill>
                </w14:textFill>
              </w:rPr>
            </w:pPr>
          </w:p>
          <w:p w14:paraId="61FCB757">
            <w:pPr>
              <w:pStyle w:val="7"/>
              <w:rPr>
                <w:rFonts w:hint="default"/>
                <w:color w:val="000000" w:themeColor="text1"/>
                <w:lang w:val="en-US" w:eastAsia="zh-CN"/>
                <w14:textFill>
                  <w14:solidFill>
                    <w14:schemeClr w14:val="tx1"/>
                  </w14:solidFill>
                </w14:textFill>
              </w:rPr>
            </w:pPr>
          </w:p>
        </w:tc>
      </w:tr>
    </w:tbl>
    <w:p w14:paraId="5FD617C2">
      <w:pPr>
        <w:pStyle w:val="27"/>
        <w:jc w:val="center"/>
        <w:outlineLvl w:val="0"/>
        <w:rPr>
          <w:rFonts w:hint="default" w:ascii="Times New Roman" w:hAnsi="Times New Roman" w:eastAsia="宋体" w:cs="Times New Roman"/>
          <w:b/>
          <w:bCs/>
          <w:snapToGrid w:val="0"/>
          <w:color w:val="000000" w:themeColor="text1"/>
          <w:sz w:val="30"/>
          <w:szCs w:val="30"/>
          <w14:textFill>
            <w14:solidFill>
              <w14:schemeClr w14:val="tx1"/>
            </w14:solidFill>
          </w14:textFill>
        </w:rPr>
      </w:pPr>
      <w:bookmarkStart w:id="4" w:name="_Toc11342"/>
      <w:r>
        <w:rPr>
          <w:rFonts w:hint="default" w:ascii="Times New Roman" w:hAnsi="Times New Roman" w:eastAsia="宋体" w:cs="Times New Roman"/>
          <w:b/>
          <w:bCs/>
          <w:snapToGrid w:val="0"/>
          <w:color w:val="000000" w:themeColor="text1"/>
          <w:sz w:val="30"/>
          <w:szCs w:val="30"/>
          <w14:textFill>
            <w14:solidFill>
              <w14:schemeClr w14:val="tx1"/>
            </w14:solidFill>
          </w14:textFill>
        </w:rPr>
        <w:t>二、建设项目工程分析</w:t>
      </w:r>
      <w:bookmarkEnd w:id="4"/>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161"/>
      </w:tblGrid>
      <w:tr w14:paraId="501C5A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79" w:hRule="atLeast"/>
          <w:jc w:val="center"/>
        </w:trPr>
        <w:tc>
          <w:tcPr>
            <w:tcW w:w="823" w:type="dxa"/>
            <w:noWrap w:val="0"/>
            <w:vAlign w:val="center"/>
          </w:tcPr>
          <w:p w14:paraId="3A698D7F">
            <w:pPr>
              <w:pStyle w:val="27"/>
              <w:adjustRightInd w:val="0"/>
              <w:snapToGrid w:val="0"/>
              <w:spacing w:before="0" w:beforeAutospacing="0" w:after="0" w:afterAutospacing="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建设内容</w:t>
            </w:r>
          </w:p>
        </w:tc>
        <w:tc>
          <w:tcPr>
            <w:tcW w:w="8161" w:type="dxa"/>
            <w:noWrap w:val="0"/>
            <w:vAlign w:val="top"/>
          </w:tcPr>
          <w:p w14:paraId="3FB6EF14">
            <w:pPr>
              <w:pStyle w:val="2"/>
              <w:keepLines/>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jc w:val="left"/>
              <w:textAlignment w:val="auto"/>
              <w:rPr>
                <w:rFonts w:hint="default" w:ascii="Times New Roman" w:hAnsi="Times New Roman" w:eastAsia="宋体" w:cs="Times New Roman"/>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Cs w:val="0"/>
                <w:color w:val="000000" w:themeColor="text1"/>
                <w:sz w:val="24"/>
                <w:szCs w:val="24"/>
                <w:highlight w:val="none"/>
                <w:lang w:val="en-US" w:eastAsia="zh-CN"/>
                <w14:textFill>
                  <w14:solidFill>
                    <w14:schemeClr w14:val="tx1"/>
                  </w14:solidFill>
                </w14:textFill>
              </w:rPr>
              <w:t>1、项目</w:t>
            </w:r>
            <w:r>
              <w:rPr>
                <w:rFonts w:hint="eastAsia" w:ascii="Times New Roman" w:hAnsi="Times New Roman" w:eastAsia="宋体" w:cs="Times New Roman"/>
                <w:bCs w:val="0"/>
                <w:color w:val="000000" w:themeColor="text1"/>
                <w:sz w:val="24"/>
                <w:szCs w:val="24"/>
                <w:highlight w:val="none"/>
                <w:lang w:val="en-US" w:eastAsia="zh-CN"/>
                <w14:textFill>
                  <w14:solidFill>
                    <w14:schemeClr w14:val="tx1"/>
                  </w14:solidFill>
                </w14:textFill>
              </w:rPr>
              <w:t>由来</w:t>
            </w:r>
          </w:p>
          <w:p w14:paraId="1E7A44D4">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随着人民生活质量不断提升，国家持续推进生态文明建设，2024年中央发布新时代以来第12个聚焦</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三农</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的中央一号文件，农产品质量安全与农业生态环境问题已成为社会关注热点，可持续农业发展是实现经济、社会与生态协调发展的关键路径。农业生产中长期过量施用化肥、农药，对农产品品质与农田生态环境造成不利影响。本项目依托秸秆炭化生产的木炭，搭配矿源腐殖酸粉、过磷酸钙、硫酸钾、</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复合生物酶粉剂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等辅料，生产粉状、颗粒状生物炭基有机肥。项目将农林废弃物资源化产物转化为富含有机质、有益微生物及养分的生物炭基有机肥产品，可替代部分化肥，有效缓解农业面源污染，助力种植业绿色转型，推动农业可持续发展。</w:t>
            </w:r>
          </w:p>
          <w:p w14:paraId="2EEC6BBD">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在此背景下，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呼图壁融鼎农林科技有限责任公司拟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建设</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此</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0A8817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《中华人民共和国生态环境法典》</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《中华人民共和国环境影响评价法》《建设项目环境保护管理条例》的有关规定，本项目应进行环境影响评价。</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《建设项目环境影响评价分类管理名录》（2021版），本项目属于</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二十三、化学原料和化学制品制造业26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45、肥料制造262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其他</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应编制生态环境影响报告表。呼图壁融鼎农林科技有限责任公司委托我公司承担</w:t>
            </w:r>
            <w:r>
              <w:rPr>
                <w:rFonts w:hint="default" w:ascii="Times New Roman" w:hAnsi="Times New Roman" w:eastAsia="宋体" w:cs="Times New Roman"/>
                <w:color w:val="000000" w:themeColor="text1"/>
                <w:sz w:val="24"/>
                <w:szCs w:val="24"/>
                <w14:textFill>
                  <w14:solidFill>
                    <w14:schemeClr w14:val="tx1"/>
                  </w14:solidFill>
                </w14:textFill>
              </w:rPr>
              <w:t>呼图壁融鼎农林科技有限责任公司秸秆及粪污综合利用项目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的环境影响评价工作。接受委托后，我公司立即对区域环境现状进行了调查踏勘，</w:t>
            </w:r>
            <w:r>
              <w:rPr>
                <w:rFonts w:hint="default" w:ascii="Times New Roman" w:hAnsi="Times New Roman" w:eastAsia="宋体" w:cs="Times New Roman"/>
                <w:color w:val="000000" w:themeColor="text1"/>
                <w:sz w:val="24"/>
                <w:szCs w:val="24"/>
                <w:highlight w:val="none"/>
                <w:lang w:val="zh-TW" w:eastAsia="zh-TW"/>
                <w14:textFill>
                  <w14:solidFill>
                    <w14:schemeClr w14:val="tx1"/>
                  </w14:solidFill>
                </w14:textFill>
              </w:rPr>
              <w:t>收集了当地水文、气象以及环境现状等资料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，依据国家有关法规文件、环境影响评价技术导则以及《建设项目环境影响报告表编制技术指南（</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污染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影响</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类</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（试行）</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，编制了《呼图壁融鼎农林科技有限责任公司秸秆及粪污综合利用项目生态环境影响报告表》。</w:t>
            </w:r>
          </w:p>
          <w:p w14:paraId="1D34A21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昌吉回族自治州生态环境局于2026年7月31日对</w:t>
            </w:r>
            <w:r>
              <w:rPr>
                <w:rFonts w:hint="eastAsia" w:cs="Times New Roman"/>
                <w:color w:val="000000" w:themeColor="text1"/>
                <w:sz w:val="24"/>
                <w:szCs w:val="24"/>
                <w:highlight w:val="none"/>
                <w:lang w:val="en-US" w:eastAsia="zh-CN"/>
                <w14:textFill>
                  <w14:solidFill>
                    <w14:schemeClr w14:val="tx1"/>
                  </w14:solidFill>
                </w14:textFill>
              </w:rPr>
              <w:t>本项目现场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进行了调查，本项目已建设1个炭化车间及配套设备，车间外还建有1条固体碳基肥生产线，但该生产线未配备相关设备，但尚未开展生产作业，可依法免予行政处罚。（昌吉回族自治州生态环境局不予行政处罚事先告知书昌州环不罚告〔2026〕7-3号，详见附件8）。</w:t>
            </w:r>
          </w:p>
          <w:p w14:paraId="5DC13B87">
            <w:pPr>
              <w:keepNext w:val="0"/>
              <w:keepLines w:val="0"/>
              <w:widowControl/>
              <w:numPr>
                <w:ilvl w:val="0"/>
                <w:numId w:val="0"/>
              </w:numPr>
              <w:suppressLineNumbers w:val="0"/>
              <w:spacing w:line="360" w:lineRule="auto"/>
              <w:ind w:firstLine="482" w:firstLineChars="200"/>
              <w:jc w:val="left"/>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2、项目概况</w:t>
            </w:r>
          </w:p>
          <w:p w14:paraId="15238554">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项目名称：</w:t>
            </w:r>
            <w:r>
              <w:rPr>
                <w:rFonts w:hint="default" w:ascii="Times New Roman" w:hAnsi="Times New Roman" w:eastAsia="宋体" w:cs="Times New Roman"/>
                <w:color w:val="000000" w:themeColor="text1"/>
                <w:sz w:val="24"/>
                <w:szCs w:val="24"/>
                <w14:textFill>
                  <w14:solidFill>
                    <w14:schemeClr w14:val="tx1"/>
                  </w14:solidFill>
                </w14:textFill>
              </w:rPr>
              <w:t>呼图壁融鼎农林科技有限责任公司秸秆及粪污综合利用项目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75244DF4">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建设单位：</w:t>
            </w:r>
            <w:r>
              <w:rPr>
                <w:rFonts w:hint="default" w:ascii="Times New Roman" w:hAnsi="Times New Roman" w:eastAsia="宋体" w:cs="Times New Roman"/>
                <w:color w:val="000000" w:themeColor="text1"/>
                <w:sz w:val="24"/>
                <w:szCs w:val="24"/>
                <w14:textFill>
                  <w14:solidFill>
                    <w14:schemeClr w14:val="tx1"/>
                  </w14:solidFill>
                </w14:textFill>
              </w:rPr>
              <w:t>呼图壁融鼎农林科技有限责任公司</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4185D584">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建设性质：新建；</w:t>
            </w:r>
          </w:p>
          <w:p w14:paraId="067D3FE5">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建设地点：本项目位于</w:t>
            </w:r>
            <w:r>
              <w:rPr>
                <w:rFonts w:hint="default" w:ascii="Times New Roman" w:hAnsi="Times New Roman" w:eastAsia="宋体" w:cs="Times New Roman"/>
                <w:color w:val="000000" w:themeColor="text1"/>
                <w:sz w:val="24"/>
                <w:szCs w:val="24"/>
                <w14:textFill>
                  <w14:solidFill>
                    <w14:schemeClr w14:val="tx1"/>
                  </w14:solidFill>
                </w14:textFill>
              </w:rPr>
              <w:t>新疆维吾尔自治区昌吉回族自治州呼图壁县大丰镇红柳</w:t>
            </w:r>
            <w:r>
              <w:rPr>
                <w:rFonts w:hint="eastAsia" w:cs="Times New Roman"/>
                <w:color w:val="000000" w:themeColor="text1"/>
                <w:sz w:val="24"/>
                <w:szCs w:val="24"/>
                <w:lang w:eastAsia="zh-CN"/>
                <w14:textFill>
                  <w14:solidFill>
                    <w14:schemeClr w14:val="tx1"/>
                  </w14:solidFill>
                </w14:textFill>
              </w:rPr>
              <w:t>塘村</w:t>
            </w:r>
            <w:r>
              <w:rPr>
                <w:rFonts w:hint="default" w:ascii="Times New Roman" w:hAnsi="Times New Roman" w:eastAsia="宋体" w:cs="Times New Roman"/>
                <w:color w:val="000000" w:themeColor="text1"/>
                <w:sz w:val="24"/>
                <w:szCs w:val="24"/>
                <w14:textFill>
                  <w14:solidFill>
                    <w14:schemeClr w14:val="tx1"/>
                  </w14:solidFill>
                </w14:textFill>
              </w:rPr>
              <w:t>丹霞路28号</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。项目区东侧为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农田；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南侧为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农田；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西侧为</w:t>
            </w:r>
            <w:r>
              <w:rPr>
                <w:rFonts w:hint="default" w:ascii="Times New Roman" w:hAnsi="Times New Roman" w:eastAsia="宋体" w:cs="Times New Roman"/>
                <w:color w:val="000000" w:themeColor="text1"/>
                <w:sz w:val="24"/>
                <w:szCs w:val="24"/>
                <w14:textFill>
                  <w14:solidFill>
                    <w14:schemeClr w14:val="tx1"/>
                  </w14:solidFill>
                </w14:textFill>
              </w:rPr>
              <w:t>丹霞路</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、新疆元鲜记食品科技有限公司；</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北侧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为国道312；</w:t>
            </w:r>
          </w:p>
          <w:p w14:paraId="66F002AE">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中心地理坐标为：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E</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86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°38′51.716″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N</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4°10′32.257″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项目地理位置见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附</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图</w:t>
            </w:r>
            <w:r>
              <w:rPr>
                <w:rFonts w:hint="eastAsia"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周边环境关系图见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附</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图</w:t>
            </w:r>
            <w:r>
              <w:rPr>
                <w:rFonts w:hint="eastAsia"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5D41688D">
            <w:pPr>
              <w:autoSpaceDE w:val="0"/>
              <w:autoSpaceDN w:val="0"/>
              <w:adjustRightInd w:val="0"/>
              <w:snapToGrid w:val="0"/>
              <w:spacing w:line="360" w:lineRule="auto"/>
              <w:ind w:firstLine="482" w:firstLineChars="200"/>
              <w:jc w:val="both"/>
              <w:rPr>
                <w:rFonts w:hint="default" w:ascii="Times New Roman" w:hAnsi="Times New Roman" w:cs="Times New Roman"/>
                <w:b/>
                <w:bCs/>
                <w:color w:val="000000" w:themeColor="text1"/>
                <w:sz w:val="24"/>
                <w:szCs w:val="24"/>
                <w:highlight w:val="none"/>
                <w:lang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4"/>
                <w:szCs w:val="24"/>
                <w:highlight w:val="none"/>
                <w:lang w:eastAsia="zh-CN"/>
                <w14:textFill>
                  <w14:solidFill>
                    <w14:schemeClr w14:val="tx1"/>
                  </w14:solidFill>
                </w14:textFill>
              </w:rPr>
              <w:t>、项目建设内容及规模</w:t>
            </w:r>
          </w:p>
          <w:p w14:paraId="2432AAFC">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（1）本项目建设内容与备案证一致性分析：</w:t>
            </w:r>
          </w:p>
          <w:p w14:paraId="77B704BD">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根据本项目备案证：新建办公室、宿舍、食堂、配电室、畜禽粪便储藏分离间、液体肥生产车间、液体肥成品仓库、废弃物堆库、物料粉碎机车间、固体炭基肥生产车间、炭基肥成品仓库、废水处理车间、废气处理车间、及其他附属设施，购置安装成套生产设备，及环保、消防等设备。</w:t>
            </w:r>
          </w:p>
          <w:p w14:paraId="134CEE2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eastAsia="宋体" w:cs="Times New Roman"/>
                <w:b w:val="0"/>
                <w:bCs/>
                <w:snapToGrid w:val="0"/>
                <w:color w:val="000000" w:themeColor="text1"/>
                <w:kern w:val="0"/>
                <w:sz w:val="24"/>
                <w:szCs w:val="24"/>
                <w:highlight w:val="none"/>
                <w:lang w:val="en-US" w:eastAsia="zh-CN" w:bidi="ar-SA"/>
                <w14:textFill>
                  <w14:solidFill>
                    <w14:schemeClr w14:val="tx1"/>
                  </w14:solidFill>
                </w14:textFill>
              </w:rPr>
              <w:t>租赁</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呼图壁县大丰镇红柳塘村股份经济合作社</w:t>
            </w:r>
            <w:r>
              <w:rPr>
                <w:rFonts w:hint="eastAsia" w:eastAsia="宋体" w:cs="Times New Roman"/>
                <w:b w:val="0"/>
                <w:bCs/>
                <w:snapToGrid w:val="0"/>
                <w:color w:val="000000" w:themeColor="text1"/>
                <w:kern w:val="0"/>
                <w:sz w:val="24"/>
                <w:szCs w:val="24"/>
                <w:highlight w:val="none"/>
                <w:lang w:val="en-US" w:eastAsia="zh-CN" w:bidi="ar-SA"/>
                <w14:textFill>
                  <w14:solidFill>
                    <w14:schemeClr w14:val="tx1"/>
                  </w14:solidFill>
                </w14:textFill>
              </w:rPr>
              <w:t>现有场地</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，场地原有配套项目为呼图壁县农业园区大丰镇红柳塘村农作物秸秆初加工综合利用产业区建设项目；</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办公室依托原有；劳动人员来自附近村镇，不新建宿舍、食堂；</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项目</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主要采用矿源腐殖酸粉与木炭进行混合制备有机肥，原辅材料中无</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畜禽粪便</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不建设畜禽粪便储藏分离间</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本项目营运期</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无生产废水，废水主要为生活污水，无需建设</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废水处理车间；配电室及消防水池依托原有。</w:t>
            </w:r>
          </w:p>
          <w:p w14:paraId="6C7683EB">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（2）本项目建设内容及规模</w:t>
            </w:r>
          </w:p>
          <w:p w14:paraId="544459B2">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建设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农林</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秸秆</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废弃物</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破碎车间1间、固体肥车间1间、液体肥车间1间、热储能车间1间，同时</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购置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安装成套生产设备及环保、消防等设备；建成后形成1条有机肥生产线，</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年产</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29442.4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t有机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肥</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，同时副产木醋液7891.584t/a、木焦油1488t/a、氧化钙7506.18t/a。</w:t>
            </w:r>
          </w:p>
          <w:p w14:paraId="1FF2CA4C">
            <w:pPr>
              <w:spacing w:line="360" w:lineRule="auto"/>
              <w:ind w:firstLine="480" w:firstLineChars="200"/>
              <w:jc w:val="both"/>
              <w:rPr>
                <w:rFonts w:hint="default" w:ascii="Times New Roman" w:hAnsi="Times New Roman" w:cs="Times New Roman"/>
                <w:b/>
                <w:color w:val="000000" w:themeColor="text1"/>
                <w:kern w:val="2"/>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项目组成详见表2-1。</w:t>
            </w:r>
          </w:p>
          <w:p w14:paraId="29D86333">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
                <w:color w:val="000000" w:themeColor="text1"/>
                <w:kern w:val="2"/>
                <w:sz w:val="21"/>
                <w:szCs w:val="21"/>
                <w:highlight w:val="none"/>
                <w:lang w:eastAsia="zh-CN"/>
                <w14:textFill>
                  <w14:solidFill>
                    <w14:schemeClr w14:val="tx1"/>
                  </w14:solidFill>
                </w14:textFill>
              </w:rPr>
              <w:t>表2-1   项目组成一览表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507"/>
              <w:gridCol w:w="1485"/>
              <w:gridCol w:w="4736"/>
              <w:gridCol w:w="1217"/>
            </w:tblGrid>
            <w:tr w14:paraId="6E23C15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992" w:type="dxa"/>
                  <w:gridSpan w:val="2"/>
                  <w:tcBorders>
                    <w:tl2br w:val="nil"/>
                    <w:tr2bl w:val="nil"/>
                  </w:tcBorders>
                  <w:noWrap w:val="0"/>
                  <w:vAlign w:val="center"/>
                </w:tcPr>
                <w:p w14:paraId="2AB51001">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项目名称</w:t>
                  </w:r>
                </w:p>
              </w:tc>
              <w:tc>
                <w:tcPr>
                  <w:tcW w:w="4736" w:type="dxa"/>
                  <w:tcBorders>
                    <w:tl2br w:val="nil"/>
                    <w:tr2bl w:val="nil"/>
                  </w:tcBorders>
                  <w:noWrap w:val="0"/>
                  <w:vAlign w:val="center"/>
                </w:tcPr>
                <w:p w14:paraId="48D30D9E">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建设内容</w:t>
                  </w:r>
                </w:p>
              </w:tc>
              <w:tc>
                <w:tcPr>
                  <w:tcW w:w="1217" w:type="dxa"/>
                  <w:tcBorders>
                    <w:tl2br w:val="nil"/>
                    <w:tr2bl w:val="nil"/>
                  </w:tcBorders>
                  <w:noWrap w:val="0"/>
                  <w:vAlign w:val="center"/>
                </w:tcPr>
                <w:p w14:paraId="361B6085">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备注</w:t>
                  </w:r>
                </w:p>
              </w:tc>
            </w:tr>
            <w:tr w14:paraId="177F8E7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restart"/>
                  <w:tcBorders>
                    <w:right w:val="single" w:color="auto" w:sz="4" w:space="0"/>
                    <w:tl2br w:val="nil"/>
                    <w:tr2bl w:val="nil"/>
                  </w:tcBorders>
                  <w:noWrap w:val="0"/>
                  <w:vAlign w:val="center"/>
                </w:tcPr>
                <w:p w14:paraId="0FD9A89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主体</w:t>
                  </w:r>
                </w:p>
                <w:p w14:paraId="2D0C044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工程</w:t>
                  </w:r>
                </w:p>
                <w:p w14:paraId="181A9E2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485" w:type="dxa"/>
                  <w:tcBorders>
                    <w:left w:val="single" w:color="auto" w:sz="4" w:space="0"/>
                    <w:tl2br w:val="nil"/>
                    <w:tr2bl w:val="nil"/>
                  </w:tcBorders>
                  <w:noWrap w:val="0"/>
                  <w:vAlign w:val="center"/>
                </w:tcPr>
                <w:p w14:paraId="75B304D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农林</w:t>
                  </w:r>
                  <w:r>
                    <w:rPr>
                      <w:rFonts w:hint="eastAsia" w:cs="Times New Roman"/>
                      <w:snapToGrid/>
                      <w:color w:val="000000" w:themeColor="text1"/>
                      <w:kern w:val="2"/>
                      <w:sz w:val="21"/>
                      <w:szCs w:val="21"/>
                      <w:highlight w:val="none"/>
                      <w:lang w:val="en-US" w:eastAsia="zh-CN"/>
                      <w14:textFill>
                        <w14:solidFill>
                          <w14:schemeClr w14:val="tx1"/>
                        </w14:solidFill>
                      </w14:textFill>
                    </w:rPr>
                    <w:t>秸秆</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废弃物</w:t>
                  </w:r>
                  <w:r>
                    <w:rPr>
                      <w:rFonts w:hint="eastAsia" w:cs="Times New Roman"/>
                      <w:snapToGrid/>
                      <w:color w:val="000000" w:themeColor="text1"/>
                      <w:kern w:val="2"/>
                      <w:sz w:val="21"/>
                      <w:szCs w:val="21"/>
                      <w:highlight w:val="none"/>
                      <w:lang w:val="en-US" w:eastAsia="zh-CN"/>
                      <w14:textFill>
                        <w14:solidFill>
                          <w14:schemeClr w14:val="tx1"/>
                        </w14:solidFill>
                      </w14:textFill>
                    </w:rPr>
                    <w:t>破碎车间</w:t>
                  </w:r>
                </w:p>
              </w:tc>
              <w:tc>
                <w:tcPr>
                  <w:tcW w:w="4736" w:type="dxa"/>
                  <w:tcBorders>
                    <w:tl2br w:val="nil"/>
                    <w:tr2bl w:val="nil"/>
                  </w:tcBorders>
                  <w:noWrap w:val="0"/>
                  <w:vAlign w:val="center"/>
                </w:tcPr>
                <w:p w14:paraId="2A4DA0F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农林</w:t>
                  </w:r>
                  <w:r>
                    <w:rPr>
                      <w:rFonts w:hint="eastAsia" w:cs="Times New Roman"/>
                      <w:snapToGrid/>
                      <w:color w:val="000000" w:themeColor="text1"/>
                      <w:kern w:val="2"/>
                      <w:sz w:val="21"/>
                      <w:szCs w:val="21"/>
                      <w:highlight w:val="none"/>
                      <w:lang w:val="en-US" w:eastAsia="zh-CN"/>
                      <w14:textFill>
                        <w14:solidFill>
                          <w14:schemeClr w14:val="tx1"/>
                        </w14:solidFill>
                      </w14:textFill>
                    </w:rPr>
                    <w:t>秸秆</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废弃物</w:t>
                  </w:r>
                  <w:r>
                    <w:rPr>
                      <w:rFonts w:hint="eastAsia" w:cs="Times New Roman"/>
                      <w:snapToGrid/>
                      <w:color w:val="000000" w:themeColor="text1"/>
                      <w:kern w:val="2"/>
                      <w:sz w:val="21"/>
                      <w:szCs w:val="21"/>
                      <w:highlight w:val="none"/>
                      <w:lang w:val="en-US" w:eastAsia="zh-CN"/>
                      <w14:textFill>
                        <w14:solidFill>
                          <w14:schemeClr w14:val="tx1"/>
                        </w14:solidFill>
                      </w14:textFill>
                    </w:rPr>
                    <w:t>破碎</w:t>
                  </w:r>
                  <w:r>
                    <w:rPr>
                      <w:rFonts w:hint="eastAsia" w:cs="Times New Roman"/>
                      <w:snapToGrid/>
                      <w:color w:val="000000" w:themeColor="text1"/>
                      <w:kern w:val="2"/>
                      <w:sz w:val="21"/>
                      <w:szCs w:val="21"/>
                      <w:highlight w:val="none"/>
                      <w:lang w:val="en-US" w:eastAsia="zh-CN"/>
                      <w14:textFill>
                        <w14:solidFill>
                          <w14:schemeClr w14:val="tx1"/>
                        </w14:solidFill>
                      </w14:textFill>
                    </w:rPr>
                    <w:t>全封闭式</w:t>
                  </w:r>
                  <w:r>
                    <w:rPr>
                      <w:rFonts w:hint="eastAsia" w:cs="Times New Roman"/>
                      <w:snapToGrid/>
                      <w:color w:val="000000" w:themeColor="text1"/>
                      <w:kern w:val="2"/>
                      <w:sz w:val="21"/>
                      <w:szCs w:val="21"/>
                      <w:highlight w:val="none"/>
                      <w:lang w:val="en-US" w:eastAsia="zh-CN"/>
                      <w14:textFill>
                        <w14:solidFill>
                          <w14:schemeClr w14:val="tx1"/>
                        </w14:solidFill>
                      </w14:textFill>
                    </w:rPr>
                    <w:t>车间1间，</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一层，高度</w:t>
                  </w:r>
                  <w:r>
                    <w:rPr>
                      <w:rFonts w:hint="eastAsia" w:cs="Times New Roman"/>
                      <w:snapToGrid/>
                      <w:color w:val="000000" w:themeColor="text1"/>
                      <w:kern w:val="2"/>
                      <w:sz w:val="21"/>
                      <w:szCs w:val="21"/>
                      <w:highlight w:val="none"/>
                      <w:lang w:val="en-US" w:eastAsia="zh-CN"/>
                      <w14:textFill>
                        <w14:solidFill>
                          <w14:schemeClr w14:val="tx1"/>
                        </w14:solidFill>
                      </w14:textFill>
                    </w:rPr>
                    <w:t>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2116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r>
                    <w:rPr>
                      <w:rFonts w:hint="eastAsia" w:cs="Times New Roman"/>
                      <w:snapToGrid/>
                      <w:color w:val="000000" w:themeColor="text1"/>
                      <w:kern w:val="2"/>
                      <w:sz w:val="21"/>
                      <w:szCs w:val="21"/>
                      <w:highlight w:val="none"/>
                      <w:lang w:val="en-US" w:eastAsia="zh-CN"/>
                      <w14:textFill>
                        <w14:solidFill>
                          <w14:schemeClr w14:val="tx1"/>
                        </w14:solidFill>
                      </w14:textFill>
                    </w:rPr>
                    <w:t>秸秆破碎后经封闭式输送带输送至</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碳化车间</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217" w:type="dxa"/>
                  <w:tcBorders>
                    <w:tl2br w:val="nil"/>
                    <w:tr2bl w:val="nil"/>
                  </w:tcBorders>
                  <w:noWrap w:val="0"/>
                  <w:vAlign w:val="center"/>
                </w:tcPr>
                <w:p w14:paraId="3D3338FB">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新建</w:t>
                  </w:r>
                </w:p>
              </w:tc>
            </w:tr>
            <w:tr w14:paraId="78D5282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right w:val="single" w:color="auto" w:sz="4" w:space="0"/>
                    <w:tl2br w:val="nil"/>
                    <w:tr2bl w:val="nil"/>
                  </w:tcBorders>
                  <w:noWrap w:val="0"/>
                  <w:vAlign w:val="center"/>
                </w:tcPr>
                <w:p w14:paraId="0200623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485" w:type="dxa"/>
                  <w:tcBorders>
                    <w:left w:val="single" w:color="auto" w:sz="4" w:space="0"/>
                    <w:tl2br w:val="nil"/>
                    <w:tr2bl w:val="nil"/>
                  </w:tcBorders>
                  <w:noWrap w:val="0"/>
                  <w:vAlign w:val="center"/>
                </w:tcPr>
                <w:p w14:paraId="57FFA0C1">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碳化</w:t>
                  </w:r>
                </w:p>
                <w:p w14:paraId="52781C6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车间</w:t>
                  </w:r>
                </w:p>
              </w:tc>
              <w:tc>
                <w:tcPr>
                  <w:tcW w:w="4736" w:type="dxa"/>
                  <w:tcBorders>
                    <w:tl2br w:val="nil"/>
                    <w:tr2bl w:val="nil"/>
                  </w:tcBorders>
                  <w:noWrap w:val="0"/>
                  <w:vAlign w:val="center"/>
                </w:tcPr>
                <w:p w14:paraId="0ED9C6E3">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全封闭式</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碳化车间</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1间，一层，高度</w:t>
                  </w:r>
                  <w:r>
                    <w:rPr>
                      <w:rFonts w:hint="eastAsia" w:cs="Times New Roman"/>
                      <w:snapToGrid/>
                      <w:color w:val="000000" w:themeColor="text1"/>
                      <w:kern w:val="2"/>
                      <w:sz w:val="21"/>
                      <w:szCs w:val="21"/>
                      <w:highlight w:val="none"/>
                      <w:lang w:val="en-US" w:eastAsia="zh-CN"/>
                      <w14:textFill>
                        <w14:solidFill>
                          <w14:schemeClr w14:val="tx1"/>
                        </w14:solidFill>
                      </w14:textFill>
                    </w:rPr>
                    <w:t>7.35</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1011.44</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；共计布设</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4台</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碳化</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炉</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（规格相同）</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，单炉单次</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最大</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装载</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量为</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8t/次</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，单炉燃烧周期为10h/次，</w:t>
                  </w:r>
                  <w:r>
                    <w:rPr>
                      <w:rFonts w:hint="eastAsia" w:cs="Times New Roman"/>
                      <w:snapToGrid/>
                      <w:color w:val="000000" w:themeColor="text1"/>
                      <w:kern w:val="2"/>
                      <w:sz w:val="21"/>
                      <w:szCs w:val="21"/>
                      <w:highlight w:val="none"/>
                      <w:lang w:val="en-US" w:eastAsia="zh-CN"/>
                      <w14:textFill>
                        <w14:solidFill>
                          <w14:schemeClr w14:val="tx1"/>
                        </w14:solidFill>
                      </w14:textFill>
                    </w:rPr>
                    <w:t>冷却为2</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h/次，</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4台</w:t>
                  </w:r>
                  <w:r>
                    <w:rPr>
                      <w:rFonts w:hint="eastAsia" w:cs="Times New Roman"/>
                      <w:snapToGrid/>
                      <w:color w:val="000000" w:themeColor="text1"/>
                      <w:kern w:val="2"/>
                      <w:sz w:val="21"/>
                      <w:szCs w:val="21"/>
                      <w:highlight w:val="none"/>
                      <w:lang w:val="en-US" w:eastAsia="zh-CN"/>
                      <w14:textFill>
                        <w14:solidFill>
                          <w14:schemeClr w14:val="tx1"/>
                        </w14:solidFill>
                      </w14:textFill>
                    </w:rPr>
                    <w:t>共计</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消耗秸秆</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最大量为</w:t>
                  </w:r>
                  <w:r>
                    <w:rPr>
                      <w:rFonts w:hint="eastAsia" w:cs="Times New Roman"/>
                      <w:snapToGrid/>
                      <w:color w:val="000000" w:themeColor="text1"/>
                      <w:kern w:val="2"/>
                      <w:sz w:val="21"/>
                      <w:szCs w:val="21"/>
                      <w:highlight w:val="none"/>
                      <w:lang w:val="en-US" w:eastAsia="zh-CN"/>
                      <w14:textFill>
                        <w14:solidFill>
                          <w14:schemeClr w14:val="tx1"/>
                        </w14:solidFill>
                      </w14:textFill>
                    </w:rPr>
                    <w:t>64</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/d。</w:t>
                  </w:r>
                </w:p>
              </w:tc>
              <w:tc>
                <w:tcPr>
                  <w:tcW w:w="1217" w:type="dxa"/>
                  <w:tcBorders>
                    <w:tl2br w:val="nil"/>
                    <w:tr2bl w:val="nil"/>
                  </w:tcBorders>
                  <w:noWrap w:val="0"/>
                  <w:vAlign w:val="center"/>
                </w:tcPr>
                <w:p w14:paraId="75C1536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车间</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已建，依托原有车间</w:t>
                  </w:r>
                </w:p>
              </w:tc>
            </w:tr>
            <w:tr w14:paraId="351C500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07" w:type="dxa"/>
                  <w:vMerge w:val="continue"/>
                  <w:tcBorders>
                    <w:right w:val="single" w:color="auto" w:sz="4" w:space="0"/>
                    <w:tl2br w:val="nil"/>
                    <w:tr2bl w:val="nil"/>
                  </w:tcBorders>
                  <w:noWrap w:val="0"/>
                  <w:vAlign w:val="center"/>
                </w:tcPr>
                <w:p w14:paraId="6D6225A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485" w:type="dxa"/>
                  <w:tcBorders>
                    <w:left w:val="single" w:color="auto" w:sz="4" w:space="0"/>
                    <w:tl2br w:val="nil"/>
                    <w:tr2bl w:val="nil"/>
                  </w:tcBorders>
                  <w:noWrap w:val="0"/>
                  <w:vAlign w:val="center"/>
                </w:tcPr>
                <w:p w14:paraId="5604DDDC">
                  <w:pPr>
                    <w:widowControl w:val="0"/>
                    <w:kinsoku/>
                    <w:autoSpaceDE/>
                    <w:autoSpaceDN/>
                    <w:adjustRightInd/>
                    <w:snapToGrid/>
                    <w:spacing w:line="240" w:lineRule="auto"/>
                    <w:jc w:val="center"/>
                    <w:textAlignment w:val="auto"/>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固体肥</w:t>
                  </w:r>
                </w:p>
                <w:p w14:paraId="096ED243">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车间</w:t>
                  </w:r>
                </w:p>
              </w:tc>
              <w:tc>
                <w:tcPr>
                  <w:tcW w:w="4736" w:type="dxa"/>
                  <w:tcBorders>
                    <w:tl2br w:val="nil"/>
                    <w:tr2bl w:val="nil"/>
                  </w:tcBorders>
                  <w:noWrap w:val="0"/>
                  <w:vAlign w:val="center"/>
                </w:tcPr>
                <w:p w14:paraId="512F50C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全封闭式</w:t>
                  </w:r>
                  <w:r>
                    <w:rPr>
                      <w:rFonts w:hint="eastAsia" w:ascii="Times New Roman" w:hAnsi="Times New Roman" w:cs="Times New Roman"/>
                      <w:color w:val="000000" w:themeColor="text1"/>
                      <w:szCs w:val="21"/>
                      <w:lang w:val="en-US" w:eastAsia="zh-CN"/>
                      <w14:textFill>
                        <w14:solidFill>
                          <w14:schemeClr w14:val="tx1"/>
                        </w14:solidFill>
                      </w14:textFill>
                    </w:rPr>
                    <w:t>固体肥</w:t>
                  </w:r>
                  <w:r>
                    <w:rPr>
                      <w:rFonts w:hint="default" w:ascii="Times New Roman" w:hAnsi="Times New Roman" w:cs="Times New Roman"/>
                      <w:color w:val="000000" w:themeColor="text1"/>
                      <w:szCs w:val="21"/>
                      <w14:textFill>
                        <w14:solidFill>
                          <w14:schemeClr w14:val="tx1"/>
                        </w14:solidFill>
                      </w14:textFill>
                    </w:rPr>
                    <w:t>车间</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1间，一层，高度</w:t>
                  </w:r>
                  <w:r>
                    <w:rPr>
                      <w:rFonts w:hint="eastAsia" w:cs="Times New Roman"/>
                      <w:snapToGrid/>
                      <w:color w:val="000000" w:themeColor="text1"/>
                      <w:kern w:val="2"/>
                      <w:sz w:val="21"/>
                      <w:szCs w:val="21"/>
                      <w:highlight w:val="none"/>
                      <w:lang w:val="en-US" w:eastAsia="zh-CN"/>
                      <w14:textFill>
                        <w14:solidFill>
                          <w14:schemeClr w14:val="tx1"/>
                        </w14:solidFill>
                      </w14:textFill>
                    </w:rPr>
                    <w:t>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1326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；包含炭块破碎及筛分、粉状炭基肥灌装、颗粒炭基肥造粒灌装工序</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p>
              </w:tc>
              <w:tc>
                <w:tcPr>
                  <w:tcW w:w="1217" w:type="dxa"/>
                  <w:tcBorders>
                    <w:tl2br w:val="nil"/>
                    <w:tr2bl w:val="nil"/>
                  </w:tcBorders>
                  <w:noWrap w:val="0"/>
                  <w:vAlign w:val="center"/>
                </w:tcPr>
                <w:p w14:paraId="30062A9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新建</w:t>
                  </w:r>
                </w:p>
              </w:tc>
            </w:tr>
            <w:tr w14:paraId="2A05467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07" w:type="dxa"/>
                  <w:vMerge w:val="continue"/>
                  <w:tcBorders>
                    <w:right w:val="single" w:color="auto" w:sz="4" w:space="0"/>
                    <w:tl2br w:val="nil"/>
                    <w:tr2bl w:val="nil"/>
                  </w:tcBorders>
                  <w:noWrap w:val="0"/>
                  <w:vAlign w:val="center"/>
                </w:tcPr>
                <w:p w14:paraId="5B6F15B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485" w:type="dxa"/>
                  <w:tcBorders>
                    <w:left w:val="single" w:color="auto" w:sz="4" w:space="0"/>
                    <w:tl2br w:val="nil"/>
                    <w:tr2bl w:val="nil"/>
                  </w:tcBorders>
                  <w:noWrap w:val="0"/>
                  <w:vAlign w:val="center"/>
                </w:tcPr>
                <w:p w14:paraId="20D59D48">
                  <w:pPr>
                    <w:widowControl w:val="0"/>
                    <w:kinsoku/>
                    <w:autoSpaceDE/>
                    <w:autoSpaceDN/>
                    <w:adjustRightInd/>
                    <w:snapToGrid/>
                    <w:spacing w:line="240" w:lineRule="auto"/>
                    <w:jc w:val="center"/>
                    <w:textAlignment w:val="auto"/>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液体肥</w:t>
                  </w:r>
                </w:p>
                <w:p w14:paraId="289EBEF8">
                  <w:pPr>
                    <w:widowControl w:val="0"/>
                    <w:kinsoku/>
                    <w:autoSpaceDE/>
                    <w:autoSpaceDN/>
                    <w:adjustRightInd/>
                    <w:snapToGrid/>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车间</w:t>
                  </w:r>
                </w:p>
              </w:tc>
              <w:tc>
                <w:tcPr>
                  <w:tcW w:w="4736" w:type="dxa"/>
                  <w:tcBorders>
                    <w:tl2br w:val="nil"/>
                    <w:tr2bl w:val="nil"/>
                  </w:tcBorders>
                  <w:noWrap w:val="0"/>
                  <w:vAlign w:val="center"/>
                </w:tcPr>
                <w:p w14:paraId="79DBADFB">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全封闭式</w:t>
                  </w:r>
                  <w:r>
                    <w:rPr>
                      <w:rFonts w:hint="eastAsia" w:ascii="Times New Roman" w:hAnsi="Times New Roman" w:cs="Times New Roman"/>
                      <w:color w:val="000000" w:themeColor="text1"/>
                      <w:szCs w:val="21"/>
                      <w:lang w:val="en-US" w:eastAsia="zh-CN"/>
                      <w14:textFill>
                        <w14:solidFill>
                          <w14:schemeClr w14:val="tx1"/>
                        </w14:solidFill>
                      </w14:textFill>
                    </w:rPr>
                    <w:t>液体肥</w:t>
                  </w:r>
                  <w:r>
                    <w:rPr>
                      <w:rFonts w:hint="default" w:ascii="Times New Roman" w:hAnsi="Times New Roman" w:cs="Times New Roman"/>
                      <w:color w:val="000000" w:themeColor="text1"/>
                      <w:szCs w:val="21"/>
                      <w14:textFill>
                        <w14:solidFill>
                          <w14:schemeClr w14:val="tx1"/>
                        </w14:solidFill>
                      </w14:textFill>
                    </w:rPr>
                    <w:t>车间</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1间，一层，高度</w:t>
                  </w:r>
                  <w:r>
                    <w:rPr>
                      <w:rFonts w:hint="eastAsia" w:cs="Times New Roman"/>
                      <w:snapToGrid/>
                      <w:color w:val="000000" w:themeColor="text1"/>
                      <w:kern w:val="2"/>
                      <w:sz w:val="21"/>
                      <w:szCs w:val="21"/>
                      <w:highlight w:val="none"/>
                      <w:lang w:val="en-US" w:eastAsia="zh-CN"/>
                      <w14:textFill>
                        <w14:solidFill>
                          <w14:schemeClr w14:val="tx1"/>
                        </w14:solidFill>
                      </w14:textFill>
                    </w:rPr>
                    <w:t>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650</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w:t>
                  </w:r>
                  <w:r>
                    <w:rPr>
                      <w:rFonts w:hint="eastAsia" w:cs="Times New Roman"/>
                      <w:snapToGrid/>
                      <w:color w:val="000000" w:themeColor="text1"/>
                      <w:kern w:val="2"/>
                      <w:sz w:val="21"/>
                      <w:szCs w:val="21"/>
                      <w:highlight w:val="none"/>
                      <w:lang w:val="en-US" w:eastAsia="zh-CN"/>
                      <w14:textFill>
                        <w14:solidFill>
                          <w14:schemeClr w14:val="tx1"/>
                        </w14:solidFill>
                      </w14:textFill>
                    </w:rPr>
                    <w:t>主要用于木醋液、木焦油物理分离，不涉及化学过程。</w:t>
                  </w:r>
                </w:p>
              </w:tc>
              <w:tc>
                <w:tcPr>
                  <w:tcW w:w="1217" w:type="dxa"/>
                  <w:tcBorders>
                    <w:tl2br w:val="nil"/>
                    <w:tr2bl w:val="nil"/>
                  </w:tcBorders>
                  <w:noWrap w:val="0"/>
                  <w:vAlign w:val="center"/>
                </w:tcPr>
                <w:p w14:paraId="7EFC0514">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新建</w:t>
                  </w:r>
                </w:p>
              </w:tc>
            </w:tr>
            <w:tr w14:paraId="6625E15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right w:val="single" w:color="auto" w:sz="4" w:space="0"/>
                    <w:tl2br w:val="nil"/>
                    <w:tr2bl w:val="nil"/>
                  </w:tcBorders>
                  <w:noWrap w:val="0"/>
                  <w:vAlign w:val="center"/>
                </w:tcPr>
                <w:p w14:paraId="132D377E">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485" w:type="dxa"/>
                  <w:tcBorders>
                    <w:left w:val="single" w:color="auto" w:sz="4" w:space="0"/>
                    <w:tl2br w:val="nil"/>
                    <w:tr2bl w:val="nil"/>
                  </w:tcBorders>
                  <w:noWrap w:val="0"/>
                  <w:vAlign w:val="center"/>
                </w:tcPr>
                <w:p w14:paraId="72D33608">
                  <w:pPr>
                    <w:widowControl w:val="0"/>
                    <w:kinsoku/>
                    <w:autoSpaceDE/>
                    <w:autoSpaceDN/>
                    <w:adjustRightInd/>
                    <w:snapToGrid/>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热储能车间</w:t>
                  </w:r>
                </w:p>
              </w:tc>
              <w:tc>
                <w:tcPr>
                  <w:tcW w:w="4736" w:type="dxa"/>
                  <w:tcBorders>
                    <w:tl2br w:val="nil"/>
                    <w:tr2bl w:val="nil"/>
                  </w:tcBorders>
                  <w:noWrap w:val="0"/>
                  <w:vAlign w:val="center"/>
                </w:tcPr>
                <w:p w14:paraId="4F925E13">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全封闭式</w:t>
                  </w:r>
                  <w:r>
                    <w:rPr>
                      <w:rFonts w:hint="eastAsia" w:cs="Times New Roman"/>
                      <w:color w:val="000000" w:themeColor="text1"/>
                      <w:szCs w:val="21"/>
                      <w:lang w:val="en-US" w:eastAsia="zh-CN"/>
                      <w14:textFill>
                        <w14:solidFill>
                          <w14:schemeClr w14:val="tx1"/>
                        </w14:solidFill>
                      </w14:textFill>
                    </w:rPr>
                    <w:t>热储能车间</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1间，一层，高度</w:t>
                  </w:r>
                  <w:r>
                    <w:rPr>
                      <w:rFonts w:hint="eastAsia" w:cs="Times New Roman"/>
                      <w:snapToGrid/>
                      <w:color w:val="000000" w:themeColor="text1"/>
                      <w:kern w:val="2"/>
                      <w:sz w:val="21"/>
                      <w:szCs w:val="21"/>
                      <w:highlight w:val="none"/>
                      <w:lang w:val="en-US" w:eastAsia="zh-CN"/>
                      <w14:textFill>
                        <w14:solidFill>
                          <w14:schemeClr w14:val="tx1"/>
                        </w14:solidFill>
                      </w14:textFill>
                    </w:rPr>
                    <w:t>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102</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；主要包含</w:t>
                  </w:r>
                  <w:r>
                    <w:rPr>
                      <w:rFonts w:hint="eastAsia"/>
                      <w:color w:val="000000" w:themeColor="text1"/>
                      <w:sz w:val="21"/>
                      <w:szCs w:val="21"/>
                      <w:highlight w:val="none"/>
                      <w:lang w:val="en-US" w:eastAsia="zh-CN"/>
                      <w14:textFill>
                        <w14:solidFill>
                          <w14:schemeClr w14:val="tx1"/>
                        </w14:solidFill>
                      </w14:textFill>
                    </w:rPr>
                    <w:t>木质气燃烧后采用</w:t>
                  </w:r>
                  <w:r>
                    <w:rPr>
                      <w:color w:val="000000" w:themeColor="text1"/>
                      <w:sz w:val="21"/>
                      <w:szCs w:val="21"/>
                      <w:highlight w:val="none"/>
                      <w14:textFill>
                        <w14:solidFill>
                          <w14:schemeClr w14:val="tx1"/>
                        </w14:solidFill>
                      </w14:textFill>
                    </w:rPr>
                    <w:t>氢氧化钙</w:t>
                  </w:r>
                  <w:r>
                    <w:rPr>
                      <w:rFonts w:hint="eastAsia"/>
                      <w:color w:val="000000" w:themeColor="text1"/>
                      <w:sz w:val="21"/>
                      <w:szCs w:val="21"/>
                      <w:highlight w:val="none"/>
                      <w:lang w:val="en-US" w:eastAsia="zh-CN"/>
                      <w14:textFill>
                        <w14:solidFill>
                          <w14:schemeClr w14:val="tx1"/>
                        </w14:solidFill>
                      </w14:textFill>
                    </w:rPr>
                    <w:t>转换为</w:t>
                  </w:r>
                  <w:r>
                    <w:rPr>
                      <w:color w:val="000000" w:themeColor="text1"/>
                      <w:sz w:val="21"/>
                      <w:szCs w:val="21"/>
                      <w:highlight w:val="none"/>
                      <w14:textFill>
                        <w14:solidFill>
                          <w14:schemeClr w14:val="tx1"/>
                        </w14:solidFill>
                      </w14:textFill>
                    </w:rPr>
                    <w:t>氧化钙</w:t>
                  </w:r>
                  <w:r>
                    <w:rPr>
                      <w:rFonts w:hint="eastAsia"/>
                      <w:color w:val="000000" w:themeColor="text1"/>
                      <w:sz w:val="21"/>
                      <w:szCs w:val="21"/>
                      <w:highlight w:val="none"/>
                      <w:lang w:val="en-US" w:eastAsia="zh-CN"/>
                      <w14:textFill>
                        <w14:solidFill>
                          <w14:schemeClr w14:val="tx1"/>
                        </w14:solidFill>
                      </w14:textFill>
                    </w:rPr>
                    <w:t>吸热进行热能储存。</w:t>
                  </w:r>
                </w:p>
              </w:tc>
              <w:tc>
                <w:tcPr>
                  <w:tcW w:w="1217" w:type="dxa"/>
                  <w:tcBorders>
                    <w:tl2br w:val="nil"/>
                    <w:tr2bl w:val="nil"/>
                  </w:tcBorders>
                  <w:noWrap w:val="0"/>
                  <w:vAlign w:val="center"/>
                </w:tcPr>
                <w:p w14:paraId="3B382FD4">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新建</w:t>
                  </w:r>
                </w:p>
              </w:tc>
            </w:tr>
            <w:tr w14:paraId="6E82768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restart"/>
                  <w:tcBorders>
                    <w:tl2br w:val="nil"/>
                    <w:tr2bl w:val="nil"/>
                  </w:tcBorders>
                  <w:noWrap w:val="0"/>
                  <w:vAlign w:val="center"/>
                </w:tcPr>
                <w:p w14:paraId="306055D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辅助</w:t>
                  </w:r>
                </w:p>
                <w:p w14:paraId="0DB282C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工程</w:t>
                  </w:r>
                </w:p>
              </w:tc>
              <w:tc>
                <w:tcPr>
                  <w:tcW w:w="1485" w:type="dxa"/>
                  <w:tcBorders>
                    <w:tl2br w:val="nil"/>
                    <w:tr2bl w:val="nil"/>
                  </w:tcBorders>
                  <w:noWrap w:val="0"/>
                  <w:vAlign w:val="center"/>
                </w:tcPr>
                <w:p w14:paraId="529F355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成品车间</w:t>
                  </w:r>
                </w:p>
              </w:tc>
              <w:tc>
                <w:tcPr>
                  <w:tcW w:w="4736" w:type="dxa"/>
                  <w:tcBorders>
                    <w:tl2br w:val="nil"/>
                    <w:tr2bl w:val="nil"/>
                  </w:tcBorders>
                  <w:noWrap w:val="0"/>
                  <w:vAlign w:val="center"/>
                </w:tcPr>
                <w:p w14:paraId="2A9D6F29">
                  <w:pPr>
                    <w:widowControl w:val="0"/>
                    <w:kinsoku/>
                    <w:autoSpaceDE/>
                    <w:autoSpaceDN/>
                    <w:adjustRightInd/>
                    <w:snapToGrid/>
                    <w:spacing w:line="240" w:lineRule="auto"/>
                    <w:jc w:val="both"/>
                    <w:textAlignment w:val="auto"/>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成品车间1#：</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一层，高度</w:t>
                  </w:r>
                  <w:r>
                    <w:rPr>
                      <w:rFonts w:hint="eastAsia" w:cs="Times New Roman"/>
                      <w:snapToGrid/>
                      <w:color w:val="000000" w:themeColor="text1"/>
                      <w:kern w:val="2"/>
                      <w:sz w:val="21"/>
                      <w:szCs w:val="21"/>
                      <w:highlight w:val="none"/>
                      <w:lang w:val="en-US" w:eastAsia="zh-CN"/>
                      <w14:textFill>
                        <w14:solidFill>
                          <w14:schemeClr w14:val="tx1"/>
                        </w14:solidFill>
                      </w14:textFill>
                    </w:rPr>
                    <w:t>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2684</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p>
                <w:p w14:paraId="5B4BF3D4">
                  <w:pPr>
                    <w:widowControl w:val="0"/>
                    <w:kinsoku/>
                    <w:autoSpaceDE/>
                    <w:autoSpaceDN/>
                    <w:adjustRightInd/>
                    <w:snapToGrid/>
                    <w:spacing w:line="240" w:lineRule="auto"/>
                    <w:jc w:val="both"/>
                    <w:textAlignment w:val="auto"/>
                    <w:rPr>
                      <w:rFonts w:hint="default" w:cs="Times New Roman"/>
                      <w:snapToGrid/>
                      <w:color w:val="000000" w:themeColor="text1"/>
                      <w:kern w:val="2"/>
                      <w:sz w:val="21"/>
                      <w:szCs w:val="21"/>
                      <w:highlight w:val="none"/>
                      <w:vertAlign w:val="baseli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成品车间2#：</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一层，高度</w:t>
                  </w:r>
                  <w:r>
                    <w:rPr>
                      <w:rFonts w:hint="eastAsia" w:cs="Times New Roman"/>
                      <w:snapToGrid/>
                      <w:color w:val="000000" w:themeColor="text1"/>
                      <w:kern w:val="2"/>
                      <w:sz w:val="21"/>
                      <w:szCs w:val="21"/>
                      <w:highlight w:val="none"/>
                      <w:lang w:val="en-US" w:eastAsia="zh-CN"/>
                      <w14:textFill>
                        <w14:solidFill>
                          <w14:schemeClr w14:val="tx1"/>
                        </w14:solidFill>
                      </w14:textFill>
                    </w:rPr>
                    <w:t>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270</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p>
              </w:tc>
              <w:tc>
                <w:tcPr>
                  <w:tcW w:w="1217" w:type="dxa"/>
                  <w:tcBorders>
                    <w:tl2br w:val="nil"/>
                    <w:tr2bl w:val="nil"/>
                  </w:tcBorders>
                  <w:noWrap w:val="0"/>
                  <w:vAlign w:val="center"/>
                </w:tcPr>
                <w:p w14:paraId="2F6FC83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新建</w:t>
                  </w:r>
                </w:p>
              </w:tc>
            </w:tr>
            <w:tr w14:paraId="480BE7D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416AB4CE">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4D27AA2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库房</w:t>
                  </w:r>
                </w:p>
              </w:tc>
              <w:tc>
                <w:tcPr>
                  <w:tcW w:w="4736" w:type="dxa"/>
                  <w:tcBorders>
                    <w:tl2br w:val="nil"/>
                    <w:tr2bl w:val="nil"/>
                  </w:tcBorders>
                  <w:noWrap w:val="0"/>
                  <w:vAlign w:val="center"/>
                </w:tcPr>
                <w:p w14:paraId="51FBC0A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库房</w:t>
                  </w:r>
                  <w:r>
                    <w:rPr>
                      <w:rFonts w:hint="eastAsia" w:cs="Times New Roman"/>
                      <w:snapToGrid/>
                      <w:color w:val="000000" w:themeColor="text1"/>
                      <w:kern w:val="2"/>
                      <w:sz w:val="21"/>
                      <w:szCs w:val="21"/>
                      <w:highlight w:val="none"/>
                      <w:lang w:val="en-US" w:eastAsia="zh-CN"/>
                      <w14:textFill>
                        <w14:solidFill>
                          <w14:schemeClr w14:val="tx1"/>
                        </w14:solidFill>
                      </w14:textFill>
                    </w:rPr>
                    <w:t>1间；</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一层，高度</w:t>
                  </w:r>
                  <w:r>
                    <w:rPr>
                      <w:rFonts w:hint="eastAsia" w:cs="Times New Roman"/>
                      <w:snapToGrid/>
                      <w:color w:val="000000" w:themeColor="text1"/>
                      <w:kern w:val="2"/>
                      <w:sz w:val="21"/>
                      <w:szCs w:val="21"/>
                      <w:highlight w:val="none"/>
                      <w:lang w:val="en-US" w:eastAsia="zh-CN"/>
                      <w14:textFill>
                        <w14:solidFill>
                          <w14:schemeClr w14:val="tx1"/>
                        </w14:solidFill>
                      </w14:textFill>
                    </w:rPr>
                    <w:t>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160</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p>
              </w:tc>
              <w:tc>
                <w:tcPr>
                  <w:tcW w:w="1217" w:type="dxa"/>
                  <w:tcBorders>
                    <w:tl2br w:val="nil"/>
                    <w:tr2bl w:val="nil"/>
                  </w:tcBorders>
                  <w:noWrap w:val="0"/>
                  <w:vAlign w:val="center"/>
                </w:tcPr>
                <w:p w14:paraId="08454AE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新建</w:t>
                  </w:r>
                </w:p>
              </w:tc>
            </w:tr>
            <w:tr w14:paraId="2B720BE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68728310">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654B5F2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办公</w:t>
                  </w:r>
                </w:p>
              </w:tc>
              <w:tc>
                <w:tcPr>
                  <w:tcW w:w="4736" w:type="dxa"/>
                  <w:tcBorders>
                    <w:tl2br w:val="nil"/>
                    <w:tr2bl w:val="nil"/>
                  </w:tcBorders>
                  <w:noWrap w:val="0"/>
                  <w:vAlign w:val="center"/>
                </w:tcPr>
                <w:p w14:paraId="0A9CA74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办公</w:t>
                  </w:r>
                  <w:r>
                    <w:rPr>
                      <w:rFonts w:hint="eastAsia" w:cs="Times New Roman"/>
                      <w:snapToGrid/>
                      <w:color w:val="000000" w:themeColor="text1"/>
                      <w:kern w:val="2"/>
                      <w:sz w:val="21"/>
                      <w:szCs w:val="21"/>
                      <w:highlight w:val="none"/>
                      <w:lang w:val="en-US" w:eastAsia="zh-CN"/>
                      <w14:textFill>
                        <w14:solidFill>
                          <w14:schemeClr w14:val="tx1"/>
                        </w14:solidFill>
                      </w14:textFill>
                    </w:rPr>
                    <w:t>楼1栋；</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一层，高度</w:t>
                  </w:r>
                  <w:r>
                    <w:rPr>
                      <w:rFonts w:hint="eastAsia" w:cs="Times New Roman"/>
                      <w:snapToGrid/>
                      <w:color w:val="000000" w:themeColor="text1"/>
                      <w:kern w:val="2"/>
                      <w:sz w:val="21"/>
                      <w:szCs w:val="21"/>
                      <w:highlight w:val="none"/>
                      <w:lang w:val="en-US" w:eastAsia="zh-CN"/>
                      <w14:textFill>
                        <w14:solidFill>
                          <w14:schemeClr w14:val="tx1"/>
                        </w14:solidFill>
                      </w14:textFill>
                    </w:rPr>
                    <w:t>3.5</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m，占地面积</w:t>
                  </w:r>
                  <w:r>
                    <w:rPr>
                      <w:rFonts w:hint="eastAsia" w:cs="Times New Roman"/>
                      <w:snapToGrid/>
                      <w:color w:val="000000" w:themeColor="text1"/>
                      <w:kern w:val="2"/>
                      <w:sz w:val="21"/>
                      <w:szCs w:val="21"/>
                      <w:highlight w:val="none"/>
                      <w:lang w:val="en-US" w:eastAsia="zh-CN"/>
                      <w14:textFill>
                        <w14:solidFill>
                          <w14:schemeClr w14:val="tx1"/>
                        </w14:solidFill>
                      </w14:textFill>
                    </w:rPr>
                    <w:t>237.5</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p>
              </w:tc>
              <w:tc>
                <w:tcPr>
                  <w:tcW w:w="1217" w:type="dxa"/>
                  <w:tcBorders>
                    <w:tl2br w:val="nil"/>
                    <w:tr2bl w:val="nil"/>
                  </w:tcBorders>
                  <w:noWrap w:val="0"/>
                  <w:vAlign w:val="center"/>
                </w:tcPr>
                <w:p w14:paraId="14F72855">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已建，依托原有</w:t>
                  </w:r>
                </w:p>
              </w:tc>
            </w:tr>
            <w:tr w14:paraId="63BB965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32F16D5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2A5D504E">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消防</w:t>
                  </w:r>
                </w:p>
              </w:tc>
              <w:tc>
                <w:tcPr>
                  <w:tcW w:w="4736" w:type="dxa"/>
                  <w:tcBorders>
                    <w:tl2br w:val="nil"/>
                    <w:tr2bl w:val="nil"/>
                  </w:tcBorders>
                  <w:noWrap w:val="0"/>
                  <w:vAlign w:val="center"/>
                </w:tcPr>
                <w:p w14:paraId="69B0464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消防</w:t>
                  </w:r>
                  <w:r>
                    <w:rPr>
                      <w:rFonts w:hint="eastAsia" w:cs="Times New Roman"/>
                      <w:snapToGrid/>
                      <w:color w:val="000000" w:themeColor="text1"/>
                      <w:kern w:val="2"/>
                      <w:sz w:val="21"/>
                      <w:szCs w:val="21"/>
                      <w:highlight w:val="none"/>
                      <w:lang w:val="en-US" w:eastAsia="zh-CN"/>
                      <w14:textFill>
                        <w14:solidFill>
                          <w14:schemeClr w14:val="tx1"/>
                        </w14:solidFill>
                      </w14:textFill>
                    </w:rPr>
                    <w:t>水池1座，</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占地面积</w:t>
                  </w:r>
                  <w:r>
                    <w:rPr>
                      <w:rFonts w:hint="eastAsia" w:cs="Times New Roman"/>
                      <w:snapToGrid/>
                      <w:color w:val="000000" w:themeColor="text1"/>
                      <w:kern w:val="2"/>
                      <w:sz w:val="21"/>
                      <w:szCs w:val="21"/>
                      <w:highlight w:val="none"/>
                      <w:lang w:val="en-US" w:eastAsia="zh-CN"/>
                      <w14:textFill>
                        <w14:solidFill>
                          <w14:schemeClr w14:val="tx1"/>
                        </w14:solidFill>
                      </w14:textFill>
                    </w:rPr>
                    <w:t>248.16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容积为500m</w:t>
                  </w:r>
                  <w:r>
                    <w:rPr>
                      <w:rFonts w:hint="eastAsia" w:cs="Times New Roman"/>
                      <w:snapToGrid/>
                      <w:color w:val="000000" w:themeColor="text1"/>
                      <w:kern w:val="2"/>
                      <w:sz w:val="21"/>
                      <w:szCs w:val="21"/>
                      <w:highlight w:val="none"/>
                      <w:vertAlign w:val="superscript"/>
                      <w:lang w:val="en-US" w:eastAsia="zh-CN"/>
                      <w14:textFill>
                        <w14:solidFill>
                          <w14:schemeClr w14:val="tx1"/>
                        </w14:solidFill>
                      </w14:textFill>
                    </w:rPr>
                    <w:t>3</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p>
              </w:tc>
              <w:tc>
                <w:tcPr>
                  <w:tcW w:w="1217" w:type="dxa"/>
                  <w:tcBorders>
                    <w:tl2br w:val="nil"/>
                    <w:tr2bl w:val="nil"/>
                  </w:tcBorders>
                  <w:noWrap w:val="0"/>
                  <w:vAlign w:val="center"/>
                </w:tcPr>
                <w:p w14:paraId="4B4FBCF6">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已建，依托原有</w:t>
                  </w:r>
                </w:p>
              </w:tc>
            </w:tr>
            <w:tr w14:paraId="07B446C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70879E7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147A5FF7">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配电室</w:t>
                  </w:r>
                </w:p>
              </w:tc>
              <w:tc>
                <w:tcPr>
                  <w:tcW w:w="4736" w:type="dxa"/>
                  <w:tcBorders>
                    <w:tl2br w:val="nil"/>
                    <w:tr2bl w:val="nil"/>
                  </w:tcBorders>
                  <w:noWrap w:val="0"/>
                  <w:vAlign w:val="center"/>
                </w:tcPr>
                <w:p w14:paraId="6B28A6E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一间，占地面积28.88</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2</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w:t>
                  </w:r>
                </w:p>
              </w:tc>
              <w:tc>
                <w:tcPr>
                  <w:tcW w:w="1217" w:type="dxa"/>
                  <w:tcBorders>
                    <w:tl2br w:val="nil"/>
                    <w:tr2bl w:val="nil"/>
                  </w:tcBorders>
                  <w:noWrap w:val="0"/>
                  <w:vAlign w:val="center"/>
                </w:tcPr>
                <w:p w14:paraId="1F30FB6F">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已建，依托原有</w:t>
                  </w:r>
                </w:p>
              </w:tc>
            </w:tr>
            <w:tr w14:paraId="79E2485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07" w:type="dxa"/>
                  <w:vMerge w:val="restart"/>
                  <w:tcBorders>
                    <w:tl2br w:val="nil"/>
                    <w:tr2bl w:val="nil"/>
                  </w:tcBorders>
                  <w:noWrap w:val="0"/>
                  <w:vAlign w:val="center"/>
                </w:tcPr>
                <w:p w14:paraId="57B28B2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公用</w:t>
                  </w:r>
                </w:p>
                <w:p w14:paraId="5D04A22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工程</w:t>
                  </w:r>
                </w:p>
              </w:tc>
              <w:tc>
                <w:tcPr>
                  <w:tcW w:w="1485" w:type="dxa"/>
                  <w:tcBorders>
                    <w:tl2br w:val="nil"/>
                    <w:tr2bl w:val="nil"/>
                  </w:tcBorders>
                  <w:noWrap w:val="0"/>
                  <w:vAlign w:val="center"/>
                </w:tcPr>
                <w:p w14:paraId="1FE9E1F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供水系统</w:t>
                  </w:r>
                </w:p>
              </w:tc>
              <w:tc>
                <w:tcPr>
                  <w:tcW w:w="4736" w:type="dxa"/>
                  <w:tcBorders>
                    <w:tl2br w:val="nil"/>
                    <w:tr2bl w:val="nil"/>
                  </w:tcBorders>
                  <w:noWrap w:val="0"/>
                  <w:vAlign w:val="center"/>
                </w:tcPr>
                <w:p w14:paraId="29A8701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村镇自来水管网供水。</w:t>
                  </w:r>
                </w:p>
              </w:tc>
              <w:tc>
                <w:tcPr>
                  <w:tcW w:w="1217" w:type="dxa"/>
                  <w:tcBorders>
                    <w:tl2br w:val="nil"/>
                    <w:tr2bl w:val="nil"/>
                  </w:tcBorders>
                  <w:noWrap w:val="0"/>
                  <w:vAlign w:val="center"/>
                </w:tcPr>
                <w:p w14:paraId="76F649B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已建，依托原有</w:t>
                  </w:r>
                </w:p>
              </w:tc>
            </w:tr>
            <w:tr w14:paraId="470B8E4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07" w:type="dxa"/>
                  <w:vMerge w:val="continue"/>
                  <w:tcBorders>
                    <w:tl2br w:val="nil"/>
                    <w:tr2bl w:val="nil"/>
                  </w:tcBorders>
                  <w:noWrap w:val="0"/>
                  <w:vAlign w:val="center"/>
                </w:tcPr>
                <w:p w14:paraId="49A7B38E">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54144880">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排水系统</w:t>
                  </w:r>
                </w:p>
              </w:tc>
              <w:tc>
                <w:tcPr>
                  <w:tcW w:w="4736" w:type="dxa"/>
                  <w:tcBorders>
                    <w:tl2br w:val="nil"/>
                    <w:tr2bl w:val="nil"/>
                  </w:tcBorders>
                  <w:noWrap w:val="0"/>
                  <w:vAlign w:val="center"/>
                </w:tcPr>
                <w:p w14:paraId="28BD78A4">
                  <w:pPr>
                    <w:jc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生活污水排入</w:t>
                  </w:r>
                  <w:r>
                    <w:rPr>
                      <w:rFonts w:hint="eastAsia" w:cs="Times New Roman"/>
                      <w:snapToGrid/>
                      <w:color w:val="000000" w:themeColor="text1"/>
                      <w:kern w:val="2"/>
                      <w:sz w:val="21"/>
                      <w:szCs w:val="21"/>
                      <w:highlight w:val="none"/>
                      <w:lang w:val="en-US" w:eastAsia="zh-CN"/>
                      <w14:textFill>
                        <w14:solidFill>
                          <w14:schemeClr w14:val="tx1"/>
                        </w14:solidFill>
                      </w14:textFill>
                    </w:rPr>
                    <w:t>厂区</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化粪池</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定期拉运至呼图壁县工业园区化工园污水处理厂集中处理</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217" w:type="dxa"/>
                  <w:tcBorders>
                    <w:tl2br w:val="nil"/>
                    <w:tr2bl w:val="nil"/>
                  </w:tcBorders>
                  <w:noWrap w:val="0"/>
                  <w:vAlign w:val="center"/>
                </w:tcPr>
                <w:p w14:paraId="26B57DD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新建</w:t>
                  </w:r>
                </w:p>
              </w:tc>
            </w:tr>
            <w:tr w14:paraId="7498C96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3FF89AD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w:t>
                  </w:r>
                </w:p>
              </w:tc>
              <w:tc>
                <w:tcPr>
                  <w:tcW w:w="1485" w:type="dxa"/>
                  <w:tcBorders>
                    <w:tl2br w:val="nil"/>
                    <w:tr2bl w:val="nil"/>
                  </w:tcBorders>
                  <w:noWrap w:val="0"/>
                  <w:vAlign w:val="center"/>
                </w:tcPr>
                <w:p w14:paraId="544563A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供电系统</w:t>
                  </w:r>
                </w:p>
              </w:tc>
              <w:tc>
                <w:tcPr>
                  <w:tcW w:w="4736" w:type="dxa"/>
                  <w:tcBorders>
                    <w:tl2br w:val="nil"/>
                    <w:tr2bl w:val="nil"/>
                  </w:tcBorders>
                  <w:noWrap w:val="0"/>
                  <w:vAlign w:val="center"/>
                </w:tcPr>
                <w:p w14:paraId="6D9E2A0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村镇市政电网供电；配电房（控制室）1间。</w:t>
                  </w:r>
                </w:p>
              </w:tc>
              <w:tc>
                <w:tcPr>
                  <w:tcW w:w="1217" w:type="dxa"/>
                  <w:tcBorders>
                    <w:tl2br w:val="nil"/>
                    <w:tr2bl w:val="nil"/>
                  </w:tcBorders>
                  <w:noWrap w:val="0"/>
                  <w:vAlign w:val="center"/>
                </w:tcPr>
                <w:p w14:paraId="16F7FD3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已建，依托原有</w:t>
                  </w:r>
                </w:p>
              </w:tc>
            </w:tr>
            <w:tr w14:paraId="162079A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011C2FB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5415358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供暖系统</w:t>
                  </w:r>
                </w:p>
              </w:tc>
              <w:tc>
                <w:tcPr>
                  <w:tcW w:w="4736" w:type="dxa"/>
                  <w:tcBorders>
                    <w:tl2br w:val="nil"/>
                    <w:tr2bl w:val="nil"/>
                  </w:tcBorders>
                  <w:noWrap w:val="0"/>
                  <w:vAlign w:val="center"/>
                </w:tcPr>
                <w:p w14:paraId="39E81A3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供暖</w:t>
                  </w:r>
                  <w:r>
                    <w:rPr>
                      <w:rFonts w:hint="eastAsia" w:cs="Times New Roman"/>
                      <w:snapToGrid/>
                      <w:color w:val="000000" w:themeColor="text1"/>
                      <w:kern w:val="2"/>
                      <w:sz w:val="21"/>
                      <w:szCs w:val="21"/>
                      <w:highlight w:val="none"/>
                      <w:lang w:val="en-US" w:eastAsia="zh-CN"/>
                      <w14:textFill>
                        <w14:solidFill>
                          <w14:schemeClr w14:val="tx1"/>
                        </w14:solidFill>
                      </w14:textFill>
                    </w:rPr>
                    <w:t>为</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电采暖</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217" w:type="dxa"/>
                  <w:tcBorders>
                    <w:tl2br w:val="nil"/>
                    <w:tr2bl w:val="nil"/>
                  </w:tcBorders>
                  <w:noWrap w:val="0"/>
                  <w:vAlign w:val="center"/>
                </w:tcPr>
                <w:p w14:paraId="26A86F10">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已建，依托原有</w:t>
                  </w:r>
                </w:p>
              </w:tc>
            </w:tr>
            <w:tr w14:paraId="70769B5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restart"/>
                  <w:tcBorders>
                    <w:tl2br w:val="nil"/>
                    <w:tr2bl w:val="nil"/>
                  </w:tcBorders>
                  <w:noWrap w:val="0"/>
                  <w:vAlign w:val="center"/>
                </w:tcPr>
                <w:p w14:paraId="74824A7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环保</w:t>
                  </w:r>
                </w:p>
                <w:p w14:paraId="6F6001F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工程</w:t>
                  </w:r>
                </w:p>
              </w:tc>
              <w:tc>
                <w:tcPr>
                  <w:tcW w:w="1485" w:type="dxa"/>
                  <w:tcBorders>
                    <w:tl2br w:val="nil"/>
                    <w:tr2bl w:val="nil"/>
                  </w:tcBorders>
                  <w:noWrap w:val="0"/>
                  <w:vAlign w:val="center"/>
                </w:tcPr>
                <w:p w14:paraId="1BE470F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废气治理</w:t>
                  </w:r>
                </w:p>
              </w:tc>
              <w:tc>
                <w:tcPr>
                  <w:tcW w:w="4736" w:type="dxa"/>
                  <w:tcBorders>
                    <w:tl2br w:val="nil"/>
                    <w:tr2bl w:val="nil"/>
                  </w:tcBorders>
                  <w:noWrap w:val="0"/>
                  <w:vAlign w:val="center"/>
                </w:tcPr>
                <w:p w14:paraId="46D08E1E">
                  <w:pPr>
                    <w:widowControl w:val="0"/>
                    <w:kinsoku/>
                    <w:autoSpaceDE/>
                    <w:autoSpaceDN/>
                    <w:adjustRightInd/>
                    <w:snapToGrid/>
                    <w:spacing w:line="240" w:lineRule="auto"/>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snapToGrid/>
                      <w:color w:val="000000" w:themeColor="text1"/>
                      <w:kern w:val="2"/>
                      <w:sz w:val="21"/>
                      <w:szCs w:val="21"/>
                      <w:highlight w:val="none"/>
                      <w:lang w:val="en-US" w:eastAsia="zh-CN"/>
                      <w14:textFill>
                        <w14:solidFill>
                          <w14:schemeClr w14:val="tx1"/>
                        </w14:solidFill>
                      </w14:textFill>
                    </w:rPr>
                    <w:t>①农林秸秆废弃物破碎工序废气</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经“集气罩+布袋除尘器+15m高排气筒”</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排放</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（DA001）</w:t>
                  </w:r>
                  <w:r>
                    <w:rPr>
                      <w:rFonts w:hint="eastAsia" w:cs="Times New Roman"/>
                      <w:color w:val="000000" w:themeColor="text1"/>
                      <w:kern w:val="0"/>
                      <w:sz w:val="21"/>
                      <w:szCs w:val="21"/>
                      <w:highlight w:val="none"/>
                      <w:lang w:val="en-US" w:eastAsia="zh-CN" w:bidi="ar"/>
                      <w14:textFill>
                        <w14:solidFill>
                          <w14:schemeClr w14:val="tx1"/>
                        </w14:solidFill>
                      </w14:textFill>
                    </w:rPr>
                    <w:t>；</w:t>
                  </w:r>
                </w:p>
                <w:p w14:paraId="4CB1E16A">
                  <w:pPr>
                    <w:widowControl w:val="0"/>
                    <w:kinsoku/>
                    <w:autoSpaceDE/>
                    <w:autoSpaceDN/>
                    <w:adjustRightInd/>
                    <w:snapToGrid/>
                    <w:spacing w:line="240" w:lineRule="auto"/>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②炭块粉碎、有机肥（筛分、造粒、灌装）工序废气</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经“集气罩+布袋除尘器+15m高排气筒”</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排放</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（DA002）</w:t>
                  </w:r>
                  <w:r>
                    <w:rPr>
                      <w:rFonts w:hint="eastAsia" w:cs="Times New Roman"/>
                      <w:color w:val="000000" w:themeColor="text1"/>
                      <w:kern w:val="0"/>
                      <w:sz w:val="21"/>
                      <w:szCs w:val="21"/>
                      <w:highlight w:val="none"/>
                      <w:lang w:val="en-US" w:eastAsia="zh-CN" w:bidi="ar"/>
                      <w14:textFill>
                        <w14:solidFill>
                          <w14:schemeClr w14:val="tx1"/>
                        </w14:solidFill>
                      </w14:textFill>
                    </w:rPr>
                    <w:t>；</w:t>
                  </w:r>
                </w:p>
                <w:p w14:paraId="67A76B5C">
                  <w:pPr>
                    <w:widowControl w:val="0"/>
                    <w:kinsoku/>
                    <w:autoSpaceDE/>
                    <w:autoSpaceDN/>
                    <w:adjustRightInd/>
                    <w:snapToGrid/>
                    <w:spacing w:line="240" w:lineRule="auto"/>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③</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炭化炉</w:t>
                  </w:r>
                  <w:r>
                    <w:rPr>
                      <w:rFonts w:hint="eastAsia" w:cs="Times New Roman"/>
                      <w:snapToGrid/>
                      <w:color w:val="000000" w:themeColor="text1"/>
                      <w:kern w:val="2"/>
                      <w:sz w:val="21"/>
                      <w:szCs w:val="21"/>
                      <w:highlight w:val="none"/>
                      <w:lang w:val="en-US" w:eastAsia="zh-CN"/>
                      <w14:textFill>
                        <w14:solidFill>
                          <w14:schemeClr w14:val="tx1"/>
                        </w14:solidFill>
                      </w14:textFill>
                    </w:rPr>
                    <w:t>秸秆</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下料</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废气</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经“集气罩+布袋除尘器+15m高排气筒”</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排放</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（DA003）</w:t>
                  </w:r>
                  <w:r>
                    <w:rPr>
                      <w:rFonts w:hint="eastAsia" w:cs="Times New Roman"/>
                      <w:color w:val="000000" w:themeColor="text1"/>
                      <w:kern w:val="0"/>
                      <w:sz w:val="21"/>
                      <w:szCs w:val="21"/>
                      <w:highlight w:val="none"/>
                      <w:lang w:val="en-US" w:eastAsia="zh-CN" w:bidi="ar"/>
                      <w14:textFill>
                        <w14:solidFill>
                          <w14:schemeClr w14:val="tx1"/>
                        </w14:solidFill>
                      </w14:textFill>
                    </w:rPr>
                    <w:t>；</w:t>
                  </w:r>
                </w:p>
                <w:p w14:paraId="458001B4">
                  <w:pPr>
                    <w:widowControl w:val="0"/>
                    <w:kinsoku/>
                    <w:autoSpaceDE/>
                    <w:autoSpaceDN/>
                    <w:adjustRightInd/>
                    <w:snapToGrid/>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④热风炉燃烧工序</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废气</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经“静电除尘器+15m高排气筒”</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排放</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A004）；</w:t>
                  </w:r>
                </w:p>
                <w:p w14:paraId="0236988F">
                  <w:pPr>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⑤</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未收集的</w:t>
                  </w:r>
                  <w:r>
                    <w:rPr>
                      <w:rFonts w:hint="eastAsia" w:cs="Times New Roman"/>
                      <w:color w:val="000000" w:themeColor="text1"/>
                      <w:kern w:val="0"/>
                      <w:sz w:val="21"/>
                      <w:szCs w:val="21"/>
                      <w:highlight w:val="none"/>
                      <w:lang w:val="en-US" w:eastAsia="zh-CN" w:bidi="ar"/>
                      <w14:textFill>
                        <w14:solidFill>
                          <w14:schemeClr w14:val="tx1"/>
                        </w14:solidFill>
                      </w14:textFill>
                    </w:rPr>
                    <w:t>颗粒物</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、VOCs（非甲烷总烃计）</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加强车间通风</w:t>
                  </w:r>
                  <w:r>
                    <w:rPr>
                      <w:rFonts w:hint="eastAsia" w:cs="Times New Roman"/>
                      <w:color w:val="000000" w:themeColor="text1"/>
                      <w:kern w:val="0"/>
                      <w:sz w:val="21"/>
                      <w:szCs w:val="21"/>
                      <w:highlight w:val="none"/>
                      <w:lang w:val="en-US" w:eastAsia="zh-CN" w:bidi="ar"/>
                      <w14:textFill>
                        <w14:solidFill>
                          <w14:schemeClr w14:val="tx1"/>
                        </w14:solidFill>
                      </w14:textFill>
                    </w:rPr>
                    <w:t>。</w:t>
                  </w:r>
                </w:p>
              </w:tc>
              <w:tc>
                <w:tcPr>
                  <w:tcW w:w="1217" w:type="dxa"/>
                  <w:tcBorders>
                    <w:tl2br w:val="nil"/>
                    <w:tr2bl w:val="nil"/>
                  </w:tcBorders>
                  <w:noWrap w:val="0"/>
                  <w:vAlign w:val="center"/>
                </w:tcPr>
                <w:p w14:paraId="2E8F24C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新建</w:t>
                  </w:r>
                </w:p>
              </w:tc>
            </w:tr>
            <w:tr w14:paraId="4CD0CAB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07" w:type="dxa"/>
                  <w:vMerge w:val="continue"/>
                  <w:tcBorders>
                    <w:tl2br w:val="nil"/>
                    <w:tr2bl w:val="nil"/>
                  </w:tcBorders>
                  <w:noWrap w:val="0"/>
                  <w:vAlign w:val="center"/>
                </w:tcPr>
                <w:p w14:paraId="68348D83">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21451F9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废水治理</w:t>
                  </w:r>
                </w:p>
              </w:tc>
              <w:tc>
                <w:tcPr>
                  <w:tcW w:w="4736" w:type="dxa"/>
                  <w:tcBorders>
                    <w:tl2br w:val="nil"/>
                    <w:tr2bl w:val="nil"/>
                  </w:tcBorders>
                  <w:noWrap w:val="0"/>
                  <w:vAlign w:val="center"/>
                </w:tcPr>
                <w:p w14:paraId="13DB8AC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生活污水排入</w:t>
                  </w:r>
                  <w:r>
                    <w:rPr>
                      <w:rFonts w:hint="eastAsia" w:cs="Times New Roman"/>
                      <w:snapToGrid/>
                      <w:color w:val="000000" w:themeColor="text1"/>
                      <w:kern w:val="2"/>
                      <w:sz w:val="21"/>
                      <w:szCs w:val="21"/>
                      <w:highlight w:val="none"/>
                      <w:lang w:val="en-US" w:eastAsia="zh-CN"/>
                      <w14:textFill>
                        <w14:solidFill>
                          <w14:schemeClr w14:val="tx1"/>
                        </w14:solidFill>
                      </w14:textFill>
                    </w:rPr>
                    <w:t>厂区</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化粪池</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定期拉运至呼图壁县工业园区化工园污水处理厂集中处理</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217" w:type="dxa"/>
                  <w:tcBorders>
                    <w:tl2br w:val="nil"/>
                    <w:tr2bl w:val="nil"/>
                  </w:tcBorders>
                  <w:noWrap w:val="0"/>
                  <w:vAlign w:val="center"/>
                </w:tcPr>
                <w:p w14:paraId="0001094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新建</w:t>
                  </w:r>
                </w:p>
              </w:tc>
            </w:tr>
            <w:tr w14:paraId="3846821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07" w:type="dxa"/>
                  <w:vMerge w:val="continue"/>
                  <w:tcBorders>
                    <w:tl2br w:val="nil"/>
                    <w:tr2bl w:val="nil"/>
                  </w:tcBorders>
                  <w:noWrap w:val="0"/>
                  <w:vAlign w:val="center"/>
                </w:tcPr>
                <w:p w14:paraId="4E0E15D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7F4097B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固废治理</w:t>
                  </w:r>
                </w:p>
              </w:tc>
              <w:tc>
                <w:tcPr>
                  <w:tcW w:w="4736" w:type="dxa"/>
                  <w:tcBorders>
                    <w:tl2br w:val="nil"/>
                    <w:tr2bl w:val="nil"/>
                  </w:tcBorders>
                  <w:noWrap w:val="0"/>
                  <w:vAlign w:val="center"/>
                </w:tcPr>
                <w:p w14:paraId="1971853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①</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危险废物：</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本项目运营期</w:t>
                  </w:r>
                  <w:r>
                    <w:rPr>
                      <w:rFonts w:hint="eastAsia" w:cs="Times New Roman"/>
                      <w:color w:val="000000" w:themeColor="text1"/>
                      <w:kern w:val="2"/>
                      <w:sz w:val="21"/>
                      <w:szCs w:val="21"/>
                      <w:highlight w:val="none"/>
                      <w:lang w:val="en-US" w:eastAsia="zh-CN" w:bidi="ar-SA"/>
                      <w14:textFill>
                        <w14:solidFill>
                          <w14:schemeClr w14:val="tx1"/>
                        </w14:solidFill>
                      </w14:textFill>
                    </w:rPr>
                    <w:t>产生的</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废润滑油</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废润滑油桶</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及含油废抹布</w:t>
                  </w:r>
                  <w:r>
                    <w:rPr>
                      <w:rFonts w:hint="eastAsia" w:cs="Times New Roman"/>
                      <w:b w:val="0"/>
                      <w:bCs w:val="0"/>
                      <w:snapToGrid w:val="0"/>
                      <w:color w:val="000000" w:themeColor="text1"/>
                      <w:kern w:val="0"/>
                      <w:sz w:val="21"/>
                      <w:szCs w:val="21"/>
                      <w:highlight w:val="none"/>
                      <w:lang w:val="en-US" w:eastAsia="zh-CN" w:bidi="ar-SA"/>
                      <w14:textFill>
                        <w14:solidFill>
                          <w14:schemeClr w14:val="tx1"/>
                        </w14:solidFill>
                      </w14:textFill>
                    </w:rPr>
                    <w:t>分类</w:t>
                  </w:r>
                  <w:r>
                    <w:rPr>
                      <w:rFonts w:hint="eastAsia" w:ascii="Times New Roman" w:hAnsi="Times New Roman" w:eastAsia="宋体" w:cs="Times New Roman"/>
                      <w:b w:val="0"/>
                      <w:bCs w:val="0"/>
                      <w:snapToGrid w:val="0"/>
                      <w:color w:val="000000" w:themeColor="text1"/>
                      <w:kern w:val="0"/>
                      <w:sz w:val="21"/>
                      <w:szCs w:val="21"/>
                      <w:highlight w:val="none"/>
                      <w:lang w:val="en-US" w:eastAsia="zh-CN" w:bidi="ar-SA"/>
                      <w14:textFill>
                        <w14:solidFill>
                          <w14:schemeClr w14:val="tx1"/>
                        </w14:solidFill>
                      </w14:textFill>
                    </w:rPr>
                    <w:t>收集后</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暂存于危废贮存库，定期委托有危废处理资质的单位清运处置；</w:t>
                  </w:r>
                </w:p>
                <w:p w14:paraId="520024F0">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②一般</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工业</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固废：土块及石子：统一移交农户，运至低洼地块进行填埋处理；除尘灰：全部回用于生产线；废包装物：外售；</w:t>
                  </w:r>
                </w:p>
                <w:p w14:paraId="1E4A3C7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③</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生活垃圾：集中收集后委托环卫部门处理</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217" w:type="dxa"/>
                  <w:tcBorders>
                    <w:tl2br w:val="nil"/>
                    <w:tr2bl w:val="nil"/>
                  </w:tcBorders>
                  <w:noWrap w:val="0"/>
                  <w:vAlign w:val="center"/>
                </w:tcPr>
                <w:p w14:paraId="7872297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新建</w:t>
                  </w:r>
                </w:p>
              </w:tc>
            </w:tr>
            <w:tr w14:paraId="55AA23F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01E3E91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0D41FAC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噪声治理</w:t>
                  </w:r>
                </w:p>
              </w:tc>
              <w:tc>
                <w:tcPr>
                  <w:tcW w:w="4736" w:type="dxa"/>
                  <w:tcBorders>
                    <w:tl2br w:val="nil"/>
                    <w:tr2bl w:val="nil"/>
                  </w:tcBorders>
                  <w:noWrap w:val="0"/>
                  <w:vAlign w:val="center"/>
                </w:tcPr>
                <w:p w14:paraId="3F6517A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产噪设备置于室内，基础减震、隔声</w:t>
                  </w:r>
                  <w:r>
                    <w:rPr>
                      <w:rFonts w:hint="eastAsia" w:cs="Times New Roman"/>
                      <w:color w:val="000000" w:themeColor="text1"/>
                      <w:sz w:val="21"/>
                      <w:szCs w:val="21"/>
                      <w:highlight w:val="none"/>
                      <w:vertAlign w:val="baseline"/>
                      <w:lang w:val="en-US" w:eastAsia="zh-CN"/>
                      <w14:textFill>
                        <w14:solidFill>
                          <w14:schemeClr w14:val="tx1"/>
                        </w14:solidFill>
                      </w14:textFill>
                    </w:rPr>
                    <w:t>。</w:t>
                  </w:r>
                </w:p>
              </w:tc>
              <w:tc>
                <w:tcPr>
                  <w:tcW w:w="1217" w:type="dxa"/>
                  <w:tcBorders>
                    <w:tl2br w:val="nil"/>
                    <w:tr2bl w:val="nil"/>
                  </w:tcBorders>
                  <w:noWrap w:val="0"/>
                  <w:vAlign w:val="center"/>
                </w:tcPr>
                <w:p w14:paraId="17FDCB4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新建</w:t>
                  </w:r>
                </w:p>
              </w:tc>
            </w:tr>
            <w:tr w14:paraId="420453D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07" w:type="dxa"/>
                  <w:vMerge w:val="continue"/>
                  <w:tcBorders>
                    <w:tl2br w:val="nil"/>
                    <w:tr2bl w:val="nil"/>
                  </w:tcBorders>
                  <w:noWrap w:val="0"/>
                  <w:vAlign w:val="center"/>
                </w:tcPr>
                <w:p w14:paraId="1B21A19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485" w:type="dxa"/>
                  <w:tcBorders>
                    <w:tl2br w:val="nil"/>
                    <w:tr2bl w:val="nil"/>
                  </w:tcBorders>
                  <w:noWrap w:val="0"/>
                  <w:vAlign w:val="center"/>
                </w:tcPr>
                <w:p w14:paraId="6D536DF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环境风险</w:t>
                  </w:r>
                </w:p>
              </w:tc>
              <w:tc>
                <w:tcPr>
                  <w:tcW w:w="4736" w:type="dxa"/>
                  <w:tcBorders>
                    <w:tl2br w:val="nil"/>
                    <w:tr2bl w:val="nil"/>
                  </w:tcBorders>
                  <w:noWrap w:val="0"/>
                  <w:vAlign w:val="center"/>
                </w:tcPr>
                <w:p w14:paraId="196CB78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①厂区实施分区防渗；②厂区应配备相应的消防设施；③厂区内应张贴严禁吸烟和使用明火的标识标牌；</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④</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防渗事故池：容积为10m</w:t>
                  </w:r>
                  <w:r>
                    <w:rPr>
                      <w:rFonts w:hint="eastAsia"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；⑤</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编制环境应急预案</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，并定期演练。</w:t>
                  </w:r>
                </w:p>
              </w:tc>
              <w:tc>
                <w:tcPr>
                  <w:tcW w:w="1217" w:type="dxa"/>
                  <w:tcBorders>
                    <w:tl2br w:val="nil"/>
                    <w:tr2bl w:val="nil"/>
                  </w:tcBorders>
                  <w:noWrap w:val="0"/>
                  <w:vAlign w:val="center"/>
                </w:tcPr>
                <w:p w14:paraId="50FE6115">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新建</w:t>
                  </w:r>
                </w:p>
              </w:tc>
            </w:tr>
          </w:tbl>
          <w:p w14:paraId="26679FEA">
            <w:pPr>
              <w:keepNext w:val="0"/>
              <w:keepLines w:val="0"/>
              <w:pageBreakBefore w:val="0"/>
              <w:widowControl w:val="0"/>
              <w:kinsoku/>
              <w:wordWrap/>
              <w:overflowPunct/>
              <w:topLinePunct w:val="0"/>
              <w:autoSpaceDE/>
              <w:autoSpaceDN/>
              <w:bidi w:val="0"/>
              <w:adjustRightInd w:val="0"/>
              <w:snapToGrid w:val="0"/>
              <w:spacing w:line="360" w:lineRule="auto"/>
              <w:ind w:leftChars="0" w:firstLine="482" w:firstLineChars="200"/>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4、产品方案</w:t>
            </w:r>
          </w:p>
          <w:p w14:paraId="70E93C67">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本项目产品方案见表2-2。</w:t>
            </w:r>
          </w:p>
          <w:p w14:paraId="78251E63">
            <w:pPr>
              <w:adjustRightInd w:val="0"/>
              <w:snapToGrid w:val="0"/>
              <w:jc w:val="cente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2-</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2</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项目产品方案一览表</w:t>
            </w:r>
          </w:p>
          <w:tbl>
            <w:tblPr>
              <w:tblStyle w:val="66"/>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616"/>
              <w:gridCol w:w="1333"/>
              <w:gridCol w:w="1442"/>
              <w:gridCol w:w="1210"/>
              <w:gridCol w:w="3344"/>
            </w:tblGrid>
            <w:tr w14:paraId="27C372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16" w:type="dxa"/>
                  <w:tcBorders>
                    <w:tl2br w:val="nil"/>
                    <w:tr2bl w:val="nil"/>
                  </w:tcBorders>
                  <w:noWrap w:val="0"/>
                  <w:textDirection w:val="tbRlV"/>
                  <w:vAlign w:val="center"/>
                </w:tcPr>
                <w:p w14:paraId="25FE0F40">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序号</w:t>
                  </w:r>
                </w:p>
              </w:tc>
              <w:tc>
                <w:tcPr>
                  <w:tcW w:w="2775" w:type="dxa"/>
                  <w:gridSpan w:val="2"/>
                  <w:tcBorders>
                    <w:tl2br w:val="nil"/>
                    <w:tr2bl w:val="nil"/>
                  </w:tcBorders>
                  <w:noWrap w:val="0"/>
                  <w:vAlign w:val="center"/>
                </w:tcPr>
                <w:p w14:paraId="5C169AD2">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产品类型</w:t>
                  </w:r>
                </w:p>
              </w:tc>
              <w:tc>
                <w:tcPr>
                  <w:tcW w:w="1210" w:type="dxa"/>
                  <w:tcBorders>
                    <w:tl2br w:val="nil"/>
                    <w:tr2bl w:val="nil"/>
                  </w:tcBorders>
                  <w:noWrap w:val="0"/>
                  <w:vAlign w:val="center"/>
                </w:tcPr>
                <w:p w14:paraId="06D5767F">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规模</w:t>
                  </w:r>
                </w:p>
              </w:tc>
              <w:tc>
                <w:tcPr>
                  <w:tcW w:w="3344" w:type="dxa"/>
                  <w:tcBorders>
                    <w:tl2br w:val="nil"/>
                    <w:tr2bl w:val="nil"/>
                  </w:tcBorders>
                  <w:noWrap w:val="0"/>
                  <w:vAlign w:val="center"/>
                </w:tcPr>
                <w:p w14:paraId="2409CD4C">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备注</w:t>
                  </w:r>
                </w:p>
              </w:tc>
            </w:tr>
            <w:tr w14:paraId="1CE944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16" w:type="dxa"/>
                  <w:tcBorders>
                    <w:tl2br w:val="nil"/>
                    <w:tr2bl w:val="nil"/>
                  </w:tcBorders>
                  <w:noWrap w:val="0"/>
                  <w:vAlign w:val="center"/>
                </w:tcPr>
                <w:p w14:paraId="7496C4F0">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val="0"/>
                      <w:bCs w:val="0"/>
                      <w:snapToGrid/>
                      <w:color w:val="000000" w:themeColor="text1"/>
                      <w:kern w:val="2"/>
                      <w:sz w:val="21"/>
                      <w:szCs w:val="21"/>
                      <w:highlight w:val="none"/>
                      <w:lang w:eastAsia="zh-CN"/>
                      <w14:textFill>
                        <w14:solidFill>
                          <w14:schemeClr w14:val="tx1"/>
                        </w14:solidFill>
                      </w14:textFill>
                    </w:rPr>
                    <w:t>1</w:t>
                  </w:r>
                </w:p>
              </w:tc>
              <w:tc>
                <w:tcPr>
                  <w:tcW w:w="1333" w:type="dxa"/>
                  <w:tcBorders>
                    <w:tl2br w:val="nil"/>
                    <w:tr2bl w:val="nil"/>
                  </w:tcBorders>
                  <w:noWrap w:val="0"/>
                  <w:vAlign w:val="center"/>
                </w:tcPr>
                <w:p w14:paraId="7E4F4332">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000000" w:themeColor="text1"/>
                      <w:kern w:val="2"/>
                      <w:sz w:val="21"/>
                      <w:szCs w:val="21"/>
                      <w:highlight w:val="none"/>
                      <w:lang w:val="en-US" w:eastAsia="zh-CN"/>
                      <w14:textFill>
                        <w14:solidFill>
                          <w14:schemeClr w14:val="tx1"/>
                        </w14:solidFill>
                      </w14:textFill>
                    </w:rPr>
                  </w:pPr>
                  <w:r>
                    <w:rPr>
                      <w:rFonts w:hint="eastAsia" w:cs="Times New Roman"/>
                      <w:b w:val="0"/>
                      <w:bCs w:val="0"/>
                      <w:snapToGrid/>
                      <w:color w:val="000000" w:themeColor="text1"/>
                      <w:kern w:val="2"/>
                      <w:sz w:val="21"/>
                      <w:szCs w:val="21"/>
                      <w:highlight w:val="none"/>
                      <w:lang w:val="en-US" w:eastAsia="zh-CN"/>
                      <w14:textFill>
                        <w14:solidFill>
                          <w14:schemeClr w14:val="tx1"/>
                        </w14:solidFill>
                      </w14:textFill>
                    </w:rPr>
                    <w:t>产品</w:t>
                  </w:r>
                </w:p>
              </w:tc>
              <w:tc>
                <w:tcPr>
                  <w:tcW w:w="1442" w:type="dxa"/>
                  <w:tcBorders>
                    <w:tl2br w:val="nil"/>
                    <w:tr2bl w:val="nil"/>
                  </w:tcBorders>
                  <w:noWrap w:val="0"/>
                  <w:vAlign w:val="center"/>
                </w:tcPr>
                <w:p w14:paraId="0BB11A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有机肥</w:t>
                  </w:r>
                </w:p>
              </w:tc>
              <w:tc>
                <w:tcPr>
                  <w:tcW w:w="1210" w:type="dxa"/>
                  <w:tcBorders>
                    <w:tl2br w:val="nil"/>
                    <w:tr2bl w:val="nil"/>
                  </w:tcBorders>
                  <w:noWrap w:val="0"/>
                  <w:vAlign w:val="center"/>
                </w:tcPr>
                <w:p w14:paraId="04FE2E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29442.4t/a</w:t>
                  </w:r>
                </w:p>
              </w:tc>
              <w:tc>
                <w:tcPr>
                  <w:tcW w:w="3344" w:type="dxa"/>
                  <w:tcBorders>
                    <w:bottom w:val="single" w:color="auto" w:sz="4" w:space="0"/>
                    <w:tl2br w:val="nil"/>
                    <w:tr2bl w:val="nil"/>
                  </w:tcBorders>
                  <w:noWrap w:val="0"/>
                  <w:vAlign w:val="center"/>
                </w:tcPr>
                <w:p w14:paraId="1F6544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颗粒</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有机肥</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11776.96</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t/a；</w:t>
                  </w:r>
                </w:p>
                <w:p w14:paraId="0A523A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粉状</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有机肥</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17665.44</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t/a</w:t>
                  </w:r>
                </w:p>
              </w:tc>
            </w:tr>
            <w:tr w14:paraId="453673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16" w:type="dxa"/>
                  <w:tcBorders>
                    <w:tl2br w:val="nil"/>
                    <w:tr2bl w:val="nil"/>
                  </w:tcBorders>
                  <w:noWrap w:val="0"/>
                  <w:vAlign w:val="center"/>
                </w:tcPr>
                <w:p w14:paraId="6D53B9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w:t>
                  </w:r>
                </w:p>
              </w:tc>
              <w:tc>
                <w:tcPr>
                  <w:tcW w:w="1333" w:type="dxa"/>
                  <w:tcBorders>
                    <w:tl2br w:val="nil"/>
                    <w:tr2bl w:val="nil"/>
                  </w:tcBorders>
                  <w:noWrap w:val="0"/>
                  <w:vAlign w:val="center"/>
                </w:tcPr>
                <w:p w14:paraId="46F69F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副产品</w:t>
                  </w:r>
                </w:p>
              </w:tc>
              <w:tc>
                <w:tcPr>
                  <w:tcW w:w="1442" w:type="dxa"/>
                  <w:tcBorders>
                    <w:tl2br w:val="nil"/>
                    <w:tr2bl w:val="nil"/>
                  </w:tcBorders>
                  <w:noWrap w:val="0"/>
                  <w:vAlign w:val="center"/>
                </w:tcPr>
                <w:p w14:paraId="5BD0E5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木醋液</w:t>
                  </w:r>
                </w:p>
              </w:tc>
              <w:tc>
                <w:tcPr>
                  <w:tcW w:w="1210" w:type="dxa"/>
                  <w:tcBorders>
                    <w:tl2br w:val="nil"/>
                    <w:tr2bl w:val="nil"/>
                  </w:tcBorders>
                  <w:noWrap w:val="0"/>
                  <w:vAlign w:val="center"/>
                </w:tcPr>
                <w:p w14:paraId="1414B2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7891.584t/a</w:t>
                  </w:r>
                </w:p>
              </w:tc>
              <w:tc>
                <w:tcPr>
                  <w:tcW w:w="3344" w:type="dxa"/>
                  <w:tcBorders>
                    <w:tl2br w:val="nil"/>
                    <w:tr2bl w:val="nil"/>
                  </w:tcBorders>
                  <w:noWrap w:val="0"/>
                  <w:vAlign w:val="center"/>
                </w:tcPr>
                <w:p w14:paraId="610768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农业用，饲料用，工业，商业用</w:t>
                  </w:r>
                  <w:r>
                    <w:rPr>
                      <w:rFonts w:hint="eastAsia" w:cs="Times New Roman"/>
                      <w:snapToGrid/>
                      <w:color w:val="000000" w:themeColor="text1"/>
                      <w:kern w:val="2"/>
                      <w:sz w:val="21"/>
                      <w:szCs w:val="21"/>
                      <w:highlight w:val="none"/>
                      <w:lang w:val="en-US" w:eastAsia="zh-CN"/>
                      <w14:textFill>
                        <w14:solidFill>
                          <w14:schemeClr w14:val="tx1"/>
                        </w14:solidFill>
                      </w14:textFill>
                    </w:rPr>
                    <w:t>；属于液体有机肥</w:t>
                  </w:r>
                </w:p>
              </w:tc>
            </w:tr>
            <w:tr w14:paraId="7878D6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616" w:type="dxa"/>
                  <w:tcBorders>
                    <w:tl2br w:val="nil"/>
                    <w:tr2bl w:val="nil"/>
                  </w:tcBorders>
                  <w:noWrap w:val="0"/>
                  <w:vAlign w:val="center"/>
                </w:tcPr>
                <w:p w14:paraId="46CBD4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w:t>
                  </w:r>
                </w:p>
              </w:tc>
              <w:tc>
                <w:tcPr>
                  <w:tcW w:w="1333" w:type="dxa"/>
                  <w:tcBorders>
                    <w:tl2br w:val="nil"/>
                    <w:tr2bl w:val="nil"/>
                  </w:tcBorders>
                  <w:noWrap w:val="0"/>
                  <w:vAlign w:val="center"/>
                </w:tcPr>
                <w:p w14:paraId="666888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副产品</w:t>
                  </w:r>
                </w:p>
              </w:tc>
              <w:tc>
                <w:tcPr>
                  <w:tcW w:w="1442" w:type="dxa"/>
                  <w:tcBorders>
                    <w:tl2br w:val="nil"/>
                    <w:tr2bl w:val="nil"/>
                  </w:tcBorders>
                  <w:noWrap w:val="0"/>
                  <w:vAlign w:val="center"/>
                </w:tcPr>
                <w:p w14:paraId="655C2D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木焦油</w:t>
                  </w:r>
                </w:p>
              </w:tc>
              <w:tc>
                <w:tcPr>
                  <w:tcW w:w="1210" w:type="dxa"/>
                  <w:tcBorders>
                    <w:tl2br w:val="nil"/>
                    <w:tr2bl w:val="nil"/>
                  </w:tcBorders>
                  <w:noWrap w:val="0"/>
                  <w:vAlign w:val="center"/>
                </w:tcPr>
                <w:p w14:paraId="750922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1488</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t/a</w:t>
                  </w:r>
                </w:p>
              </w:tc>
              <w:tc>
                <w:tcPr>
                  <w:tcW w:w="3344" w:type="dxa"/>
                  <w:tcBorders>
                    <w:tl2br w:val="nil"/>
                    <w:tr2bl w:val="nil"/>
                  </w:tcBorders>
                  <w:noWrap w:val="0"/>
                  <w:vAlign w:val="center"/>
                </w:tcPr>
                <w:p w14:paraId="511C41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工业，商业用</w:t>
                  </w:r>
                  <w:r>
                    <w:rPr>
                      <w:rFonts w:hint="eastAsia" w:cs="Times New Roman"/>
                      <w:snapToGrid/>
                      <w:color w:val="000000" w:themeColor="text1"/>
                      <w:kern w:val="2"/>
                      <w:sz w:val="21"/>
                      <w:szCs w:val="21"/>
                      <w:highlight w:val="none"/>
                      <w:lang w:val="en-US" w:eastAsia="zh-CN"/>
                      <w14:textFill>
                        <w14:solidFill>
                          <w14:schemeClr w14:val="tx1"/>
                        </w14:solidFill>
                      </w14:textFill>
                    </w:rPr>
                    <w:t>；不属于液体有机肥；外售其他企业综合利用</w:t>
                  </w:r>
                </w:p>
              </w:tc>
            </w:tr>
            <w:tr w14:paraId="06C701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16" w:type="dxa"/>
                  <w:tcBorders>
                    <w:tl2br w:val="nil"/>
                    <w:tr2bl w:val="nil"/>
                  </w:tcBorders>
                  <w:noWrap w:val="0"/>
                  <w:vAlign w:val="center"/>
                </w:tcPr>
                <w:p w14:paraId="00D9D6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w:t>
                  </w:r>
                </w:p>
              </w:tc>
              <w:tc>
                <w:tcPr>
                  <w:tcW w:w="1333" w:type="dxa"/>
                  <w:tcBorders>
                    <w:tl2br w:val="nil"/>
                    <w:tr2bl w:val="nil"/>
                  </w:tcBorders>
                  <w:noWrap w:val="0"/>
                  <w:vAlign w:val="center"/>
                </w:tcPr>
                <w:p w14:paraId="3CE56A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副产品</w:t>
                  </w:r>
                </w:p>
              </w:tc>
              <w:tc>
                <w:tcPr>
                  <w:tcW w:w="1442" w:type="dxa"/>
                  <w:tcBorders>
                    <w:tl2br w:val="nil"/>
                    <w:tr2bl w:val="nil"/>
                  </w:tcBorders>
                  <w:noWrap w:val="0"/>
                  <w:vAlign w:val="center"/>
                </w:tcPr>
                <w:p w14:paraId="186824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氧化钙</w:t>
                  </w:r>
                </w:p>
              </w:tc>
              <w:tc>
                <w:tcPr>
                  <w:tcW w:w="1210" w:type="dxa"/>
                  <w:tcBorders>
                    <w:tl2br w:val="nil"/>
                    <w:tr2bl w:val="nil"/>
                  </w:tcBorders>
                  <w:noWrap w:val="0"/>
                  <w:vAlign w:val="center"/>
                </w:tcPr>
                <w:p w14:paraId="0D5969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7506.18</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t/a</w:t>
                  </w:r>
                </w:p>
              </w:tc>
              <w:tc>
                <w:tcPr>
                  <w:tcW w:w="3344" w:type="dxa"/>
                  <w:tcBorders>
                    <w:tl2br w:val="nil"/>
                    <w:tr2bl w:val="nil"/>
                  </w:tcBorders>
                  <w:noWrap w:val="0"/>
                  <w:vAlign w:val="center"/>
                </w:tcPr>
                <w:p w14:paraId="3A1101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木煤气燃烧后的热能采用</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氢氧化钙-氧化钙/水体系</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吸热放热进行热能储存与应用</w:t>
                  </w:r>
                </w:p>
              </w:tc>
            </w:tr>
          </w:tbl>
          <w:p w14:paraId="7643BAC0">
            <w:pPr>
              <w:keepNext w:val="0"/>
              <w:keepLines w:val="0"/>
              <w:pageBreakBefore w:val="0"/>
              <w:widowControl w:val="0"/>
              <w:kinsoku/>
              <w:wordWrap/>
              <w:overflowPunct/>
              <w:topLinePunct w:val="0"/>
              <w:autoSpaceDE/>
              <w:autoSpaceDN/>
              <w:bidi w:val="0"/>
              <w:adjustRightInd w:val="0"/>
              <w:snapToGrid w:val="0"/>
              <w:spacing w:line="360" w:lineRule="auto"/>
              <w:ind w:leftChars="0" w:firstLine="482" w:firstLineChars="200"/>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5、主要生产设备</w:t>
            </w:r>
          </w:p>
          <w:p w14:paraId="3D85D1C1">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本项目生产过程中使用的主要设备详见表2-</w:t>
            </w:r>
            <w:r>
              <w:rPr>
                <w:rFonts w:hint="eastAsia" w:cs="Times New Roman"/>
                <w:color w:val="000000" w:themeColor="text1"/>
                <w:sz w:val="24"/>
                <w:szCs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1CA0C2C6">
            <w:pPr>
              <w:adjustRightInd w:val="0"/>
              <w:snapToGrid w:val="0"/>
              <w:jc w:val="cente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表2-</w:t>
            </w:r>
            <w:r>
              <w:rPr>
                <w:rFonts w:hint="eastAsia" w:cs="Times New Roman"/>
                <w:b/>
                <w:color w:val="000000" w:themeColor="text1"/>
                <w:kern w:val="2"/>
                <w:sz w:val="21"/>
                <w:szCs w:val="21"/>
                <w:highlight w:val="none"/>
                <w:lang w:val="en-US" w:eastAsia="zh-CN"/>
                <w14:textFill>
                  <w14:solidFill>
                    <w14:schemeClr w14:val="tx1"/>
                  </w14:solidFill>
                </w14:textFill>
              </w:rPr>
              <w:t>3</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项目设备一览表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577"/>
              <w:gridCol w:w="1709"/>
              <w:gridCol w:w="1696"/>
              <w:gridCol w:w="888"/>
              <w:gridCol w:w="3075"/>
            </w:tblGrid>
            <w:tr w14:paraId="08D8C89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28DB16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序号</w:t>
                  </w:r>
                </w:p>
              </w:tc>
              <w:tc>
                <w:tcPr>
                  <w:tcW w:w="1709" w:type="dxa"/>
                  <w:tcBorders>
                    <w:tl2br w:val="nil"/>
                    <w:tr2bl w:val="nil"/>
                  </w:tcBorders>
                  <w:noWrap w:val="0"/>
                  <w:vAlign w:val="center"/>
                </w:tcPr>
                <w:p w14:paraId="0AF1A2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名称</w:t>
                  </w:r>
                </w:p>
              </w:tc>
              <w:tc>
                <w:tcPr>
                  <w:tcW w:w="1696" w:type="dxa"/>
                  <w:tcBorders>
                    <w:tl2br w:val="nil"/>
                    <w:tr2bl w:val="nil"/>
                  </w:tcBorders>
                  <w:noWrap w:val="0"/>
                  <w:vAlign w:val="center"/>
                </w:tcPr>
                <w:p w14:paraId="102978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规格型号</w:t>
                  </w:r>
                </w:p>
              </w:tc>
              <w:tc>
                <w:tcPr>
                  <w:tcW w:w="888" w:type="dxa"/>
                  <w:tcBorders>
                    <w:tl2br w:val="nil"/>
                    <w:tr2bl w:val="nil"/>
                  </w:tcBorders>
                  <w:noWrap w:val="0"/>
                  <w:vAlign w:val="center"/>
                </w:tcPr>
                <w:p w14:paraId="62290E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数量</w:t>
                  </w:r>
                </w:p>
              </w:tc>
              <w:tc>
                <w:tcPr>
                  <w:tcW w:w="3075" w:type="dxa"/>
                  <w:tcBorders>
                    <w:tl2br w:val="nil"/>
                    <w:tr2bl w:val="nil"/>
                  </w:tcBorders>
                  <w:noWrap w:val="0"/>
                  <w:vAlign w:val="center"/>
                </w:tcPr>
                <w:p w14:paraId="419E72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备注</w:t>
                  </w:r>
                </w:p>
              </w:tc>
            </w:tr>
            <w:tr w14:paraId="71B5F91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2332CC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一</w:t>
                  </w:r>
                </w:p>
              </w:tc>
              <w:tc>
                <w:tcPr>
                  <w:tcW w:w="7368" w:type="dxa"/>
                  <w:gridSpan w:val="4"/>
                  <w:tcBorders>
                    <w:tl2br w:val="nil"/>
                    <w:tr2bl w:val="nil"/>
                  </w:tcBorders>
                  <w:noWrap w:val="0"/>
                  <w:vAlign w:val="center"/>
                </w:tcPr>
                <w:p w14:paraId="1DD54E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农林秸秆废弃物破碎车间</w:t>
                  </w:r>
                </w:p>
              </w:tc>
            </w:tr>
            <w:tr w14:paraId="4F00008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0D9BA1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w:t>
                  </w:r>
                </w:p>
              </w:tc>
              <w:tc>
                <w:tcPr>
                  <w:tcW w:w="1709" w:type="dxa"/>
                  <w:tcBorders>
                    <w:tl2br w:val="nil"/>
                    <w:tr2bl w:val="nil"/>
                  </w:tcBorders>
                  <w:noWrap w:val="0"/>
                  <w:vAlign w:val="center"/>
                </w:tcPr>
                <w:p w14:paraId="7E80F0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cs="Times New Roman"/>
                      <w:snapToGrid/>
                      <w:color w:val="000000" w:themeColor="text1"/>
                      <w:kern w:val="2"/>
                      <w:sz w:val="21"/>
                      <w:szCs w:val="21"/>
                      <w:highlight w:val="none"/>
                      <w:lang w:val="en-US" w:eastAsia="zh-CN" w:bidi="ar-SA"/>
                      <w14:textFill>
                        <w14:solidFill>
                          <w14:schemeClr w14:val="tx1"/>
                        </w14:solidFill>
                      </w14:textFill>
                    </w:rPr>
                    <w:t>双轴</w:t>
                  </w:r>
                  <w:r>
                    <w:rPr>
                      <w:rFonts w:hint="eastAsia" w:cs="Times New Roman"/>
                      <w:snapToGrid/>
                      <w:color w:val="000000" w:themeColor="text1"/>
                      <w:kern w:val="2"/>
                      <w:sz w:val="21"/>
                      <w:szCs w:val="21"/>
                      <w:highlight w:val="none"/>
                      <w:lang w:val="en-US" w:eastAsia="zh-CN" w:bidi="ar-SA"/>
                      <w14:textFill>
                        <w14:solidFill>
                          <w14:schemeClr w14:val="tx1"/>
                        </w14:solidFill>
                      </w14:textFill>
                    </w:rPr>
                    <w:t>粉碎</w:t>
                  </w:r>
                  <w:r>
                    <w:rPr>
                      <w:rFonts w:hint="default" w:cs="Times New Roman"/>
                      <w:snapToGrid/>
                      <w:color w:val="000000" w:themeColor="text1"/>
                      <w:kern w:val="2"/>
                      <w:sz w:val="21"/>
                      <w:szCs w:val="21"/>
                      <w:highlight w:val="none"/>
                      <w:lang w:val="en-US" w:eastAsia="zh-CN" w:bidi="ar-SA"/>
                      <w14:textFill>
                        <w14:solidFill>
                          <w14:schemeClr w14:val="tx1"/>
                        </w14:solidFill>
                      </w14:textFill>
                    </w:rPr>
                    <w:t>机</w:t>
                  </w:r>
                </w:p>
              </w:tc>
              <w:tc>
                <w:tcPr>
                  <w:tcW w:w="1696" w:type="dxa"/>
                  <w:tcBorders>
                    <w:tl2br w:val="nil"/>
                    <w:tr2bl w:val="nil"/>
                  </w:tcBorders>
                  <w:noWrap w:val="0"/>
                  <w:vAlign w:val="center"/>
                </w:tcPr>
                <w:p w14:paraId="4C6B0F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1400型</w:t>
                  </w:r>
                </w:p>
              </w:tc>
              <w:tc>
                <w:tcPr>
                  <w:tcW w:w="888" w:type="dxa"/>
                  <w:tcBorders>
                    <w:tl2br w:val="nil"/>
                    <w:tr2bl w:val="nil"/>
                  </w:tcBorders>
                  <w:noWrap w:val="0"/>
                  <w:vAlign w:val="center"/>
                </w:tcPr>
                <w:p w14:paraId="6BAD56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1台</w:t>
                  </w:r>
                </w:p>
              </w:tc>
              <w:tc>
                <w:tcPr>
                  <w:tcW w:w="3075" w:type="dxa"/>
                  <w:tcBorders>
                    <w:tl2br w:val="nil"/>
                    <w:tr2bl w:val="nil"/>
                  </w:tcBorders>
                  <w:noWrap w:val="0"/>
                  <w:vAlign w:val="center"/>
                </w:tcPr>
                <w:p w14:paraId="436A2B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用于秸秆粉碎；粉碎细度：2-6cm</w:t>
                  </w:r>
                </w:p>
              </w:tc>
            </w:tr>
            <w:tr w14:paraId="6946DD8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01B848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w:t>
                  </w:r>
                </w:p>
              </w:tc>
              <w:tc>
                <w:tcPr>
                  <w:tcW w:w="1709" w:type="dxa"/>
                  <w:tcBorders>
                    <w:tl2br w:val="nil"/>
                    <w:tr2bl w:val="nil"/>
                  </w:tcBorders>
                  <w:noWrap w:val="0"/>
                  <w:vAlign w:val="center"/>
                </w:tcPr>
                <w:p w14:paraId="69DFF2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集气罩</w:t>
                  </w:r>
                </w:p>
              </w:tc>
              <w:tc>
                <w:tcPr>
                  <w:tcW w:w="1696" w:type="dxa"/>
                  <w:tcBorders>
                    <w:tl2br w:val="nil"/>
                    <w:tr2bl w:val="nil"/>
                  </w:tcBorders>
                  <w:noWrap w:val="0"/>
                  <w:vAlign w:val="center"/>
                </w:tcPr>
                <w:p w14:paraId="0146B5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0F333C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1个</w:t>
                  </w:r>
                </w:p>
              </w:tc>
              <w:tc>
                <w:tcPr>
                  <w:tcW w:w="3075" w:type="dxa"/>
                  <w:tcBorders>
                    <w:tl2br w:val="nil"/>
                    <w:tr2bl w:val="nil"/>
                  </w:tcBorders>
                  <w:noWrap w:val="0"/>
                  <w:vAlign w:val="center"/>
                </w:tcPr>
                <w:p w14:paraId="5FFA7B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p>
              </w:tc>
            </w:tr>
            <w:tr w14:paraId="710EBC5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20A079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w:t>
                  </w:r>
                </w:p>
              </w:tc>
              <w:tc>
                <w:tcPr>
                  <w:tcW w:w="1709" w:type="dxa"/>
                  <w:tcBorders>
                    <w:tl2br w:val="nil"/>
                    <w:tr2bl w:val="nil"/>
                  </w:tcBorders>
                  <w:noWrap w:val="0"/>
                  <w:vAlign w:val="center"/>
                </w:tcPr>
                <w:p w14:paraId="501756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袋式除尘器</w:t>
                  </w:r>
                </w:p>
              </w:tc>
              <w:tc>
                <w:tcPr>
                  <w:tcW w:w="1696" w:type="dxa"/>
                  <w:tcBorders>
                    <w:tl2br w:val="nil"/>
                    <w:tr2bl w:val="nil"/>
                  </w:tcBorders>
                  <w:noWrap w:val="0"/>
                  <w:vAlign w:val="center"/>
                </w:tcPr>
                <w:p w14:paraId="3C738F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5CB0B9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1台</w:t>
                  </w:r>
                </w:p>
              </w:tc>
              <w:tc>
                <w:tcPr>
                  <w:tcW w:w="3075" w:type="dxa"/>
                  <w:tcBorders>
                    <w:tl2br w:val="nil"/>
                    <w:tr2bl w:val="nil"/>
                  </w:tcBorders>
                  <w:noWrap w:val="0"/>
                  <w:vAlign w:val="center"/>
                </w:tcPr>
                <w:p w14:paraId="571F5E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p>
              </w:tc>
            </w:tr>
            <w:tr w14:paraId="7BCFC82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2628D9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w:t>
                  </w:r>
                </w:p>
              </w:tc>
              <w:tc>
                <w:tcPr>
                  <w:tcW w:w="1709" w:type="dxa"/>
                  <w:tcBorders>
                    <w:tl2br w:val="nil"/>
                    <w:tr2bl w:val="nil"/>
                  </w:tcBorders>
                  <w:noWrap w:val="0"/>
                  <w:vAlign w:val="center"/>
                </w:tcPr>
                <w:p w14:paraId="2C7B05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排气筒</w:t>
                  </w:r>
                </w:p>
              </w:tc>
              <w:tc>
                <w:tcPr>
                  <w:tcW w:w="1696" w:type="dxa"/>
                  <w:tcBorders>
                    <w:tl2br w:val="nil"/>
                    <w:tr2bl w:val="nil"/>
                  </w:tcBorders>
                  <w:noWrap w:val="0"/>
                  <w:vAlign w:val="center"/>
                </w:tcPr>
                <w:p w14:paraId="39EB43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2D7FC8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1根</w:t>
                  </w:r>
                </w:p>
              </w:tc>
              <w:tc>
                <w:tcPr>
                  <w:tcW w:w="3075" w:type="dxa"/>
                  <w:tcBorders>
                    <w:tl2br w:val="nil"/>
                    <w:tr2bl w:val="nil"/>
                  </w:tcBorders>
                  <w:noWrap w:val="0"/>
                  <w:vAlign w:val="center"/>
                </w:tcPr>
                <w:p w14:paraId="05B735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h=15m</w:t>
                  </w:r>
                </w:p>
              </w:tc>
            </w:tr>
            <w:tr w14:paraId="501763A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580FB7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二</w:t>
                  </w:r>
                </w:p>
              </w:tc>
              <w:tc>
                <w:tcPr>
                  <w:tcW w:w="7368" w:type="dxa"/>
                  <w:gridSpan w:val="4"/>
                  <w:tcBorders>
                    <w:tl2br w:val="nil"/>
                    <w:tr2bl w:val="nil"/>
                  </w:tcBorders>
                  <w:noWrap w:val="0"/>
                  <w:vAlign w:val="center"/>
                </w:tcPr>
                <w:p w14:paraId="16D1A6F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碳化车间</w:t>
                  </w:r>
                </w:p>
              </w:tc>
            </w:tr>
            <w:tr w14:paraId="3BECD2B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3750ED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709" w:type="dxa"/>
                  <w:tcBorders>
                    <w:tl2br w:val="nil"/>
                    <w:tr2bl w:val="nil"/>
                  </w:tcBorders>
                  <w:noWrap w:val="0"/>
                  <w:vAlign w:val="center"/>
                </w:tcPr>
                <w:p w14:paraId="0B0C60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p>
              </w:tc>
              <w:tc>
                <w:tcPr>
                  <w:tcW w:w="1696" w:type="dxa"/>
                  <w:tcBorders>
                    <w:tl2br w:val="nil"/>
                    <w:tr2bl w:val="nil"/>
                  </w:tcBorders>
                  <w:noWrap w:val="0"/>
                  <w:vAlign w:val="center"/>
                </w:tcPr>
                <w:p w14:paraId="00F4E8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c>
                <w:tcPr>
                  <w:tcW w:w="888" w:type="dxa"/>
                  <w:tcBorders>
                    <w:tl2br w:val="nil"/>
                    <w:tr2bl w:val="nil"/>
                  </w:tcBorders>
                  <w:noWrap w:val="0"/>
                  <w:vAlign w:val="center"/>
                </w:tcPr>
                <w:p w14:paraId="6DE50A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c>
                <w:tcPr>
                  <w:tcW w:w="3075" w:type="dxa"/>
                  <w:tcBorders>
                    <w:tl2br w:val="nil"/>
                    <w:tr2bl w:val="nil"/>
                  </w:tcBorders>
                  <w:noWrap w:val="0"/>
                  <w:vAlign w:val="center"/>
                </w:tcPr>
                <w:p w14:paraId="0F3446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p>
              </w:tc>
            </w:tr>
            <w:tr w14:paraId="46D9ACE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77" w:type="dxa"/>
                  <w:tcBorders>
                    <w:tl2br w:val="nil"/>
                    <w:tr2bl w:val="nil"/>
                  </w:tcBorders>
                  <w:noWrap w:val="0"/>
                  <w:vAlign w:val="center"/>
                </w:tcPr>
                <w:p w14:paraId="10EB47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709" w:type="dxa"/>
                  <w:tcBorders>
                    <w:tl2br w:val="nil"/>
                    <w:tr2bl w:val="nil"/>
                  </w:tcBorders>
                  <w:noWrap w:val="0"/>
                  <w:vAlign w:val="center"/>
                </w:tcPr>
                <w:p w14:paraId="5EF278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p>
              </w:tc>
              <w:tc>
                <w:tcPr>
                  <w:tcW w:w="1696" w:type="dxa"/>
                  <w:tcBorders>
                    <w:tl2br w:val="nil"/>
                    <w:tr2bl w:val="nil"/>
                  </w:tcBorders>
                  <w:noWrap w:val="0"/>
                  <w:vAlign w:val="center"/>
                </w:tcPr>
                <w:p w14:paraId="3E8BD3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c>
                <w:tcPr>
                  <w:tcW w:w="888" w:type="dxa"/>
                  <w:tcBorders>
                    <w:tl2br w:val="nil"/>
                    <w:tr2bl w:val="nil"/>
                  </w:tcBorders>
                  <w:noWrap w:val="0"/>
                  <w:vAlign w:val="center"/>
                </w:tcPr>
                <w:p w14:paraId="46B63E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c>
                <w:tcPr>
                  <w:tcW w:w="3075" w:type="dxa"/>
                  <w:tcBorders>
                    <w:tl2br w:val="nil"/>
                    <w:tr2bl w:val="nil"/>
                  </w:tcBorders>
                  <w:noWrap w:val="0"/>
                  <w:vAlign w:val="center"/>
                </w:tcPr>
                <w:p w14:paraId="4BC482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p>
              </w:tc>
            </w:tr>
            <w:tr w14:paraId="47975CF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7B28E5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tcBorders>
                    <w:tl2br w:val="nil"/>
                    <w:tr2bl w:val="nil"/>
                  </w:tcBorders>
                  <w:noWrap w:val="0"/>
                  <w:vAlign w:val="center"/>
                </w:tcPr>
                <w:p w14:paraId="014D39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c>
                <w:tcPr>
                  <w:tcW w:w="1696" w:type="dxa"/>
                  <w:tcBorders>
                    <w:tl2br w:val="nil"/>
                    <w:tr2bl w:val="nil"/>
                  </w:tcBorders>
                  <w:noWrap w:val="0"/>
                  <w:vAlign w:val="center"/>
                </w:tcPr>
                <w:p w14:paraId="6A4E7B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E9E68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c>
                <w:tcPr>
                  <w:tcW w:w="3075" w:type="dxa"/>
                  <w:tcBorders>
                    <w:tl2br w:val="nil"/>
                    <w:tr2bl w:val="nil"/>
                  </w:tcBorders>
                  <w:noWrap w:val="0"/>
                  <w:vAlign w:val="center"/>
                </w:tcPr>
                <w:p w14:paraId="2076B4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r>
            <w:tr w14:paraId="4E1531A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6A92EE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tcBorders>
                    <w:tl2br w:val="nil"/>
                    <w:tr2bl w:val="nil"/>
                  </w:tcBorders>
                  <w:noWrap w:val="0"/>
                  <w:vAlign w:val="center"/>
                </w:tcPr>
                <w:p w14:paraId="09C2D8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c>
                <w:tcPr>
                  <w:tcW w:w="1696" w:type="dxa"/>
                  <w:tcBorders>
                    <w:tl2br w:val="nil"/>
                    <w:tr2bl w:val="nil"/>
                  </w:tcBorders>
                  <w:noWrap w:val="0"/>
                  <w:vAlign w:val="center"/>
                </w:tcPr>
                <w:p w14:paraId="403558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797FC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c>
                <w:tcPr>
                  <w:tcW w:w="3075" w:type="dxa"/>
                  <w:tcBorders>
                    <w:tl2br w:val="nil"/>
                    <w:tr2bl w:val="nil"/>
                  </w:tcBorders>
                  <w:noWrap w:val="0"/>
                  <w:vAlign w:val="center"/>
                </w:tcPr>
                <w:p w14:paraId="40CF0E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r>
            <w:tr w14:paraId="5E39BDB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2028D2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5</w:t>
                  </w:r>
                </w:p>
              </w:tc>
              <w:tc>
                <w:tcPr>
                  <w:tcW w:w="1709" w:type="dxa"/>
                  <w:tcBorders>
                    <w:tl2br w:val="nil"/>
                    <w:tr2bl w:val="nil"/>
                  </w:tcBorders>
                  <w:noWrap w:val="0"/>
                  <w:vAlign w:val="center"/>
                </w:tcPr>
                <w:p w14:paraId="4074C2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集气罩</w:t>
                  </w:r>
                </w:p>
              </w:tc>
              <w:tc>
                <w:tcPr>
                  <w:tcW w:w="1696" w:type="dxa"/>
                  <w:tcBorders>
                    <w:tl2br w:val="nil"/>
                    <w:tr2bl w:val="nil"/>
                  </w:tcBorders>
                  <w:noWrap w:val="0"/>
                  <w:vAlign w:val="center"/>
                </w:tcPr>
                <w:p w14:paraId="54BF38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5D3C6C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4个</w:t>
                  </w:r>
                </w:p>
              </w:tc>
              <w:tc>
                <w:tcPr>
                  <w:tcW w:w="3075" w:type="dxa"/>
                  <w:tcBorders>
                    <w:tl2br w:val="nil"/>
                    <w:tr2bl w:val="nil"/>
                  </w:tcBorders>
                  <w:noWrap w:val="0"/>
                  <w:vAlign w:val="center"/>
                </w:tcPr>
                <w:p w14:paraId="7E287E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每台</w:t>
                  </w:r>
                  <w:r>
                    <w:rPr>
                      <w:rFonts w:hint="eastAsia" w:cs="Times New Roman"/>
                      <w:snapToGrid/>
                      <w:color w:val="000000" w:themeColor="text1"/>
                      <w:kern w:val="2"/>
                      <w:sz w:val="21"/>
                      <w:szCs w:val="21"/>
                      <w:highlight w:val="none"/>
                      <w:lang w:val="en-US" w:eastAsia="zh-CN"/>
                      <w14:textFill>
                        <w14:solidFill>
                          <w14:schemeClr w14:val="tx1"/>
                        </w14:solidFill>
                      </w14:textFill>
                    </w:rPr>
                    <w:t>炭化炉炉顶各1个</w:t>
                  </w:r>
                </w:p>
              </w:tc>
            </w:tr>
            <w:tr w14:paraId="083C43E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339C32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6</w:t>
                  </w:r>
                </w:p>
              </w:tc>
              <w:tc>
                <w:tcPr>
                  <w:tcW w:w="1709" w:type="dxa"/>
                  <w:tcBorders>
                    <w:tl2br w:val="nil"/>
                    <w:tr2bl w:val="nil"/>
                  </w:tcBorders>
                  <w:noWrap w:val="0"/>
                  <w:vAlign w:val="center"/>
                </w:tcPr>
                <w:p w14:paraId="690AF5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袋式除尘器</w:t>
                  </w:r>
                </w:p>
              </w:tc>
              <w:tc>
                <w:tcPr>
                  <w:tcW w:w="1696" w:type="dxa"/>
                  <w:tcBorders>
                    <w:tl2br w:val="nil"/>
                    <w:tr2bl w:val="nil"/>
                  </w:tcBorders>
                  <w:noWrap w:val="0"/>
                  <w:vAlign w:val="center"/>
                </w:tcPr>
                <w:p w14:paraId="679DD0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4CDD5B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1台</w:t>
                  </w:r>
                </w:p>
              </w:tc>
              <w:tc>
                <w:tcPr>
                  <w:tcW w:w="3075" w:type="dxa"/>
                  <w:tcBorders>
                    <w:tl2br w:val="nil"/>
                    <w:tr2bl w:val="nil"/>
                  </w:tcBorders>
                  <w:noWrap w:val="0"/>
                  <w:vAlign w:val="center"/>
                </w:tcPr>
                <w:p w14:paraId="097762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r>
            <w:tr w14:paraId="79D2C77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5B2138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7</w:t>
                  </w:r>
                </w:p>
              </w:tc>
              <w:tc>
                <w:tcPr>
                  <w:tcW w:w="1709" w:type="dxa"/>
                  <w:tcBorders>
                    <w:tl2br w:val="nil"/>
                    <w:tr2bl w:val="nil"/>
                  </w:tcBorders>
                  <w:noWrap w:val="0"/>
                  <w:vAlign w:val="center"/>
                </w:tcPr>
                <w:p w14:paraId="4968AB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排气筒</w:t>
                  </w:r>
                </w:p>
              </w:tc>
              <w:tc>
                <w:tcPr>
                  <w:tcW w:w="1696" w:type="dxa"/>
                  <w:tcBorders>
                    <w:tl2br w:val="nil"/>
                    <w:tr2bl w:val="nil"/>
                  </w:tcBorders>
                  <w:noWrap w:val="0"/>
                  <w:vAlign w:val="center"/>
                </w:tcPr>
                <w:p w14:paraId="5B4222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5F2CE5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1根</w:t>
                  </w:r>
                </w:p>
              </w:tc>
              <w:tc>
                <w:tcPr>
                  <w:tcW w:w="3075" w:type="dxa"/>
                  <w:tcBorders>
                    <w:tl2br w:val="nil"/>
                    <w:tr2bl w:val="nil"/>
                  </w:tcBorders>
                  <w:noWrap w:val="0"/>
                  <w:vAlign w:val="center"/>
                </w:tcPr>
                <w:p w14:paraId="6FC8AA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h=15m</w:t>
                  </w:r>
                </w:p>
              </w:tc>
            </w:tr>
            <w:tr w14:paraId="07E582B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6A4EB1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三</w:t>
                  </w:r>
                </w:p>
              </w:tc>
              <w:tc>
                <w:tcPr>
                  <w:tcW w:w="7368" w:type="dxa"/>
                  <w:gridSpan w:val="4"/>
                  <w:tcBorders>
                    <w:tl2br w:val="nil"/>
                    <w:tr2bl w:val="nil"/>
                  </w:tcBorders>
                  <w:noWrap w:val="0"/>
                  <w:vAlign w:val="center"/>
                </w:tcPr>
                <w:p w14:paraId="48B0C9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t>固体肥车间</w:t>
                  </w:r>
                </w:p>
              </w:tc>
            </w:tr>
            <w:tr w14:paraId="0B9B5BF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4B9D0F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w:t>
                  </w:r>
                </w:p>
              </w:tc>
              <w:tc>
                <w:tcPr>
                  <w:tcW w:w="1709" w:type="dxa"/>
                  <w:tcBorders>
                    <w:tl2br w:val="nil"/>
                    <w:tr2bl w:val="nil"/>
                  </w:tcBorders>
                  <w:noWrap w:val="0"/>
                  <w:vAlign w:val="center"/>
                </w:tcPr>
                <w:p w14:paraId="1190EE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default" w:cs="Times New Roman"/>
                      <w:snapToGrid/>
                      <w:color w:val="000000" w:themeColor="text1"/>
                      <w:kern w:val="2"/>
                      <w:sz w:val="21"/>
                      <w:szCs w:val="21"/>
                      <w:highlight w:val="none"/>
                      <w:lang w:val="en-US" w:eastAsia="zh-CN"/>
                      <w14:textFill>
                        <w14:solidFill>
                          <w14:schemeClr w14:val="tx1"/>
                        </w14:solidFill>
                      </w14:textFill>
                    </w:rPr>
                    <w:t>立式</w:t>
                  </w: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粉碎</w:t>
                  </w:r>
                  <w:r>
                    <w:rPr>
                      <w:rFonts w:hint="default" w:cs="Times New Roman"/>
                      <w:snapToGrid/>
                      <w:color w:val="000000" w:themeColor="text1"/>
                      <w:kern w:val="2"/>
                      <w:sz w:val="21"/>
                      <w:szCs w:val="21"/>
                      <w:highlight w:val="none"/>
                      <w:lang w:val="en-US" w:eastAsia="zh-CN"/>
                      <w14:textFill>
                        <w14:solidFill>
                          <w14:schemeClr w14:val="tx1"/>
                        </w14:solidFill>
                      </w14:textFill>
                    </w:rPr>
                    <w:t>机</w:t>
                  </w:r>
                </w:p>
              </w:tc>
              <w:tc>
                <w:tcPr>
                  <w:tcW w:w="1696" w:type="dxa"/>
                  <w:tcBorders>
                    <w:tl2br w:val="nil"/>
                    <w:tr2bl w:val="nil"/>
                  </w:tcBorders>
                  <w:noWrap w:val="0"/>
                  <w:vAlign w:val="center"/>
                </w:tcPr>
                <w:p w14:paraId="1ED495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057F76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1套</w:t>
                  </w:r>
                </w:p>
              </w:tc>
              <w:tc>
                <w:tcPr>
                  <w:tcW w:w="3075" w:type="dxa"/>
                  <w:tcBorders>
                    <w:tl2br w:val="nil"/>
                    <w:tr2bl w:val="nil"/>
                  </w:tcBorders>
                  <w:noWrap w:val="0"/>
                  <w:vAlign w:val="center"/>
                </w:tcPr>
                <w:p w14:paraId="284795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r>
            <w:tr w14:paraId="027708B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385219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2</w:t>
                  </w:r>
                </w:p>
              </w:tc>
              <w:tc>
                <w:tcPr>
                  <w:tcW w:w="1709" w:type="dxa"/>
                  <w:tcBorders>
                    <w:tl2br w:val="nil"/>
                    <w:tr2bl w:val="nil"/>
                  </w:tcBorders>
                  <w:noWrap w:val="0"/>
                  <w:vAlign w:val="center"/>
                </w:tcPr>
                <w:p w14:paraId="0E142F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动态配料机</w:t>
                  </w:r>
                </w:p>
              </w:tc>
              <w:tc>
                <w:tcPr>
                  <w:tcW w:w="1696" w:type="dxa"/>
                  <w:tcBorders>
                    <w:tl2br w:val="nil"/>
                    <w:tr2bl w:val="nil"/>
                  </w:tcBorders>
                  <w:noWrap w:val="0"/>
                  <w:vAlign w:val="center"/>
                </w:tcPr>
                <w:p w14:paraId="297C2B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b/>
                      <w:bCs/>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4D5487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1套</w:t>
                  </w:r>
                </w:p>
              </w:tc>
              <w:tc>
                <w:tcPr>
                  <w:tcW w:w="3075" w:type="dxa"/>
                  <w:tcBorders>
                    <w:tl2br w:val="nil"/>
                    <w:tr2bl w:val="nil"/>
                  </w:tcBorders>
                  <w:noWrap w:val="0"/>
                  <w:vAlign w:val="center"/>
                </w:tcPr>
                <w:p w14:paraId="6F974F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p>
              </w:tc>
            </w:tr>
            <w:tr w14:paraId="40F2A6D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3B9390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3</w:t>
                  </w:r>
                </w:p>
              </w:tc>
              <w:tc>
                <w:tcPr>
                  <w:tcW w:w="1709" w:type="dxa"/>
                  <w:tcBorders>
                    <w:tl2br w:val="nil"/>
                    <w:tr2bl w:val="nil"/>
                  </w:tcBorders>
                  <w:noWrap w:val="0"/>
                  <w:vAlign w:val="center"/>
                </w:tcPr>
                <w:p w14:paraId="6A633E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筛分机</w:t>
                  </w:r>
                </w:p>
              </w:tc>
              <w:tc>
                <w:tcPr>
                  <w:tcW w:w="1696" w:type="dxa"/>
                  <w:tcBorders>
                    <w:tl2br w:val="nil"/>
                    <w:tr2bl w:val="nil"/>
                  </w:tcBorders>
                  <w:noWrap w:val="0"/>
                  <w:vAlign w:val="center"/>
                </w:tcPr>
                <w:p w14:paraId="476D28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GS-1230</w:t>
                  </w:r>
                </w:p>
              </w:tc>
              <w:tc>
                <w:tcPr>
                  <w:tcW w:w="888" w:type="dxa"/>
                  <w:tcBorders>
                    <w:tl2br w:val="nil"/>
                    <w:tr2bl w:val="nil"/>
                  </w:tcBorders>
                  <w:noWrap w:val="0"/>
                  <w:vAlign w:val="center"/>
                </w:tcPr>
                <w:p w14:paraId="08A497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2</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套</w:t>
                  </w:r>
                </w:p>
              </w:tc>
              <w:tc>
                <w:tcPr>
                  <w:tcW w:w="3075" w:type="dxa"/>
                  <w:tcBorders>
                    <w:tl2br w:val="nil"/>
                    <w:tr2bl w:val="nil"/>
                  </w:tcBorders>
                  <w:noWrap w:val="0"/>
                  <w:vAlign w:val="center"/>
                </w:tcPr>
                <w:p w14:paraId="1F0576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619F918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6F536F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4</w:t>
                  </w:r>
                </w:p>
              </w:tc>
              <w:tc>
                <w:tcPr>
                  <w:tcW w:w="1709" w:type="dxa"/>
                  <w:tcBorders>
                    <w:tl2br w:val="nil"/>
                    <w:tr2bl w:val="nil"/>
                  </w:tcBorders>
                  <w:noWrap w:val="0"/>
                  <w:vAlign w:val="center"/>
                </w:tcPr>
                <w:p w14:paraId="3EF00B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对辊造粒机</w:t>
                  </w:r>
                </w:p>
              </w:tc>
              <w:tc>
                <w:tcPr>
                  <w:tcW w:w="1696" w:type="dxa"/>
                  <w:tcBorders>
                    <w:tl2br w:val="nil"/>
                    <w:tr2bl w:val="nil"/>
                  </w:tcBorders>
                  <w:noWrap w:val="0"/>
                  <w:vAlign w:val="center"/>
                </w:tcPr>
                <w:p w14:paraId="634A2D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DGZL-2T</w:t>
                  </w:r>
                </w:p>
              </w:tc>
              <w:tc>
                <w:tcPr>
                  <w:tcW w:w="888" w:type="dxa"/>
                  <w:tcBorders>
                    <w:tl2br w:val="nil"/>
                    <w:tr2bl w:val="nil"/>
                  </w:tcBorders>
                  <w:noWrap w:val="0"/>
                  <w:vAlign w:val="center"/>
                </w:tcPr>
                <w:p w14:paraId="27C23A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1套</w:t>
                  </w:r>
                </w:p>
              </w:tc>
              <w:tc>
                <w:tcPr>
                  <w:tcW w:w="3075" w:type="dxa"/>
                  <w:tcBorders>
                    <w:tl2br w:val="nil"/>
                    <w:tr2bl w:val="nil"/>
                  </w:tcBorders>
                  <w:noWrap w:val="0"/>
                  <w:vAlign w:val="center"/>
                </w:tcPr>
                <w:p w14:paraId="64872C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2C666B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5B8B39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5</w:t>
                  </w:r>
                </w:p>
              </w:tc>
              <w:tc>
                <w:tcPr>
                  <w:tcW w:w="1709" w:type="dxa"/>
                  <w:tcBorders>
                    <w:tl2br w:val="nil"/>
                    <w:tr2bl w:val="nil"/>
                  </w:tcBorders>
                  <w:noWrap w:val="0"/>
                  <w:vAlign w:val="center"/>
                </w:tcPr>
                <w:p w14:paraId="5D83B5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输送机</w:t>
                  </w:r>
                </w:p>
              </w:tc>
              <w:tc>
                <w:tcPr>
                  <w:tcW w:w="1696" w:type="dxa"/>
                  <w:tcBorders>
                    <w:tl2br w:val="nil"/>
                    <w:tr2bl w:val="nil"/>
                  </w:tcBorders>
                  <w:noWrap w:val="0"/>
                  <w:vAlign w:val="center"/>
                </w:tcPr>
                <w:p w14:paraId="288445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B500</w:t>
                  </w:r>
                </w:p>
              </w:tc>
              <w:tc>
                <w:tcPr>
                  <w:tcW w:w="888" w:type="dxa"/>
                  <w:tcBorders>
                    <w:tl2br w:val="nil"/>
                    <w:tr2bl w:val="nil"/>
                  </w:tcBorders>
                  <w:noWrap w:val="0"/>
                  <w:vAlign w:val="center"/>
                </w:tcPr>
                <w:p w14:paraId="7C3AB1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1套</w:t>
                  </w:r>
                </w:p>
              </w:tc>
              <w:tc>
                <w:tcPr>
                  <w:tcW w:w="3075" w:type="dxa"/>
                  <w:tcBorders>
                    <w:tl2br w:val="nil"/>
                    <w:tr2bl w:val="nil"/>
                  </w:tcBorders>
                  <w:noWrap w:val="0"/>
                  <w:vAlign w:val="center"/>
                </w:tcPr>
                <w:p w14:paraId="4B88B1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54A2BF9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307936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6</w:t>
                  </w:r>
                </w:p>
              </w:tc>
              <w:tc>
                <w:tcPr>
                  <w:tcW w:w="1709" w:type="dxa"/>
                  <w:tcBorders>
                    <w:tl2br w:val="nil"/>
                    <w:tr2bl w:val="nil"/>
                  </w:tcBorders>
                  <w:noWrap w:val="0"/>
                  <w:vAlign w:val="center"/>
                </w:tcPr>
                <w:p w14:paraId="02C118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包装机</w:t>
                  </w:r>
                </w:p>
              </w:tc>
              <w:tc>
                <w:tcPr>
                  <w:tcW w:w="1696" w:type="dxa"/>
                  <w:tcBorders>
                    <w:tl2br w:val="nil"/>
                    <w:tr2bl w:val="nil"/>
                  </w:tcBorders>
                  <w:noWrap w:val="0"/>
                  <w:vAlign w:val="center"/>
                </w:tcPr>
                <w:p w14:paraId="40F46D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b/>
                      <w:bCs/>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FB-500</w:t>
                  </w:r>
                </w:p>
              </w:tc>
              <w:tc>
                <w:tcPr>
                  <w:tcW w:w="888" w:type="dxa"/>
                  <w:tcBorders>
                    <w:tl2br w:val="nil"/>
                    <w:tr2bl w:val="nil"/>
                  </w:tcBorders>
                  <w:noWrap w:val="0"/>
                  <w:vAlign w:val="center"/>
                </w:tcPr>
                <w:p w14:paraId="3B1FA7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1套</w:t>
                  </w:r>
                </w:p>
              </w:tc>
              <w:tc>
                <w:tcPr>
                  <w:tcW w:w="3075" w:type="dxa"/>
                  <w:tcBorders>
                    <w:tl2br w:val="nil"/>
                    <w:tr2bl w:val="nil"/>
                  </w:tcBorders>
                  <w:noWrap w:val="0"/>
                  <w:vAlign w:val="center"/>
                </w:tcPr>
                <w:p w14:paraId="1FDA11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p>
              </w:tc>
            </w:tr>
            <w:tr w14:paraId="196D85F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77" w:type="dxa"/>
                  <w:tcBorders>
                    <w:tl2br w:val="nil"/>
                    <w:tr2bl w:val="nil"/>
                  </w:tcBorders>
                  <w:shd w:val="clear" w:color="auto" w:fill="auto"/>
                  <w:noWrap w:val="0"/>
                  <w:vAlign w:val="center"/>
                </w:tcPr>
                <w:p w14:paraId="482D51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7</w:t>
                  </w:r>
                </w:p>
              </w:tc>
              <w:tc>
                <w:tcPr>
                  <w:tcW w:w="1709" w:type="dxa"/>
                  <w:tcBorders>
                    <w:tl2br w:val="nil"/>
                    <w:tr2bl w:val="nil"/>
                  </w:tcBorders>
                  <w:noWrap w:val="0"/>
                  <w:vAlign w:val="center"/>
                </w:tcPr>
                <w:p w14:paraId="687B18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输送</w:t>
                  </w:r>
                  <w:r>
                    <w:rPr>
                      <w:rFonts w:hint="eastAsia" w:cs="Times New Roman"/>
                      <w:snapToGrid/>
                      <w:color w:val="000000" w:themeColor="text1"/>
                      <w:kern w:val="2"/>
                      <w:sz w:val="21"/>
                      <w:szCs w:val="21"/>
                      <w:highlight w:val="none"/>
                      <w:lang w:val="en-US" w:eastAsia="zh-CN" w:bidi="ar-SA"/>
                      <w14:textFill>
                        <w14:solidFill>
                          <w14:schemeClr w14:val="tx1"/>
                        </w14:solidFill>
                      </w14:textFill>
                    </w:rPr>
                    <w:t>皮带（含刮板机）</w:t>
                  </w:r>
                </w:p>
              </w:tc>
              <w:tc>
                <w:tcPr>
                  <w:tcW w:w="1696" w:type="dxa"/>
                  <w:tcBorders>
                    <w:tl2br w:val="nil"/>
                    <w:tr2bl w:val="nil"/>
                  </w:tcBorders>
                  <w:noWrap w:val="0"/>
                  <w:vAlign w:val="center"/>
                </w:tcPr>
                <w:p w14:paraId="3A1CEC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b/>
                      <w:bCs/>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24EC9C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200m</w:t>
                  </w:r>
                </w:p>
              </w:tc>
              <w:tc>
                <w:tcPr>
                  <w:tcW w:w="3075" w:type="dxa"/>
                  <w:tcBorders>
                    <w:tl2br w:val="nil"/>
                    <w:tr2bl w:val="nil"/>
                  </w:tcBorders>
                  <w:noWrap w:val="0"/>
                  <w:vAlign w:val="center"/>
                </w:tcPr>
                <w:p w14:paraId="299C91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全封闭式皮带；原料贮存及破碎车  间至碳化车间</w:t>
                  </w:r>
                </w:p>
              </w:tc>
            </w:tr>
            <w:tr w14:paraId="29B9AE6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4CD629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8</w:t>
                  </w:r>
                </w:p>
              </w:tc>
              <w:tc>
                <w:tcPr>
                  <w:tcW w:w="1709" w:type="dxa"/>
                  <w:tcBorders>
                    <w:tl2br w:val="nil"/>
                    <w:tr2bl w:val="nil"/>
                  </w:tcBorders>
                  <w:noWrap w:val="0"/>
                  <w:vAlign w:val="center"/>
                </w:tcPr>
                <w:p w14:paraId="126309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集气罩</w:t>
                  </w:r>
                </w:p>
              </w:tc>
              <w:tc>
                <w:tcPr>
                  <w:tcW w:w="1696" w:type="dxa"/>
                  <w:tcBorders>
                    <w:tl2br w:val="nil"/>
                    <w:tr2bl w:val="nil"/>
                  </w:tcBorders>
                  <w:noWrap w:val="0"/>
                  <w:vAlign w:val="center"/>
                </w:tcPr>
                <w:p w14:paraId="5928E8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b/>
                      <w:bCs/>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01DE2C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4个</w:t>
                  </w:r>
                </w:p>
              </w:tc>
              <w:tc>
                <w:tcPr>
                  <w:tcW w:w="3075" w:type="dxa"/>
                  <w:tcBorders>
                    <w:tl2br w:val="nil"/>
                    <w:tr2bl w:val="nil"/>
                  </w:tcBorders>
                  <w:noWrap w:val="0"/>
                  <w:vAlign w:val="center"/>
                </w:tcPr>
                <w:p w14:paraId="160328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炭块破碎、筛分、</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粉状炭</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有机肥</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灌装、颗粒</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有机肥</w:t>
                  </w:r>
                  <w:r>
                    <w:rPr>
                      <w:rFonts w:hint="eastAsia" w:ascii="Times New Roman" w:hAnsi="Times New Roman" w:eastAsia="宋体" w:cs="Times New Roman"/>
                      <w:snapToGrid/>
                      <w:color w:val="000000" w:themeColor="text1"/>
                      <w:kern w:val="2"/>
                      <w:sz w:val="21"/>
                      <w:szCs w:val="21"/>
                      <w:highlight w:val="none"/>
                      <w:vertAlign w:val="baseline"/>
                      <w:lang w:val="en-US" w:eastAsia="zh-CN"/>
                      <w14:textFill>
                        <w14:solidFill>
                          <w14:schemeClr w14:val="tx1"/>
                        </w14:solidFill>
                      </w14:textFill>
                    </w:rPr>
                    <w:t>造粒灌装工序</w:t>
                  </w:r>
                  <w:r>
                    <w:rPr>
                      <w:rFonts w:hint="eastAsia" w:cs="Times New Roman"/>
                      <w:color w:val="000000" w:themeColor="text1"/>
                      <w:kern w:val="0"/>
                      <w:sz w:val="21"/>
                      <w:szCs w:val="21"/>
                      <w:highlight w:val="none"/>
                      <w:lang w:val="en-US" w:eastAsia="zh-CN" w:bidi="ar"/>
                      <w14:textFill>
                        <w14:solidFill>
                          <w14:schemeClr w14:val="tx1"/>
                        </w14:solidFill>
                      </w14:textFill>
                    </w:rPr>
                    <w:t>顶部</w:t>
                  </w:r>
                  <w:r>
                    <w:rPr>
                      <w:rFonts w:hint="eastAsia" w:cs="Times New Roman"/>
                      <w:snapToGrid/>
                      <w:color w:val="000000" w:themeColor="text1"/>
                      <w:kern w:val="2"/>
                      <w:sz w:val="21"/>
                      <w:szCs w:val="21"/>
                      <w:highlight w:val="none"/>
                      <w:vertAlign w:val="baseline"/>
                      <w:lang w:val="en-US" w:eastAsia="zh-CN"/>
                      <w14:textFill>
                        <w14:solidFill>
                          <w14:schemeClr w14:val="tx1"/>
                        </w14:solidFill>
                      </w14:textFill>
                    </w:rPr>
                    <w:t>各1个</w:t>
                  </w:r>
                </w:p>
              </w:tc>
            </w:tr>
            <w:tr w14:paraId="5CAABB0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5CAE90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9</w:t>
                  </w:r>
                </w:p>
              </w:tc>
              <w:tc>
                <w:tcPr>
                  <w:tcW w:w="1709" w:type="dxa"/>
                  <w:tcBorders>
                    <w:tl2br w:val="nil"/>
                    <w:tr2bl w:val="nil"/>
                  </w:tcBorders>
                  <w:noWrap w:val="0"/>
                  <w:vAlign w:val="center"/>
                </w:tcPr>
                <w:p w14:paraId="5D9733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袋式除尘器</w:t>
                  </w:r>
                </w:p>
              </w:tc>
              <w:tc>
                <w:tcPr>
                  <w:tcW w:w="1696" w:type="dxa"/>
                  <w:tcBorders>
                    <w:tl2br w:val="nil"/>
                    <w:tr2bl w:val="nil"/>
                  </w:tcBorders>
                  <w:noWrap w:val="0"/>
                  <w:vAlign w:val="center"/>
                </w:tcPr>
                <w:p w14:paraId="77E89E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b/>
                      <w:bCs/>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685B27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1台</w:t>
                  </w:r>
                </w:p>
              </w:tc>
              <w:tc>
                <w:tcPr>
                  <w:tcW w:w="3075" w:type="dxa"/>
                  <w:tcBorders>
                    <w:tl2br w:val="nil"/>
                    <w:tr2bl w:val="nil"/>
                  </w:tcBorders>
                  <w:noWrap w:val="0"/>
                  <w:vAlign w:val="center"/>
                </w:tcPr>
                <w:p w14:paraId="33283F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p>
              </w:tc>
            </w:tr>
            <w:tr w14:paraId="5CCBFF7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shd w:val="clear" w:color="auto" w:fill="auto"/>
                  <w:noWrap w:val="0"/>
                  <w:vAlign w:val="center"/>
                </w:tcPr>
                <w:p w14:paraId="7DA59D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10</w:t>
                  </w:r>
                </w:p>
              </w:tc>
              <w:tc>
                <w:tcPr>
                  <w:tcW w:w="1709" w:type="dxa"/>
                  <w:tcBorders>
                    <w:tl2br w:val="nil"/>
                    <w:tr2bl w:val="nil"/>
                  </w:tcBorders>
                  <w:noWrap w:val="0"/>
                  <w:vAlign w:val="center"/>
                </w:tcPr>
                <w:p w14:paraId="2D08E0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排气筒</w:t>
                  </w:r>
                </w:p>
              </w:tc>
              <w:tc>
                <w:tcPr>
                  <w:tcW w:w="1696" w:type="dxa"/>
                  <w:tcBorders>
                    <w:tl2br w:val="nil"/>
                    <w:tr2bl w:val="nil"/>
                  </w:tcBorders>
                  <w:noWrap w:val="0"/>
                  <w:vAlign w:val="center"/>
                </w:tcPr>
                <w:p w14:paraId="118B46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b/>
                      <w:bCs/>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1CA437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1根</w:t>
                  </w:r>
                </w:p>
              </w:tc>
              <w:tc>
                <w:tcPr>
                  <w:tcW w:w="3075" w:type="dxa"/>
                  <w:tcBorders>
                    <w:tl2br w:val="nil"/>
                    <w:tr2bl w:val="nil"/>
                  </w:tcBorders>
                  <w:noWrap w:val="0"/>
                  <w:vAlign w:val="center"/>
                </w:tcPr>
                <w:p w14:paraId="184326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h=15m</w:t>
                  </w:r>
                </w:p>
              </w:tc>
            </w:tr>
            <w:tr w14:paraId="565EC74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0D0870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四</w:t>
                  </w:r>
                </w:p>
              </w:tc>
              <w:tc>
                <w:tcPr>
                  <w:tcW w:w="7368" w:type="dxa"/>
                  <w:gridSpan w:val="4"/>
                  <w:tcBorders>
                    <w:tl2br w:val="nil"/>
                    <w:tr2bl w:val="nil"/>
                  </w:tcBorders>
                  <w:noWrap w:val="0"/>
                  <w:vAlign w:val="center"/>
                </w:tcPr>
                <w:p w14:paraId="367359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bidi="ar-SA"/>
                      <w14:textFill>
                        <w14:solidFill>
                          <w14:schemeClr w14:val="tx1"/>
                        </w14:solidFill>
                      </w14:textFill>
                    </w:rPr>
                    <w:t>液体</w:t>
                  </w:r>
                  <w:r>
                    <w:rPr>
                      <w:rFonts w:hint="default" w:ascii="Times New Roman" w:hAnsi="Times New Roman" w:eastAsia="宋体" w:cs="Times New Roman"/>
                      <w:b/>
                      <w:bCs/>
                      <w:snapToGrid/>
                      <w:color w:val="000000" w:themeColor="text1"/>
                      <w:kern w:val="2"/>
                      <w:sz w:val="21"/>
                      <w:szCs w:val="21"/>
                      <w:highlight w:val="none"/>
                      <w:lang w:val="en-US" w:eastAsia="zh-CN" w:bidi="ar-SA"/>
                      <w14:textFill>
                        <w14:solidFill>
                          <w14:schemeClr w14:val="tx1"/>
                        </w14:solidFill>
                      </w14:textFill>
                    </w:rPr>
                    <w:t>肥车间</w:t>
                  </w:r>
                </w:p>
              </w:tc>
            </w:tr>
            <w:tr w14:paraId="5EF046B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restart"/>
                  <w:tcBorders>
                    <w:tl2br w:val="nil"/>
                    <w:tr2bl w:val="nil"/>
                  </w:tcBorders>
                  <w:noWrap w:val="0"/>
                  <w:vAlign w:val="center"/>
                </w:tcPr>
                <w:p w14:paraId="38AA78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restart"/>
                  <w:tcBorders>
                    <w:tl2br w:val="nil"/>
                    <w:tr2bl w:val="nil"/>
                  </w:tcBorders>
                  <w:noWrap w:val="0"/>
                  <w:vAlign w:val="center"/>
                </w:tcPr>
                <w:p w14:paraId="66BC30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1E818D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vMerge w:val="restart"/>
                  <w:tcBorders>
                    <w:tl2br w:val="nil"/>
                    <w:tr2bl w:val="nil"/>
                  </w:tcBorders>
                  <w:noWrap w:val="0"/>
                  <w:vAlign w:val="center"/>
                </w:tcPr>
                <w:p w14:paraId="7A0AB4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vMerge w:val="restart"/>
                  <w:tcBorders>
                    <w:tl2br w:val="nil"/>
                    <w:tr2bl w:val="nil"/>
                  </w:tcBorders>
                  <w:noWrap w:val="0"/>
                  <w:vAlign w:val="center"/>
                </w:tcPr>
                <w:p w14:paraId="267B45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760377A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0B718A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6A073C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D791A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vMerge w:val="continue"/>
                  <w:tcBorders>
                    <w:tl2br w:val="nil"/>
                    <w:tr2bl w:val="nil"/>
                  </w:tcBorders>
                  <w:noWrap w:val="0"/>
                  <w:vAlign w:val="center"/>
                </w:tcPr>
                <w:p w14:paraId="0D899D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vMerge w:val="continue"/>
                  <w:tcBorders>
                    <w:tl2br w:val="nil"/>
                    <w:tr2bl w:val="nil"/>
                  </w:tcBorders>
                  <w:noWrap w:val="0"/>
                  <w:vAlign w:val="center"/>
                </w:tcPr>
                <w:p w14:paraId="0CB86E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46014E7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2ED285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2AA42E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6BB24A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vMerge w:val="continue"/>
                  <w:tcBorders>
                    <w:tl2br w:val="nil"/>
                    <w:tr2bl w:val="nil"/>
                  </w:tcBorders>
                  <w:noWrap w:val="0"/>
                  <w:vAlign w:val="center"/>
                </w:tcPr>
                <w:p w14:paraId="6788F0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vMerge w:val="continue"/>
                  <w:tcBorders>
                    <w:tl2br w:val="nil"/>
                    <w:tr2bl w:val="nil"/>
                  </w:tcBorders>
                  <w:noWrap w:val="0"/>
                  <w:vAlign w:val="center"/>
                </w:tcPr>
                <w:p w14:paraId="725A31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6591CB2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restart"/>
                  <w:tcBorders>
                    <w:tl2br w:val="nil"/>
                    <w:tr2bl w:val="nil"/>
                  </w:tcBorders>
                  <w:noWrap w:val="0"/>
                  <w:vAlign w:val="center"/>
                </w:tcPr>
                <w:p w14:paraId="1CD1F6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restart"/>
                  <w:tcBorders>
                    <w:tl2br w:val="nil"/>
                    <w:tr2bl w:val="nil"/>
                  </w:tcBorders>
                  <w:noWrap w:val="0"/>
                  <w:vAlign w:val="center"/>
                </w:tcPr>
                <w:p w14:paraId="6160A4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7FC29F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73F2B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452634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497C953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59986F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0F6CB9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39ED7B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7EF33A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C81A8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0118A3C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1EA13F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78A4E9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09384F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C302B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50AFAA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E94E6B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3E116B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3D2BA8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262BC9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5B860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E773D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4BB5C78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5DAC4F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408977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34380F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5FC614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0623FD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545EDEA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5A9367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6C89EE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774760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F0AA9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BE821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502F6FB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446458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5CECF7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10C44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74403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8115E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9DAF72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0ED9AD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5361D1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131D8B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2788C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653370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7D9D350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62B7A1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72FBFE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3D1B4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23D261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374CAD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6ADE7C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7BA84D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4A7410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7DF59E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3CA60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4BAEDF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3C78F1D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0B6922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6E6012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434301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4F1C47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3A721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041302C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6699E3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0D9BFC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3B24AD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CBE2C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1D230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6CE4FA3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32FC15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176AA5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293222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449A08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61929F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1F07D3B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43AD0E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48716C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492C08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5C2A2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5F08FF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87743E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77" w:type="dxa"/>
                  <w:vMerge w:val="continue"/>
                  <w:tcBorders>
                    <w:tl2br w:val="nil"/>
                    <w:tr2bl w:val="nil"/>
                  </w:tcBorders>
                  <w:noWrap w:val="0"/>
                  <w:vAlign w:val="center"/>
                </w:tcPr>
                <w:p w14:paraId="1E0D94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7933DD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0D8DD3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22A697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0EE157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0144BDD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1C792E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4375D0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25E43F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51BE10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5FDFF3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7DB1BA5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restart"/>
                  <w:tcBorders>
                    <w:tl2br w:val="nil"/>
                    <w:tr2bl w:val="nil"/>
                  </w:tcBorders>
                  <w:noWrap w:val="0"/>
                  <w:vAlign w:val="center"/>
                </w:tcPr>
                <w:p w14:paraId="44665A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restart"/>
                  <w:tcBorders>
                    <w:tl2br w:val="nil"/>
                    <w:tr2bl w:val="nil"/>
                  </w:tcBorders>
                  <w:noWrap w:val="0"/>
                  <w:vAlign w:val="center"/>
                </w:tcPr>
                <w:p w14:paraId="0C28A9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68C8B59C">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1B35CC67">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6B22CA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76EBA96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566F3D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30DF0C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9A84D6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4565795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A40B6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477325B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restart"/>
                  <w:tcBorders>
                    <w:tl2br w:val="nil"/>
                    <w:tr2bl w:val="nil"/>
                  </w:tcBorders>
                  <w:noWrap w:val="0"/>
                  <w:vAlign w:val="center"/>
                </w:tcPr>
                <w:p w14:paraId="22F976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restart"/>
                  <w:tcBorders>
                    <w:tl2br w:val="nil"/>
                    <w:tr2bl w:val="nil"/>
                  </w:tcBorders>
                  <w:noWrap w:val="0"/>
                  <w:vAlign w:val="center"/>
                </w:tcPr>
                <w:p w14:paraId="1E8C31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027EEA9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40D21D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64D275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7031D3F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5ABE5D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7119DA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074BB2E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4B6891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681D62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10876E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115D95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795D62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4BFEAB3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598333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072F4F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5E96C04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1049AE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7F4F9A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17BA067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54D9F4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583F2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699AB22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37D66D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018CB4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90D8D0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20D88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D40ED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4479B90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34DDC2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21C5B9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7FBF570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76AC2A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33A78B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418FED1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466DF9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1B1D80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434581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60A206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826EB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4004DD3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3D6F4D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09D0DC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7B44D80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539869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1628B8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1C747C7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15C276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344BDC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3B6A0DA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FAC68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0CF886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5D400F5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4ACEDD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604CB5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25F615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74EB10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AD9A1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223505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restart"/>
                  <w:tcBorders>
                    <w:tl2br w:val="nil"/>
                    <w:tr2bl w:val="nil"/>
                  </w:tcBorders>
                  <w:noWrap w:val="0"/>
                  <w:vAlign w:val="center"/>
                </w:tcPr>
                <w:p w14:paraId="71343A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restart"/>
                  <w:tcBorders>
                    <w:tl2br w:val="nil"/>
                    <w:tr2bl w:val="nil"/>
                  </w:tcBorders>
                  <w:noWrap w:val="0"/>
                  <w:vAlign w:val="center"/>
                </w:tcPr>
                <w:p w14:paraId="6A9523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09BBCE9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BFDC8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509ABC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7E99171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3A7DAD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192688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2ACC2A0D">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5D184A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BEC75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11F0326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435DBF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0399E4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5FB22E9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0FD6B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18C48D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32A824B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58D904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tcBorders>
                    <w:tl2br w:val="nil"/>
                    <w:tr2bl w:val="nil"/>
                  </w:tcBorders>
                  <w:noWrap w:val="0"/>
                  <w:vAlign w:val="center"/>
                </w:tcPr>
                <w:p w14:paraId="4ED73C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6E1EAF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2CF55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128B29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D4D115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restart"/>
                  <w:tcBorders>
                    <w:tl2br w:val="nil"/>
                    <w:tr2bl w:val="nil"/>
                  </w:tcBorders>
                  <w:noWrap w:val="0"/>
                  <w:vAlign w:val="center"/>
                </w:tcPr>
                <w:p w14:paraId="246E34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restart"/>
                  <w:tcBorders>
                    <w:tl2br w:val="nil"/>
                    <w:tr2bl w:val="nil"/>
                  </w:tcBorders>
                  <w:noWrap w:val="0"/>
                  <w:vAlign w:val="center"/>
                </w:tcPr>
                <w:p w14:paraId="7E68DF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74B6A1B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0C8CF4F">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605302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1A4AFEC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5FD90F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2D4FDC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68BDC20D">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7E8640C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CE0D6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0D085C3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5E7D19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430F7F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15A7DFE5">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2161DF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794FAF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319062A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48922E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743452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49F71B0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4718531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59878A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2AE75C2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75F0D4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2399BE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1D82D26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29C81FF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5DBC6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0A8EDAC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67F06A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6BB477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4C734B2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112E593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40C9D3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0C0E1E6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vMerge w:val="continue"/>
                  <w:tcBorders>
                    <w:tl2br w:val="nil"/>
                    <w:tr2bl w:val="nil"/>
                  </w:tcBorders>
                  <w:noWrap w:val="0"/>
                  <w:vAlign w:val="center"/>
                </w:tcPr>
                <w:p w14:paraId="704624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709" w:type="dxa"/>
                  <w:vMerge w:val="continue"/>
                  <w:tcBorders>
                    <w:tl2br w:val="nil"/>
                    <w:tr2bl w:val="nil"/>
                  </w:tcBorders>
                  <w:noWrap w:val="0"/>
                  <w:vAlign w:val="center"/>
                </w:tcPr>
                <w:p w14:paraId="659FEC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1F3DE90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BC5021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576FA1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6F1D808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0D7234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p>
              </w:tc>
              <w:tc>
                <w:tcPr>
                  <w:tcW w:w="1709" w:type="dxa"/>
                  <w:tcBorders>
                    <w:tl2br w:val="nil"/>
                    <w:tr2bl w:val="nil"/>
                  </w:tcBorders>
                  <w:noWrap w:val="0"/>
                  <w:vAlign w:val="center"/>
                </w:tcPr>
                <w:p w14:paraId="11DBAF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0D7C075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3267062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59A284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r>
            <w:tr w14:paraId="698FBBD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370CDA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五</w:t>
                  </w:r>
                </w:p>
              </w:tc>
              <w:tc>
                <w:tcPr>
                  <w:tcW w:w="7368" w:type="dxa"/>
                  <w:gridSpan w:val="4"/>
                  <w:tcBorders>
                    <w:tl2br w:val="nil"/>
                    <w:tr2bl w:val="nil"/>
                  </w:tcBorders>
                  <w:noWrap w:val="0"/>
                  <w:vAlign w:val="center"/>
                </w:tcPr>
                <w:p w14:paraId="6F5A34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热储能车间</w:t>
                  </w:r>
                </w:p>
              </w:tc>
            </w:tr>
            <w:tr w14:paraId="3D11576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349B3B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w:t>
                  </w:r>
                </w:p>
              </w:tc>
              <w:tc>
                <w:tcPr>
                  <w:tcW w:w="1709" w:type="dxa"/>
                  <w:tcBorders>
                    <w:tl2br w:val="nil"/>
                    <w:tr2bl w:val="nil"/>
                  </w:tcBorders>
                  <w:noWrap w:val="0"/>
                  <w:vAlign w:val="center"/>
                </w:tcPr>
                <w:p w14:paraId="736080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696" w:type="dxa"/>
                  <w:tcBorders>
                    <w:tl2br w:val="nil"/>
                    <w:tr2bl w:val="nil"/>
                  </w:tcBorders>
                  <w:noWrap w:val="0"/>
                  <w:vAlign w:val="center"/>
                </w:tcPr>
                <w:p w14:paraId="2922E0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42488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p>
              </w:tc>
              <w:tc>
                <w:tcPr>
                  <w:tcW w:w="3075" w:type="dxa"/>
                  <w:tcBorders>
                    <w:tl2br w:val="nil"/>
                    <w:tr2bl w:val="nil"/>
                  </w:tcBorders>
                  <w:noWrap w:val="0"/>
                  <w:vAlign w:val="center"/>
                </w:tcPr>
                <w:p w14:paraId="251B72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r>
            <w:tr w14:paraId="09672C3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6AD362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2</w:t>
                  </w:r>
                </w:p>
              </w:tc>
              <w:tc>
                <w:tcPr>
                  <w:tcW w:w="1709" w:type="dxa"/>
                  <w:tcBorders>
                    <w:tl2br w:val="nil"/>
                    <w:tr2bl w:val="nil"/>
                  </w:tcBorders>
                  <w:noWrap w:val="0"/>
                  <w:vAlign w:val="center"/>
                </w:tcPr>
                <w:p w14:paraId="503704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静电除尘器</w:t>
                  </w:r>
                </w:p>
              </w:tc>
              <w:tc>
                <w:tcPr>
                  <w:tcW w:w="1696" w:type="dxa"/>
                  <w:tcBorders>
                    <w:tl2br w:val="nil"/>
                    <w:tr2bl w:val="nil"/>
                  </w:tcBorders>
                  <w:noWrap w:val="0"/>
                  <w:vAlign w:val="center"/>
                </w:tcPr>
                <w:p w14:paraId="1397D5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3EAF3E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1台</w:t>
                  </w:r>
                </w:p>
              </w:tc>
              <w:tc>
                <w:tcPr>
                  <w:tcW w:w="3075" w:type="dxa"/>
                  <w:tcBorders>
                    <w:tl2br w:val="nil"/>
                    <w:tr2bl w:val="nil"/>
                  </w:tcBorders>
                  <w:noWrap w:val="0"/>
                  <w:vAlign w:val="center"/>
                </w:tcPr>
                <w:p w14:paraId="3D3285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r>
            <w:tr w14:paraId="699EA78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6DE0E4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3</w:t>
                  </w:r>
                </w:p>
              </w:tc>
              <w:tc>
                <w:tcPr>
                  <w:tcW w:w="1709" w:type="dxa"/>
                  <w:tcBorders>
                    <w:tl2br w:val="nil"/>
                    <w:tr2bl w:val="nil"/>
                  </w:tcBorders>
                  <w:noWrap w:val="0"/>
                  <w:vAlign w:val="center"/>
                </w:tcPr>
                <w:p w14:paraId="035691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排气筒</w:t>
                  </w:r>
                </w:p>
              </w:tc>
              <w:tc>
                <w:tcPr>
                  <w:tcW w:w="1696" w:type="dxa"/>
                  <w:tcBorders>
                    <w:tl2br w:val="nil"/>
                    <w:tr2bl w:val="nil"/>
                  </w:tcBorders>
                  <w:noWrap w:val="0"/>
                  <w:vAlign w:val="center"/>
                </w:tcPr>
                <w:p w14:paraId="256D0C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w:t>
                  </w:r>
                </w:p>
              </w:tc>
              <w:tc>
                <w:tcPr>
                  <w:tcW w:w="888" w:type="dxa"/>
                  <w:tcBorders>
                    <w:tl2br w:val="nil"/>
                    <w:tr2bl w:val="nil"/>
                  </w:tcBorders>
                  <w:noWrap w:val="0"/>
                  <w:vAlign w:val="center"/>
                </w:tcPr>
                <w:p w14:paraId="206465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1根</w:t>
                  </w:r>
                </w:p>
              </w:tc>
              <w:tc>
                <w:tcPr>
                  <w:tcW w:w="3075" w:type="dxa"/>
                  <w:tcBorders>
                    <w:tl2br w:val="nil"/>
                    <w:tr2bl w:val="nil"/>
                  </w:tcBorders>
                  <w:noWrap w:val="0"/>
                  <w:vAlign w:val="center"/>
                </w:tcPr>
                <w:p w14:paraId="015CB6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h=15m</w:t>
                  </w:r>
                </w:p>
              </w:tc>
            </w:tr>
            <w:tr w14:paraId="2E8F5B1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65A633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b/>
                      <w:bCs/>
                      <w:snapToGrid/>
                      <w:color w:val="000000" w:themeColor="text1"/>
                      <w:kern w:val="2"/>
                      <w:sz w:val="21"/>
                      <w:szCs w:val="21"/>
                      <w:highlight w:val="none"/>
                      <w:lang w:val="en-US" w:eastAsia="zh-CN"/>
                      <w14:textFill>
                        <w14:solidFill>
                          <w14:schemeClr w14:val="tx1"/>
                        </w14:solidFill>
                      </w14:textFill>
                    </w:rPr>
                    <w:t>六</w:t>
                  </w:r>
                </w:p>
              </w:tc>
              <w:tc>
                <w:tcPr>
                  <w:tcW w:w="7368" w:type="dxa"/>
                  <w:gridSpan w:val="4"/>
                  <w:tcBorders>
                    <w:tl2br w:val="nil"/>
                    <w:tr2bl w:val="nil"/>
                  </w:tcBorders>
                  <w:noWrap w:val="0"/>
                  <w:vAlign w:val="center"/>
                </w:tcPr>
                <w:p w14:paraId="646F51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其他</w:t>
                  </w:r>
                </w:p>
              </w:tc>
            </w:tr>
            <w:tr w14:paraId="585F2C1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053B06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w:t>
                  </w:r>
                </w:p>
              </w:tc>
              <w:tc>
                <w:tcPr>
                  <w:tcW w:w="1709" w:type="dxa"/>
                  <w:tcBorders>
                    <w:tl2br w:val="nil"/>
                    <w:tr2bl w:val="nil"/>
                  </w:tcBorders>
                  <w:noWrap w:val="0"/>
                  <w:vAlign w:val="center"/>
                </w:tcPr>
                <w:p w14:paraId="0910C5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c>
                <w:tcPr>
                  <w:tcW w:w="1696" w:type="dxa"/>
                  <w:tcBorders>
                    <w:tl2br w:val="nil"/>
                    <w:tr2bl w:val="nil"/>
                  </w:tcBorders>
                  <w:noWrap w:val="0"/>
                  <w:vAlign w:val="center"/>
                </w:tcPr>
                <w:p w14:paraId="64A74A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413652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c>
                <w:tcPr>
                  <w:tcW w:w="3075" w:type="dxa"/>
                  <w:tcBorders>
                    <w:tl2br w:val="nil"/>
                    <w:tr2bl w:val="nil"/>
                  </w:tcBorders>
                  <w:noWrap w:val="0"/>
                  <w:vAlign w:val="center"/>
                </w:tcPr>
                <w:p w14:paraId="1D2C8E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2FAAB41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1B21DB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2</w:t>
                  </w:r>
                </w:p>
              </w:tc>
              <w:tc>
                <w:tcPr>
                  <w:tcW w:w="1709" w:type="dxa"/>
                  <w:tcBorders>
                    <w:tl2br w:val="nil"/>
                    <w:tr2bl w:val="nil"/>
                  </w:tcBorders>
                  <w:noWrap w:val="0"/>
                  <w:vAlign w:val="center"/>
                </w:tcPr>
                <w:p w14:paraId="12E4FB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c>
                <w:tcPr>
                  <w:tcW w:w="1696" w:type="dxa"/>
                  <w:tcBorders>
                    <w:tl2br w:val="nil"/>
                    <w:tr2bl w:val="nil"/>
                  </w:tcBorders>
                  <w:noWrap w:val="0"/>
                  <w:vAlign w:val="center"/>
                </w:tcPr>
                <w:p w14:paraId="242663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0EDD1F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c>
                <w:tcPr>
                  <w:tcW w:w="3075" w:type="dxa"/>
                  <w:tcBorders>
                    <w:tl2br w:val="nil"/>
                    <w:tr2bl w:val="nil"/>
                  </w:tcBorders>
                  <w:noWrap w:val="0"/>
                  <w:vAlign w:val="center"/>
                </w:tcPr>
                <w:p w14:paraId="6FA6D9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3B16DFA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577" w:type="dxa"/>
                  <w:tcBorders>
                    <w:tl2br w:val="nil"/>
                    <w:tr2bl w:val="nil"/>
                  </w:tcBorders>
                  <w:noWrap w:val="0"/>
                  <w:vAlign w:val="center"/>
                </w:tcPr>
                <w:p w14:paraId="6710C2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3</w:t>
                  </w:r>
                </w:p>
              </w:tc>
              <w:tc>
                <w:tcPr>
                  <w:tcW w:w="1709" w:type="dxa"/>
                  <w:tcBorders>
                    <w:tl2br w:val="nil"/>
                    <w:tr2bl w:val="nil"/>
                  </w:tcBorders>
                  <w:noWrap w:val="0"/>
                  <w:vAlign w:val="center"/>
                </w:tcPr>
                <w:p w14:paraId="3ECAA0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bidi="ar-SA"/>
                      <w14:textFill>
                        <w14:solidFill>
                          <w14:schemeClr w14:val="tx1"/>
                        </w14:solidFill>
                      </w14:textFill>
                    </w:rPr>
                  </w:pPr>
                </w:p>
              </w:tc>
              <w:tc>
                <w:tcPr>
                  <w:tcW w:w="1696" w:type="dxa"/>
                  <w:tcBorders>
                    <w:tl2br w:val="nil"/>
                    <w:tr2bl w:val="nil"/>
                  </w:tcBorders>
                  <w:noWrap w:val="0"/>
                  <w:vAlign w:val="center"/>
                </w:tcPr>
                <w:p w14:paraId="259DD7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888" w:type="dxa"/>
                  <w:tcBorders>
                    <w:tl2br w:val="nil"/>
                    <w:tr2bl w:val="nil"/>
                  </w:tcBorders>
                  <w:noWrap w:val="0"/>
                  <w:vAlign w:val="center"/>
                </w:tcPr>
                <w:p w14:paraId="65202B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bidi="ar-SA"/>
                      <w14:textFill>
                        <w14:solidFill>
                          <w14:schemeClr w14:val="tx1"/>
                        </w14:solidFill>
                      </w14:textFill>
                    </w:rPr>
                  </w:pPr>
                </w:p>
              </w:tc>
              <w:tc>
                <w:tcPr>
                  <w:tcW w:w="3075" w:type="dxa"/>
                  <w:tcBorders>
                    <w:tl2br w:val="nil"/>
                    <w:tr2bl w:val="nil"/>
                  </w:tcBorders>
                  <w:noWrap w:val="0"/>
                  <w:vAlign w:val="center"/>
                </w:tcPr>
                <w:p w14:paraId="0016D5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000000" w:themeColor="text1"/>
                      <w:sz w:val="21"/>
                      <w:szCs w:val="21"/>
                      <w:highlight w:val="none"/>
                      <w:lang w:val="en-US" w:eastAsia="zh-CN"/>
                      <w14:textFill>
                        <w14:solidFill>
                          <w14:schemeClr w14:val="tx1"/>
                        </w14:solidFill>
                      </w14:textFill>
                    </w:rPr>
                  </w:pPr>
                </w:p>
              </w:tc>
            </w:tr>
          </w:tbl>
          <w:p w14:paraId="27BDC879">
            <w:pPr>
              <w:keepNext w:val="0"/>
              <w:keepLines w:val="0"/>
              <w:pageBreakBefore w:val="0"/>
              <w:widowControl w:val="0"/>
              <w:kinsoku/>
              <w:wordWrap/>
              <w:overflowPunct/>
              <w:topLinePunct w:val="0"/>
              <w:autoSpaceDE/>
              <w:autoSpaceDN/>
              <w:bidi w:val="0"/>
              <w:adjustRightInd w:val="0"/>
              <w:snapToGrid w:val="0"/>
              <w:spacing w:line="360" w:lineRule="auto"/>
              <w:ind w:leftChars="0" w:firstLine="482" w:firstLineChars="200"/>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6、主要原辅材料及能源消耗情况</w:t>
            </w:r>
          </w:p>
          <w:p w14:paraId="68A66253">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项目主要原辅材料及能源消耗详见表2-</w:t>
            </w:r>
            <w:r>
              <w:rPr>
                <w:rFonts w:hint="eastAsia" w:cs="Times New Roman"/>
                <w:b w:val="0"/>
                <w:bCs w:val="0"/>
                <w:color w:val="000000" w:themeColor="text1"/>
                <w:sz w:val="24"/>
                <w:szCs w:val="24"/>
                <w:highlight w:val="none"/>
                <w:lang w:val="en-US" w:eastAsia="zh-CN"/>
                <w14:textFill>
                  <w14:solidFill>
                    <w14:schemeClr w14:val="tx1"/>
                  </w14:solidFill>
                </w14:textFill>
              </w:rPr>
              <w:t>4</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p>
          <w:p w14:paraId="013846AE">
            <w:pPr>
              <w:adjustRightInd w:val="0"/>
              <w:snapToGrid w:val="0"/>
              <w:jc w:val="cente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表2-</w:t>
            </w:r>
            <w:r>
              <w:rPr>
                <w:rFonts w:hint="eastAsia" w:cs="Times New Roman"/>
                <w:b/>
                <w:color w:val="000000" w:themeColor="text1"/>
                <w:kern w:val="2"/>
                <w:sz w:val="21"/>
                <w:szCs w:val="21"/>
                <w:highlight w:val="none"/>
                <w:lang w:val="en-US" w:eastAsia="zh-CN"/>
                <w14:textFill>
                  <w14:solidFill>
                    <w14:schemeClr w14:val="tx1"/>
                  </w14:solidFill>
                </w14:textFill>
              </w:rPr>
              <w:t>4</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项目主要原辅材料及能源消耗一览表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113"/>
              <w:gridCol w:w="1639"/>
              <w:gridCol w:w="1277"/>
              <w:gridCol w:w="3916"/>
            </w:tblGrid>
            <w:tr w14:paraId="4D3B7DB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113" w:type="dxa"/>
                  <w:tcBorders>
                    <w:tl2br w:val="nil"/>
                    <w:tr2bl w:val="nil"/>
                  </w:tcBorders>
                  <w:noWrap w:val="0"/>
                  <w:vAlign w:val="center"/>
                </w:tcPr>
                <w:p w14:paraId="027814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类别</w:t>
                  </w:r>
                </w:p>
              </w:tc>
              <w:tc>
                <w:tcPr>
                  <w:tcW w:w="1639" w:type="dxa"/>
                  <w:tcBorders>
                    <w:tl2br w:val="nil"/>
                    <w:tr2bl w:val="nil"/>
                  </w:tcBorders>
                  <w:noWrap w:val="0"/>
                  <w:vAlign w:val="center"/>
                </w:tcPr>
                <w:p w14:paraId="6643F6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名称</w:t>
                  </w:r>
                </w:p>
              </w:tc>
              <w:tc>
                <w:tcPr>
                  <w:tcW w:w="1277" w:type="dxa"/>
                  <w:tcBorders>
                    <w:tl2br w:val="nil"/>
                    <w:tr2bl w:val="nil"/>
                  </w:tcBorders>
                  <w:noWrap w:val="0"/>
                  <w:vAlign w:val="center"/>
                </w:tcPr>
                <w:p w14:paraId="4A1699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本项目用量</w:t>
                  </w:r>
                </w:p>
              </w:tc>
              <w:tc>
                <w:tcPr>
                  <w:tcW w:w="3916" w:type="dxa"/>
                  <w:tcBorders>
                    <w:tl2br w:val="nil"/>
                    <w:tr2bl w:val="nil"/>
                  </w:tcBorders>
                  <w:noWrap w:val="0"/>
                  <w:vAlign w:val="center"/>
                </w:tcPr>
                <w:p w14:paraId="7CFE3F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存储位置及方式</w:t>
                  </w:r>
                </w:p>
              </w:tc>
            </w:tr>
            <w:tr w14:paraId="4014981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113" w:type="dxa"/>
                  <w:vMerge w:val="restart"/>
                  <w:tcBorders>
                    <w:tl2br w:val="nil"/>
                    <w:tr2bl w:val="nil"/>
                  </w:tcBorders>
                  <w:noWrap w:val="0"/>
                  <w:vAlign w:val="center"/>
                </w:tcPr>
                <w:p w14:paraId="473671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原料</w:t>
                  </w:r>
                </w:p>
              </w:tc>
              <w:tc>
                <w:tcPr>
                  <w:tcW w:w="1639" w:type="dxa"/>
                  <w:tcBorders>
                    <w:tl2br w:val="nil"/>
                    <w:tr2bl w:val="nil"/>
                  </w:tcBorders>
                  <w:noWrap w:val="0"/>
                  <w:vAlign w:val="center"/>
                </w:tcPr>
                <w:p w14:paraId="68F4DE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秸秆</w:t>
                  </w:r>
                </w:p>
              </w:tc>
              <w:tc>
                <w:tcPr>
                  <w:tcW w:w="1277" w:type="dxa"/>
                  <w:tcBorders>
                    <w:tl2br w:val="nil"/>
                    <w:tr2bl w:val="nil"/>
                  </w:tcBorders>
                  <w:noWrap w:val="0"/>
                  <w:vAlign w:val="center"/>
                </w:tcPr>
                <w:p w14:paraId="60F025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19207.104</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t/a</w:t>
                  </w:r>
                </w:p>
              </w:tc>
              <w:tc>
                <w:tcPr>
                  <w:tcW w:w="3916" w:type="dxa"/>
                  <w:tcBorders>
                    <w:tl2br w:val="nil"/>
                    <w:tr2bl w:val="nil"/>
                  </w:tcBorders>
                  <w:noWrap w:val="0"/>
                  <w:vAlign w:val="center"/>
                </w:tcPr>
                <w:p w14:paraId="61A9B2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农林</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秸秆</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废弃物</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外购，</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即买即破碎，不在厂区内暂存；</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来源于呼图壁县内各村镇，平均运距1~70km</w:t>
                  </w:r>
                </w:p>
              </w:tc>
            </w:tr>
            <w:tr w14:paraId="1208F00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113" w:type="dxa"/>
                  <w:vMerge w:val="continue"/>
                  <w:tcBorders>
                    <w:tl2br w:val="nil"/>
                    <w:tr2bl w:val="nil"/>
                  </w:tcBorders>
                  <w:noWrap w:val="0"/>
                  <w:vAlign w:val="center"/>
                </w:tcPr>
                <w:p w14:paraId="54124F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639" w:type="dxa"/>
                  <w:tcBorders>
                    <w:tl2br w:val="nil"/>
                    <w:tr2bl w:val="nil"/>
                  </w:tcBorders>
                  <w:noWrap w:val="0"/>
                  <w:vAlign w:val="center"/>
                </w:tcPr>
                <w:p w14:paraId="3468D5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14:textFill>
                        <w14:solidFill>
                          <w14:schemeClr w14:val="tx1"/>
                        </w14:solidFill>
                      </w14:textFill>
                    </w:rPr>
                    <w:t>矿源腐殖酸粉</w:t>
                  </w:r>
                </w:p>
              </w:tc>
              <w:tc>
                <w:tcPr>
                  <w:tcW w:w="1277" w:type="dxa"/>
                  <w:tcBorders>
                    <w:tl2br w:val="nil"/>
                    <w:tr2bl w:val="nil"/>
                  </w:tcBorders>
                  <w:noWrap w:val="0"/>
                  <w:vAlign w:val="center"/>
                </w:tcPr>
                <w:p w14:paraId="5057FA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20315.256</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t/a</w:t>
                  </w:r>
                </w:p>
              </w:tc>
              <w:tc>
                <w:tcPr>
                  <w:tcW w:w="3916" w:type="dxa"/>
                  <w:tcBorders>
                    <w:tl2br w:val="nil"/>
                    <w:tr2bl w:val="nil"/>
                  </w:tcBorders>
                  <w:noWrap w:val="0"/>
                  <w:vAlign w:val="center"/>
                </w:tcPr>
                <w:p w14:paraId="4C39A5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矿源腐殖酸</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（已粉碎，不进入本项目粉碎生产线，直接进入混装及造粒生产线）；堆存位置及方式：全封闭库房，袋装堆存；最大堆存量：67.7t；堆存周期：1天；来源于乌鲁木齐市米东区，运距100km</w:t>
                  </w:r>
                </w:p>
              </w:tc>
            </w:tr>
            <w:tr w14:paraId="46B584F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113" w:type="dxa"/>
                  <w:vMerge w:val="continue"/>
                  <w:tcBorders>
                    <w:tl2br w:val="nil"/>
                    <w:tr2bl w:val="nil"/>
                  </w:tcBorders>
                  <w:noWrap w:val="0"/>
                  <w:vAlign w:val="center"/>
                </w:tcPr>
                <w:p w14:paraId="2BD35F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639" w:type="dxa"/>
                  <w:tcBorders>
                    <w:tl2br w:val="nil"/>
                    <w:tr2bl w:val="nil"/>
                  </w:tcBorders>
                  <w:noWrap w:val="0"/>
                  <w:vAlign w:val="center"/>
                </w:tcPr>
                <w:p w14:paraId="5F2234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复合生物酶粉剂</w:t>
                  </w:r>
                </w:p>
              </w:tc>
              <w:tc>
                <w:tcPr>
                  <w:tcW w:w="1277" w:type="dxa"/>
                  <w:tcBorders>
                    <w:tl2br w:val="nil"/>
                    <w:tr2bl w:val="nil"/>
                  </w:tcBorders>
                  <w:noWrap w:val="0"/>
                  <w:vAlign w:val="center"/>
                </w:tcPr>
                <w:p w14:paraId="68C837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2060.968</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t/a</w:t>
                  </w:r>
                </w:p>
              </w:tc>
              <w:tc>
                <w:tcPr>
                  <w:tcW w:w="3916" w:type="dxa"/>
                  <w:tcBorders>
                    <w:tl2br w:val="nil"/>
                    <w:tr2bl w:val="nil"/>
                  </w:tcBorders>
                  <w:noWrap w:val="0"/>
                  <w:vAlign w:val="center"/>
                </w:tcPr>
                <w:p w14:paraId="3CA959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袋装</w:t>
                  </w:r>
                  <w:r>
                    <w:rPr>
                      <w:rFonts w:hint="default" w:ascii="Times New Roman" w:hAnsi="Times New Roman" w:cs="Times New Roman"/>
                      <w:snapToGrid/>
                      <w:color w:val="000000" w:themeColor="text1"/>
                      <w:kern w:val="2"/>
                      <w:sz w:val="21"/>
                      <w:szCs w:val="21"/>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25kg/袋</w:t>
                  </w:r>
                  <w:r>
                    <w:rPr>
                      <w:rFonts w:hint="default" w:ascii="Times New Roman" w:hAnsi="Times New Roman" w:cs="Times New Roman"/>
                      <w:snapToGrid/>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外购，</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厂区</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全封闭</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库房</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贮存，最大储存量</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2.5</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来源于乌鲁木齐市，运距100km</w:t>
                  </w:r>
                </w:p>
              </w:tc>
            </w:tr>
            <w:tr w14:paraId="56EAF3C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113" w:type="dxa"/>
                  <w:vMerge w:val="continue"/>
                  <w:tcBorders>
                    <w:tl2br w:val="nil"/>
                    <w:tr2bl w:val="nil"/>
                  </w:tcBorders>
                  <w:noWrap w:val="0"/>
                  <w:vAlign w:val="center"/>
                </w:tcPr>
                <w:p w14:paraId="21E750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639" w:type="dxa"/>
                  <w:tcBorders>
                    <w:tl2br w:val="nil"/>
                    <w:tr2bl w:val="nil"/>
                  </w:tcBorders>
                  <w:noWrap w:val="0"/>
                  <w:vAlign w:val="center"/>
                </w:tcPr>
                <w:p w14:paraId="18A586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过磷酸钙</w:t>
                  </w:r>
                </w:p>
              </w:tc>
              <w:tc>
                <w:tcPr>
                  <w:tcW w:w="1277" w:type="dxa"/>
                  <w:tcBorders>
                    <w:tl2br w:val="nil"/>
                    <w:tr2bl w:val="nil"/>
                  </w:tcBorders>
                  <w:noWrap w:val="0"/>
                  <w:vAlign w:val="center"/>
                </w:tcPr>
                <w:p w14:paraId="002085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588.848</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t/a</w:t>
                  </w:r>
                </w:p>
              </w:tc>
              <w:tc>
                <w:tcPr>
                  <w:tcW w:w="3916" w:type="dxa"/>
                  <w:tcBorders>
                    <w:tl2br w:val="nil"/>
                    <w:tr2bl w:val="nil"/>
                  </w:tcBorders>
                  <w:noWrap w:val="0"/>
                  <w:vAlign w:val="center"/>
                </w:tcPr>
                <w:p w14:paraId="1D38EF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袋装</w:t>
                  </w:r>
                  <w:r>
                    <w:rPr>
                      <w:rFonts w:hint="default" w:ascii="Times New Roman" w:hAnsi="Times New Roman" w:cs="Times New Roman"/>
                      <w:snapToGrid/>
                      <w:color w:val="000000" w:themeColor="text1"/>
                      <w:kern w:val="2"/>
                      <w:sz w:val="21"/>
                      <w:szCs w:val="21"/>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2</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0</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kg/袋</w:t>
                  </w:r>
                  <w:r>
                    <w:rPr>
                      <w:rFonts w:hint="default" w:ascii="Times New Roman" w:hAnsi="Times New Roman" w:cs="Times New Roman"/>
                      <w:snapToGrid/>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外购，</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厂区</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全封闭</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库房</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贮存，最大储存量</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来源于乌鲁木齐市，运距100km</w:t>
                  </w:r>
                </w:p>
              </w:tc>
            </w:tr>
            <w:tr w14:paraId="7AAC7B4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113" w:type="dxa"/>
                  <w:vMerge w:val="continue"/>
                  <w:tcBorders>
                    <w:tl2br w:val="nil"/>
                    <w:tr2bl w:val="nil"/>
                  </w:tcBorders>
                  <w:noWrap w:val="0"/>
                  <w:vAlign w:val="center"/>
                </w:tcPr>
                <w:p w14:paraId="1C7793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639" w:type="dxa"/>
                  <w:tcBorders>
                    <w:tl2br w:val="nil"/>
                    <w:tr2bl w:val="nil"/>
                  </w:tcBorders>
                  <w:noWrap w:val="0"/>
                  <w:vAlign w:val="center"/>
                </w:tcPr>
                <w:p w14:paraId="7F2D26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硫酸钾</w:t>
                  </w:r>
                </w:p>
              </w:tc>
              <w:tc>
                <w:tcPr>
                  <w:tcW w:w="1277" w:type="dxa"/>
                  <w:tcBorders>
                    <w:tl2br w:val="nil"/>
                    <w:tr2bl w:val="nil"/>
                  </w:tcBorders>
                  <w:noWrap w:val="0"/>
                  <w:vAlign w:val="center"/>
                </w:tcPr>
                <w:p w14:paraId="5323C4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588.848</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t/a</w:t>
                  </w:r>
                </w:p>
              </w:tc>
              <w:tc>
                <w:tcPr>
                  <w:tcW w:w="3916" w:type="dxa"/>
                  <w:tcBorders>
                    <w:tl2br w:val="nil"/>
                    <w:tr2bl w:val="nil"/>
                  </w:tcBorders>
                  <w:noWrap w:val="0"/>
                  <w:vAlign w:val="center"/>
                </w:tcPr>
                <w:p w14:paraId="3BD64B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袋装</w:t>
                  </w:r>
                  <w:r>
                    <w:rPr>
                      <w:rFonts w:hint="default" w:ascii="Times New Roman" w:hAnsi="Times New Roman" w:cs="Times New Roman"/>
                      <w:snapToGrid/>
                      <w:color w:val="000000" w:themeColor="text1"/>
                      <w:kern w:val="2"/>
                      <w:sz w:val="21"/>
                      <w:szCs w:val="21"/>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2</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0</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kg/袋</w:t>
                  </w:r>
                  <w:r>
                    <w:rPr>
                      <w:rFonts w:hint="default" w:ascii="Times New Roman" w:hAnsi="Times New Roman" w:cs="Times New Roman"/>
                      <w:snapToGrid/>
                      <w:color w:val="000000" w:themeColor="text1"/>
                      <w:kern w:val="2"/>
                      <w:sz w:val="21"/>
                      <w:szCs w:val="21"/>
                      <w:highlight w:val="none"/>
                      <w:lang w:eastAsia="zh-CN"/>
                      <w14:textFill>
                        <w14:solidFill>
                          <w14:schemeClr w14:val="tx1"/>
                        </w14:solidFill>
                      </w14:textFill>
                    </w:rPr>
                    <w: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外购，</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厂区</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全封闭</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库房</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贮存，最大储存量</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来源于乌鲁木齐市，运距100km</w:t>
                  </w:r>
                </w:p>
              </w:tc>
            </w:tr>
            <w:tr w14:paraId="7EF4186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113" w:type="dxa"/>
                  <w:vMerge w:val="continue"/>
                  <w:tcBorders>
                    <w:tl2br w:val="nil"/>
                    <w:tr2bl w:val="nil"/>
                  </w:tcBorders>
                  <w:noWrap w:val="0"/>
                  <w:vAlign w:val="center"/>
                </w:tcPr>
                <w:p w14:paraId="3B34D2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p>
              </w:tc>
              <w:tc>
                <w:tcPr>
                  <w:tcW w:w="1639" w:type="dxa"/>
                  <w:tcBorders>
                    <w:tl2br w:val="nil"/>
                    <w:tr2bl w:val="nil"/>
                  </w:tcBorders>
                  <w:noWrap w:val="0"/>
                  <w:vAlign w:val="center"/>
                </w:tcPr>
                <w:p w14:paraId="0902DF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氢氧化钙</w:t>
                  </w:r>
                </w:p>
              </w:tc>
              <w:tc>
                <w:tcPr>
                  <w:tcW w:w="1277" w:type="dxa"/>
                  <w:tcBorders>
                    <w:tl2br w:val="nil"/>
                    <w:tr2bl w:val="nil"/>
                  </w:tcBorders>
                  <w:noWrap w:val="0"/>
                  <w:vAlign w:val="center"/>
                </w:tcPr>
                <w:p w14:paraId="2AE264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default" w:cs="Times New Roman"/>
                      <w:snapToGrid/>
                      <w:color w:val="000000" w:themeColor="text1"/>
                      <w:kern w:val="2"/>
                      <w:sz w:val="21"/>
                      <w:szCs w:val="21"/>
                      <w:highlight w:val="none"/>
                      <w:lang w:val="en-US" w:eastAsia="zh-CN"/>
                      <w14:textFill>
                        <w14:solidFill>
                          <w14:schemeClr w14:val="tx1"/>
                        </w14:solidFill>
                      </w14:textFill>
                    </w:rPr>
                    <w:t>9918.88t/a</w:t>
                  </w:r>
                </w:p>
              </w:tc>
              <w:tc>
                <w:tcPr>
                  <w:tcW w:w="3916" w:type="dxa"/>
                  <w:tcBorders>
                    <w:tl2br w:val="nil"/>
                    <w:tr2bl w:val="nil"/>
                  </w:tcBorders>
                  <w:noWrap w:val="0"/>
                  <w:vAlign w:val="center"/>
                </w:tcPr>
                <w:p w14:paraId="7D1AA0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颗粒状</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，25kg/袋；</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外购，</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厂区</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全封闭库房</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贮存，</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后期全部贮存于料仓内</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最大储存量</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5</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；用于</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吸热进行热能储存；绝干量</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1"/>
                      <w:szCs w:val="21"/>
                      <w:highlight w:val="none"/>
                      <w:lang w:val="en-US" w:eastAsia="zh-CN"/>
                      <w14:textFill>
                        <w14:solidFill>
                          <w14:schemeClr w14:val="tx1"/>
                        </w14:solidFill>
                      </w14:textFill>
                    </w:rPr>
                    <w:t>来源于乌鲁木齐市，运距100km</w:t>
                  </w:r>
                </w:p>
              </w:tc>
            </w:tr>
            <w:tr w14:paraId="56B2274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113" w:type="dxa"/>
                  <w:vMerge w:val="restart"/>
                  <w:tcBorders>
                    <w:tl2br w:val="nil"/>
                    <w:tr2bl w:val="nil"/>
                  </w:tcBorders>
                  <w:noWrap w:val="0"/>
                  <w:vAlign w:val="center"/>
                </w:tcPr>
                <w:p w14:paraId="204823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能源</w:t>
                  </w:r>
                </w:p>
              </w:tc>
              <w:tc>
                <w:tcPr>
                  <w:tcW w:w="1639" w:type="dxa"/>
                  <w:tcBorders>
                    <w:tl2br w:val="nil"/>
                    <w:tr2bl w:val="nil"/>
                  </w:tcBorders>
                  <w:noWrap w:val="0"/>
                  <w:vAlign w:val="center"/>
                </w:tcPr>
                <w:p w14:paraId="0B5EB5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default" w:cs="Times New Roman"/>
                      <w:snapToGrid/>
                      <w:color w:val="000000" w:themeColor="text1"/>
                      <w:kern w:val="2"/>
                      <w:sz w:val="21"/>
                      <w:szCs w:val="21"/>
                      <w:highlight w:val="none"/>
                      <w:lang w:val="en-US" w:eastAsia="zh-CN"/>
                      <w14:textFill>
                        <w14:solidFill>
                          <w14:schemeClr w14:val="tx1"/>
                        </w14:solidFill>
                      </w14:textFill>
                    </w:rPr>
                    <w:t>水</w:t>
                  </w:r>
                </w:p>
              </w:tc>
              <w:tc>
                <w:tcPr>
                  <w:tcW w:w="1277" w:type="dxa"/>
                  <w:tcBorders>
                    <w:tl2br w:val="nil"/>
                    <w:tr2bl w:val="nil"/>
                  </w:tcBorders>
                  <w:noWrap w:val="0"/>
                  <w:vAlign w:val="center"/>
                </w:tcPr>
                <w:p w14:paraId="6502F2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1979</w:t>
                  </w:r>
                  <w:r>
                    <w:rPr>
                      <w:rFonts w:hint="default" w:cs="Times New Roman"/>
                      <w:snapToGrid/>
                      <w:color w:val="000000" w:themeColor="text1"/>
                      <w:kern w:val="2"/>
                      <w:sz w:val="21"/>
                      <w:szCs w:val="21"/>
                      <w:highlight w:val="none"/>
                      <w:lang w:val="en-US" w:eastAsia="zh-CN"/>
                      <w14:textFill>
                        <w14:solidFill>
                          <w14:schemeClr w14:val="tx1"/>
                        </w14:solidFill>
                      </w14:textFill>
                    </w:rPr>
                    <w:t>t/a</w:t>
                  </w:r>
                </w:p>
              </w:tc>
              <w:tc>
                <w:tcPr>
                  <w:tcW w:w="3916" w:type="dxa"/>
                  <w:tcBorders>
                    <w:tl2br w:val="nil"/>
                    <w:tr2bl w:val="nil"/>
                  </w:tcBorders>
                  <w:noWrap w:val="0"/>
                  <w:vAlign w:val="center"/>
                </w:tcPr>
                <w:p w14:paraId="590957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村镇自来水供水管网</w:t>
                  </w:r>
                </w:p>
              </w:tc>
            </w:tr>
            <w:tr w14:paraId="0FF839C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113" w:type="dxa"/>
                  <w:vMerge w:val="continue"/>
                  <w:tcBorders>
                    <w:tl2br w:val="nil"/>
                    <w:tr2bl w:val="nil"/>
                  </w:tcBorders>
                  <w:noWrap w:val="0"/>
                  <w:vAlign w:val="center"/>
                </w:tcPr>
                <w:p w14:paraId="14A8A5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c>
                <w:tcPr>
                  <w:tcW w:w="1639" w:type="dxa"/>
                  <w:tcBorders>
                    <w:tl2br w:val="nil"/>
                    <w:tr2bl w:val="nil"/>
                  </w:tcBorders>
                  <w:noWrap w:val="0"/>
                  <w:vAlign w:val="center"/>
                </w:tcPr>
                <w:p w14:paraId="3D8D1B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电</w:t>
                  </w:r>
                </w:p>
              </w:tc>
              <w:tc>
                <w:tcPr>
                  <w:tcW w:w="1277" w:type="dxa"/>
                  <w:tcBorders>
                    <w:tl2br w:val="nil"/>
                    <w:tr2bl w:val="nil"/>
                  </w:tcBorders>
                  <w:noWrap w:val="0"/>
                  <w:vAlign w:val="center"/>
                </w:tcPr>
                <w:p w14:paraId="2CFD0B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万k</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·h</w:t>
                  </w:r>
                </w:p>
              </w:tc>
              <w:tc>
                <w:tcPr>
                  <w:tcW w:w="3916" w:type="dxa"/>
                  <w:tcBorders>
                    <w:tl2br w:val="nil"/>
                    <w:tr2bl w:val="nil"/>
                  </w:tcBorders>
                  <w:noWrap w:val="0"/>
                  <w:vAlign w:val="center"/>
                </w:tcPr>
                <w:p w14:paraId="72988E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村镇</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市政</w:t>
                  </w:r>
                  <w:r>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供电管网</w:t>
                  </w:r>
                </w:p>
              </w:tc>
            </w:tr>
          </w:tbl>
          <w:p w14:paraId="7DD46E32">
            <w:pPr>
              <w:autoSpaceDE w:val="0"/>
              <w:autoSpaceDN w:val="0"/>
              <w:adjustRightInd w:val="0"/>
              <w:snapToGrid w:val="0"/>
              <w:spacing w:line="360" w:lineRule="auto"/>
              <w:ind w:firstLine="482" w:firstLineChars="200"/>
              <w:jc w:val="both"/>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7、物料平衡分析</w:t>
            </w:r>
          </w:p>
          <w:p w14:paraId="3FD7087F">
            <w:pPr>
              <w:autoSpaceDE w:val="0"/>
              <w:autoSpaceDN w:val="0"/>
              <w:adjustRightInd w:val="0"/>
              <w:snapToGrid w:val="0"/>
              <w:spacing w:line="360" w:lineRule="auto"/>
              <w:ind w:firstLine="482" w:firstLineChars="200"/>
              <w:jc w:val="both"/>
              <w:rPr>
                <w:rFonts w:hint="eastAsia"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7.1物料成分分析</w:t>
            </w:r>
          </w:p>
          <w:p w14:paraId="53D2A22B">
            <w:pPr>
              <w:autoSpaceDE w:val="0"/>
              <w:autoSpaceDN w:val="0"/>
              <w:adjustRightInd w:val="0"/>
              <w:snapToGrid w:val="0"/>
              <w:spacing w:line="360" w:lineRule="auto"/>
              <w:ind w:firstLine="480" w:firstLineChars="200"/>
              <w:jc w:val="both"/>
              <w:rPr>
                <w:rFonts w:hint="default"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（1）原辅材料成分分析</w:t>
            </w:r>
          </w:p>
          <w:p w14:paraId="52D9BD03">
            <w:pPr>
              <w:autoSpaceDE w:val="0"/>
              <w:autoSpaceDN w:val="0"/>
              <w:adjustRightInd w:val="0"/>
              <w:snapToGrid w:val="0"/>
              <w:spacing w:line="360" w:lineRule="auto"/>
              <w:ind w:firstLine="480" w:firstLineChars="200"/>
              <w:jc w:val="both"/>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①</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废弃的果木树枝</w:t>
            </w:r>
            <w:r>
              <w:rPr>
                <w:rFonts w:hint="eastAsia" w:cs="Times New Roman"/>
                <w:b w:val="0"/>
                <w:bCs w:val="0"/>
                <w:color w:val="000000" w:themeColor="text1"/>
                <w:sz w:val="24"/>
                <w:szCs w:val="24"/>
                <w:highlight w:val="none"/>
                <w:lang w:val="en-US" w:eastAsia="zh-CN"/>
                <w14:textFill>
                  <w14:solidFill>
                    <w14:schemeClr w14:val="tx1"/>
                  </w14:solidFill>
                </w14:textFill>
              </w:rPr>
              <w:t>及农业秸秆成分分析</w:t>
            </w:r>
          </w:p>
          <w:p w14:paraId="7C39353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本项目炭化</w:t>
            </w:r>
            <w:r>
              <w:rPr>
                <w:rFonts w:hint="eastAsia" w:cs="Times New Roman"/>
                <w:color w:val="000000" w:themeColor="text1"/>
                <w:sz w:val="24"/>
                <w:szCs w:val="24"/>
                <w:highlight w:val="none"/>
                <w:lang w:val="en-US" w:eastAsia="zh-CN"/>
                <w14:textFill>
                  <w14:solidFill>
                    <w14:schemeClr w14:val="tx1"/>
                  </w14:solidFill>
                </w14:textFill>
              </w:rPr>
              <w:t>采用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废弃的果木树枝</w:t>
            </w:r>
            <w:r>
              <w:rPr>
                <w:rFonts w:hint="eastAsia" w:cs="Times New Roman"/>
                <w:color w:val="000000" w:themeColor="text1"/>
                <w:sz w:val="24"/>
                <w:szCs w:val="24"/>
                <w:highlight w:val="none"/>
                <w:lang w:val="en-US" w:eastAsia="zh-CN"/>
                <w14:textFill>
                  <w14:solidFill>
                    <w14:schemeClr w14:val="tx1"/>
                  </w14:solidFill>
                </w14:textFill>
              </w:rPr>
              <w:t>及农业秸秆，</w:t>
            </w:r>
            <w:r>
              <w:rPr>
                <w:rFonts w:hint="eastAsia" w:cs="Times New Roman"/>
                <w:b w:val="0"/>
                <w:bCs w:val="0"/>
                <w:color w:val="000000" w:themeColor="text1"/>
                <w:sz w:val="24"/>
                <w:szCs w:val="24"/>
                <w:highlight w:val="none"/>
                <w:lang w:val="en-US" w:eastAsia="zh-CN"/>
                <w14:textFill>
                  <w14:solidFill>
                    <w14:schemeClr w14:val="tx1"/>
                  </w14:solidFill>
                </w14:textFill>
              </w:rPr>
              <w:t>成分见表2-5。</w:t>
            </w:r>
          </w:p>
          <w:p w14:paraId="531BB91A">
            <w:pPr>
              <w:pStyle w:val="64"/>
              <w:spacing w:before="37" w:line="212" w:lineRule="auto"/>
              <w:ind w:left="347"/>
              <w:jc w:val="cente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表2-</w:t>
            </w:r>
            <w:r>
              <w:rPr>
                <w:rFonts w:hint="eastAsia" w:ascii="Times New Roman" w:hAnsi="Times New Roman" w:cs="Times New Roman"/>
                <w:b/>
                <w:color w:val="000000" w:themeColor="text1"/>
                <w:kern w:val="2"/>
                <w:sz w:val="21"/>
                <w:szCs w:val="21"/>
                <w:highlight w:val="none"/>
                <w:lang w:val="en-US" w:eastAsia="zh-CN" w:bidi="ar-SA"/>
                <w14:textFill>
                  <w14:solidFill>
                    <w14:schemeClr w14:val="tx1"/>
                  </w14:solidFill>
                </w14:textFill>
              </w:rPr>
              <w:t>5</w:t>
            </w: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废弃果木枝条与农作物秸秆混合原料成分分析一览表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706"/>
              <w:gridCol w:w="1564"/>
              <w:gridCol w:w="1135"/>
              <w:gridCol w:w="1135"/>
              <w:gridCol w:w="1135"/>
              <w:gridCol w:w="1135"/>
              <w:gridCol w:w="1135"/>
            </w:tblGrid>
            <w:tr w14:paraId="613B492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53BF9F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序号</w:t>
                  </w:r>
                </w:p>
              </w:tc>
              <w:tc>
                <w:tcPr>
                  <w:tcW w:w="1564" w:type="dxa"/>
                  <w:tcBorders>
                    <w:tl2br w:val="nil"/>
                    <w:tr2bl w:val="nil"/>
                  </w:tcBorders>
                  <w:noWrap w:val="0"/>
                  <w:vAlign w:val="center"/>
                </w:tcPr>
                <w:p w14:paraId="3A97EF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检测项目</w:t>
                  </w:r>
                </w:p>
              </w:tc>
              <w:tc>
                <w:tcPr>
                  <w:tcW w:w="1135" w:type="dxa"/>
                  <w:tcBorders>
                    <w:tl2br w:val="nil"/>
                    <w:tr2bl w:val="nil"/>
                  </w:tcBorders>
                  <w:noWrap w:val="0"/>
                  <w:vAlign w:val="center"/>
                </w:tcPr>
                <w:p w14:paraId="112B29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单位</w:t>
                  </w:r>
                </w:p>
              </w:tc>
              <w:tc>
                <w:tcPr>
                  <w:tcW w:w="1135" w:type="dxa"/>
                  <w:tcBorders>
                    <w:tl2br w:val="nil"/>
                    <w:tr2bl w:val="nil"/>
                  </w:tcBorders>
                  <w:noWrap w:val="0"/>
                  <w:vAlign w:val="center"/>
                </w:tcPr>
                <w:p w14:paraId="00F7E3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收到基</w:t>
                  </w:r>
                </w:p>
                <w:p w14:paraId="3831BB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ar</w:t>
                  </w:r>
                </w:p>
              </w:tc>
              <w:tc>
                <w:tcPr>
                  <w:tcW w:w="1135" w:type="dxa"/>
                  <w:tcBorders>
                    <w:tl2br w:val="nil"/>
                    <w:tr2bl w:val="nil"/>
                  </w:tcBorders>
                  <w:noWrap w:val="0"/>
                  <w:vAlign w:val="center"/>
                </w:tcPr>
                <w:p w14:paraId="2EE9D4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空气干燥基ad</w:t>
                  </w:r>
                </w:p>
              </w:tc>
              <w:tc>
                <w:tcPr>
                  <w:tcW w:w="1135" w:type="dxa"/>
                  <w:tcBorders>
                    <w:tl2br w:val="nil"/>
                    <w:tr2bl w:val="nil"/>
                  </w:tcBorders>
                  <w:noWrap w:val="0"/>
                  <w:vAlign w:val="center"/>
                </w:tcPr>
                <w:p w14:paraId="679A23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干燥基</w:t>
                  </w:r>
                </w:p>
                <w:p w14:paraId="304C23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d</w:t>
                  </w:r>
                </w:p>
              </w:tc>
              <w:tc>
                <w:tcPr>
                  <w:tcW w:w="1135" w:type="dxa"/>
                  <w:tcBorders>
                    <w:tl2br w:val="nil"/>
                    <w:tr2bl w:val="nil"/>
                  </w:tcBorders>
                  <w:noWrap w:val="0"/>
                  <w:vAlign w:val="center"/>
                </w:tcPr>
                <w:p w14:paraId="4C8A3A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干燥无灰基daf</w:t>
                  </w:r>
                </w:p>
              </w:tc>
            </w:tr>
            <w:tr w14:paraId="136BDAF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00D9E3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w:t>
                  </w:r>
                </w:p>
              </w:tc>
              <w:tc>
                <w:tcPr>
                  <w:tcW w:w="1564" w:type="dxa"/>
                  <w:tcBorders>
                    <w:tl2br w:val="nil"/>
                    <w:tr2bl w:val="nil"/>
                  </w:tcBorders>
                  <w:noWrap w:val="0"/>
                  <w:vAlign w:val="center"/>
                </w:tcPr>
                <w:p w14:paraId="4FFD90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全水分Mₜ</w:t>
                  </w:r>
                </w:p>
              </w:tc>
              <w:tc>
                <w:tcPr>
                  <w:tcW w:w="1135" w:type="dxa"/>
                  <w:tcBorders>
                    <w:tl2br w:val="nil"/>
                    <w:tr2bl w:val="nil"/>
                  </w:tcBorders>
                  <w:noWrap w:val="0"/>
                  <w:vAlign w:val="center"/>
                </w:tcPr>
                <w:p w14:paraId="67EB46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7568AA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7.0</w:t>
                  </w:r>
                </w:p>
              </w:tc>
              <w:tc>
                <w:tcPr>
                  <w:tcW w:w="1135" w:type="dxa"/>
                  <w:tcBorders>
                    <w:tl2br w:val="nil"/>
                    <w:tr2bl w:val="nil"/>
                  </w:tcBorders>
                  <w:noWrap w:val="0"/>
                  <w:vAlign w:val="center"/>
                </w:tcPr>
                <w:p w14:paraId="6ABB45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04E9DC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584D31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55A662E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47F98A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2</w:t>
                  </w:r>
                </w:p>
              </w:tc>
              <w:tc>
                <w:tcPr>
                  <w:tcW w:w="1564" w:type="dxa"/>
                  <w:tcBorders>
                    <w:tl2br w:val="nil"/>
                    <w:tr2bl w:val="nil"/>
                  </w:tcBorders>
                  <w:noWrap w:val="0"/>
                  <w:vAlign w:val="center"/>
                </w:tcPr>
                <w:p w14:paraId="4F4054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分析水分M</w:t>
                  </w:r>
                </w:p>
              </w:tc>
              <w:tc>
                <w:tcPr>
                  <w:tcW w:w="1135" w:type="dxa"/>
                  <w:tcBorders>
                    <w:tl2br w:val="nil"/>
                    <w:tr2bl w:val="nil"/>
                  </w:tcBorders>
                  <w:noWrap w:val="0"/>
                  <w:vAlign w:val="center"/>
                </w:tcPr>
                <w:p w14:paraId="6D1D1D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099EC3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202B14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4.93</w:t>
                  </w:r>
                </w:p>
              </w:tc>
              <w:tc>
                <w:tcPr>
                  <w:tcW w:w="1135" w:type="dxa"/>
                  <w:tcBorders>
                    <w:tl2br w:val="nil"/>
                    <w:tr2bl w:val="nil"/>
                  </w:tcBorders>
                  <w:noWrap w:val="0"/>
                  <w:vAlign w:val="center"/>
                </w:tcPr>
                <w:p w14:paraId="5E1E98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6FBD4B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654A0EA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6E165A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3</w:t>
                  </w:r>
                </w:p>
              </w:tc>
              <w:tc>
                <w:tcPr>
                  <w:tcW w:w="1564" w:type="dxa"/>
                  <w:tcBorders>
                    <w:tl2br w:val="nil"/>
                    <w:tr2bl w:val="nil"/>
                  </w:tcBorders>
                  <w:noWrap w:val="0"/>
                  <w:vAlign w:val="center"/>
                </w:tcPr>
                <w:p w14:paraId="129E2B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灰分A</w:t>
                  </w:r>
                </w:p>
              </w:tc>
              <w:tc>
                <w:tcPr>
                  <w:tcW w:w="1135" w:type="dxa"/>
                  <w:tcBorders>
                    <w:tl2br w:val="nil"/>
                    <w:tr2bl w:val="nil"/>
                  </w:tcBorders>
                  <w:noWrap w:val="0"/>
                  <w:vAlign w:val="center"/>
                </w:tcPr>
                <w:p w14:paraId="0C7880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2280DB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6.95</w:t>
                  </w:r>
                </w:p>
              </w:tc>
              <w:tc>
                <w:tcPr>
                  <w:tcW w:w="1135" w:type="dxa"/>
                  <w:tcBorders>
                    <w:tl2br w:val="nil"/>
                    <w:tr2bl w:val="nil"/>
                  </w:tcBorders>
                  <w:noWrap w:val="0"/>
                  <w:vAlign w:val="center"/>
                </w:tcPr>
                <w:p w14:paraId="12C40E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7.10</w:t>
                  </w:r>
                </w:p>
              </w:tc>
              <w:tc>
                <w:tcPr>
                  <w:tcW w:w="1135" w:type="dxa"/>
                  <w:tcBorders>
                    <w:tl2br w:val="nil"/>
                    <w:tr2bl w:val="nil"/>
                  </w:tcBorders>
                  <w:noWrap w:val="0"/>
                  <w:vAlign w:val="center"/>
                </w:tcPr>
                <w:p w14:paraId="1BABCA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7.47</w:t>
                  </w:r>
                </w:p>
              </w:tc>
              <w:tc>
                <w:tcPr>
                  <w:tcW w:w="1135" w:type="dxa"/>
                  <w:tcBorders>
                    <w:tl2br w:val="nil"/>
                    <w:tr2bl w:val="nil"/>
                  </w:tcBorders>
                  <w:noWrap w:val="0"/>
                  <w:vAlign w:val="center"/>
                </w:tcPr>
                <w:p w14:paraId="5C30F2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7D40931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0F2C95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4</w:t>
                  </w:r>
                </w:p>
              </w:tc>
              <w:tc>
                <w:tcPr>
                  <w:tcW w:w="1564" w:type="dxa"/>
                  <w:tcBorders>
                    <w:tl2br w:val="nil"/>
                    <w:tr2bl w:val="nil"/>
                  </w:tcBorders>
                  <w:noWrap w:val="0"/>
                  <w:vAlign w:val="center"/>
                </w:tcPr>
                <w:p w14:paraId="15A4E1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挥发分V</w:t>
                  </w:r>
                </w:p>
              </w:tc>
              <w:tc>
                <w:tcPr>
                  <w:tcW w:w="1135" w:type="dxa"/>
                  <w:tcBorders>
                    <w:tl2br w:val="nil"/>
                    <w:tr2bl w:val="nil"/>
                  </w:tcBorders>
                  <w:noWrap w:val="0"/>
                  <w:vAlign w:val="center"/>
                </w:tcPr>
                <w:p w14:paraId="332E8B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18172E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69.23</w:t>
                  </w:r>
                </w:p>
              </w:tc>
              <w:tc>
                <w:tcPr>
                  <w:tcW w:w="1135" w:type="dxa"/>
                  <w:tcBorders>
                    <w:tl2br w:val="nil"/>
                    <w:tr2bl w:val="nil"/>
                  </w:tcBorders>
                  <w:noWrap w:val="0"/>
                  <w:vAlign w:val="center"/>
                </w:tcPr>
                <w:p w14:paraId="642391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70.77</w:t>
                  </w:r>
                </w:p>
              </w:tc>
              <w:tc>
                <w:tcPr>
                  <w:tcW w:w="1135" w:type="dxa"/>
                  <w:tcBorders>
                    <w:tl2br w:val="nil"/>
                    <w:tr2bl w:val="nil"/>
                  </w:tcBorders>
                  <w:noWrap w:val="0"/>
                  <w:vAlign w:val="center"/>
                </w:tcPr>
                <w:p w14:paraId="09CC20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051363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80.45</w:t>
                  </w:r>
                </w:p>
              </w:tc>
            </w:tr>
            <w:tr w14:paraId="19A63A3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0BF1CC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5</w:t>
                  </w:r>
                </w:p>
              </w:tc>
              <w:tc>
                <w:tcPr>
                  <w:tcW w:w="1564" w:type="dxa"/>
                  <w:tcBorders>
                    <w:tl2br w:val="nil"/>
                    <w:tr2bl w:val="nil"/>
                  </w:tcBorders>
                  <w:noWrap w:val="0"/>
                  <w:vAlign w:val="center"/>
                </w:tcPr>
                <w:p w14:paraId="7E5367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固定碳FC</w:t>
                  </w:r>
                </w:p>
              </w:tc>
              <w:tc>
                <w:tcPr>
                  <w:tcW w:w="1135" w:type="dxa"/>
                  <w:tcBorders>
                    <w:tl2br w:val="nil"/>
                    <w:tr2bl w:val="nil"/>
                  </w:tcBorders>
                  <w:noWrap w:val="0"/>
                  <w:vAlign w:val="center"/>
                </w:tcPr>
                <w:p w14:paraId="788228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7D4FF1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5A0639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17.20</w:t>
                  </w:r>
                </w:p>
              </w:tc>
              <w:tc>
                <w:tcPr>
                  <w:tcW w:w="1135" w:type="dxa"/>
                  <w:tcBorders>
                    <w:tl2br w:val="nil"/>
                    <w:tr2bl w:val="nil"/>
                  </w:tcBorders>
                  <w:noWrap w:val="0"/>
                  <w:vAlign w:val="center"/>
                </w:tcPr>
                <w:p w14:paraId="566338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0D67BB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6979CDC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078FA7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6</w:t>
                  </w:r>
                </w:p>
              </w:tc>
              <w:tc>
                <w:tcPr>
                  <w:tcW w:w="1564" w:type="dxa"/>
                  <w:tcBorders>
                    <w:tl2br w:val="nil"/>
                    <w:tr2bl w:val="nil"/>
                  </w:tcBorders>
                  <w:noWrap w:val="0"/>
                  <w:vAlign w:val="center"/>
                </w:tcPr>
                <w:p w14:paraId="19762C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弹筒发热量Qᵦ</w:t>
                  </w:r>
                </w:p>
              </w:tc>
              <w:tc>
                <w:tcPr>
                  <w:tcW w:w="1135" w:type="dxa"/>
                  <w:tcBorders>
                    <w:tl2br w:val="nil"/>
                    <w:tr2bl w:val="nil"/>
                  </w:tcBorders>
                  <w:noWrap w:val="0"/>
                  <w:vAlign w:val="center"/>
                </w:tcPr>
                <w:p w14:paraId="5D7B5D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J/g</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137333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385139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17576</w:t>
                  </w:r>
                </w:p>
              </w:tc>
              <w:tc>
                <w:tcPr>
                  <w:tcW w:w="1135" w:type="dxa"/>
                  <w:tcBorders>
                    <w:tl2br w:val="nil"/>
                    <w:tr2bl w:val="nil"/>
                  </w:tcBorders>
                  <w:noWrap w:val="0"/>
                  <w:vAlign w:val="center"/>
                </w:tcPr>
                <w:p w14:paraId="593A1D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41C344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3BF801A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4E3749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7</w:t>
                  </w:r>
                </w:p>
              </w:tc>
              <w:tc>
                <w:tcPr>
                  <w:tcW w:w="1564" w:type="dxa"/>
                  <w:tcBorders>
                    <w:tl2br w:val="nil"/>
                    <w:tr2bl w:val="nil"/>
                  </w:tcBorders>
                  <w:noWrap w:val="0"/>
                  <w:vAlign w:val="center"/>
                </w:tcPr>
                <w:p w14:paraId="129DEF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高位发热量 Q&lt;sub&gt;gr</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v&lt;/sub&gt;</w:t>
                  </w:r>
                </w:p>
              </w:tc>
              <w:tc>
                <w:tcPr>
                  <w:tcW w:w="1135" w:type="dxa"/>
                  <w:tcBorders>
                    <w:tl2br w:val="nil"/>
                    <w:tr2bl w:val="nil"/>
                  </w:tcBorders>
                  <w:noWrap w:val="0"/>
                  <w:vAlign w:val="center"/>
                </w:tcPr>
                <w:p w14:paraId="1F01B8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MJ/kg</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4CC797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7F9303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4BC50A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18.46</w:t>
                  </w:r>
                </w:p>
              </w:tc>
              <w:tc>
                <w:tcPr>
                  <w:tcW w:w="1135" w:type="dxa"/>
                  <w:tcBorders>
                    <w:tl2br w:val="nil"/>
                    <w:tr2bl w:val="nil"/>
                  </w:tcBorders>
                  <w:noWrap w:val="0"/>
                  <w:vAlign w:val="center"/>
                </w:tcPr>
                <w:p w14:paraId="4AC42D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68572DB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59F937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8</w:t>
                  </w:r>
                </w:p>
              </w:tc>
              <w:tc>
                <w:tcPr>
                  <w:tcW w:w="1564" w:type="dxa"/>
                  <w:tcBorders>
                    <w:tl2br w:val="nil"/>
                    <w:tr2bl w:val="nil"/>
                  </w:tcBorders>
                  <w:noWrap w:val="0"/>
                  <w:vAlign w:val="center"/>
                </w:tcPr>
                <w:p w14:paraId="25AE03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高位发热量 Q&lt;sub&gt;gr</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v&lt;/sub&gt;</w:t>
                  </w:r>
                </w:p>
              </w:tc>
              <w:tc>
                <w:tcPr>
                  <w:tcW w:w="1135" w:type="dxa"/>
                  <w:tcBorders>
                    <w:tl2br w:val="nil"/>
                    <w:tr2bl w:val="nil"/>
                  </w:tcBorders>
                  <w:noWrap w:val="0"/>
                  <w:vAlign w:val="center"/>
                </w:tcPr>
                <w:p w14:paraId="6850C9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kcal/kg</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514E29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0D45E0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4D5A53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4415</w:t>
                  </w:r>
                </w:p>
              </w:tc>
              <w:tc>
                <w:tcPr>
                  <w:tcW w:w="1135" w:type="dxa"/>
                  <w:tcBorders>
                    <w:tl2br w:val="nil"/>
                    <w:tr2bl w:val="nil"/>
                  </w:tcBorders>
                  <w:noWrap w:val="0"/>
                  <w:vAlign w:val="center"/>
                </w:tcPr>
                <w:p w14:paraId="2A8C09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4B0A9D8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729BE1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9</w:t>
                  </w:r>
                </w:p>
              </w:tc>
              <w:tc>
                <w:tcPr>
                  <w:tcW w:w="1564" w:type="dxa"/>
                  <w:tcBorders>
                    <w:tl2br w:val="nil"/>
                    <w:tr2bl w:val="nil"/>
                  </w:tcBorders>
                  <w:noWrap w:val="0"/>
                  <w:vAlign w:val="center"/>
                </w:tcPr>
                <w:p w14:paraId="5103E7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低位发热量 Q&lt;sub&gt;net</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v&lt;/sub&gt;</w:t>
                  </w:r>
                </w:p>
              </w:tc>
              <w:tc>
                <w:tcPr>
                  <w:tcW w:w="1135" w:type="dxa"/>
                  <w:tcBorders>
                    <w:tl2br w:val="nil"/>
                    <w:tr2bl w:val="nil"/>
                  </w:tcBorders>
                  <w:noWrap w:val="0"/>
                  <w:vAlign w:val="center"/>
                </w:tcPr>
                <w:p w14:paraId="7E700B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MJ/kg</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32653F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16.10</w:t>
                  </w:r>
                </w:p>
              </w:tc>
              <w:tc>
                <w:tcPr>
                  <w:tcW w:w="1135" w:type="dxa"/>
                  <w:tcBorders>
                    <w:tl2br w:val="nil"/>
                    <w:tr2bl w:val="nil"/>
                  </w:tcBorders>
                  <w:noWrap w:val="0"/>
                  <w:vAlign w:val="center"/>
                </w:tcPr>
                <w:p w14:paraId="54DCBA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725819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7E7DF0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223FDD8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12BC0B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10</w:t>
                  </w:r>
                </w:p>
              </w:tc>
              <w:tc>
                <w:tcPr>
                  <w:tcW w:w="1564" w:type="dxa"/>
                  <w:tcBorders>
                    <w:tl2br w:val="nil"/>
                    <w:tr2bl w:val="nil"/>
                  </w:tcBorders>
                  <w:noWrap w:val="0"/>
                  <w:vAlign w:val="center"/>
                </w:tcPr>
                <w:p w14:paraId="0CA6A0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低位发热量 Q&lt;sub&gt;net</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v&lt;/sub&gt;</w:t>
                  </w:r>
                </w:p>
              </w:tc>
              <w:tc>
                <w:tcPr>
                  <w:tcW w:w="1135" w:type="dxa"/>
                  <w:tcBorders>
                    <w:tl2br w:val="nil"/>
                    <w:tr2bl w:val="nil"/>
                  </w:tcBorders>
                  <w:noWrap w:val="0"/>
                  <w:vAlign w:val="center"/>
                </w:tcPr>
                <w:p w14:paraId="4E62E3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kcal/kg</w:t>
                  </w: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4D9BC9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3850</w:t>
                  </w:r>
                </w:p>
              </w:tc>
              <w:tc>
                <w:tcPr>
                  <w:tcW w:w="1135" w:type="dxa"/>
                  <w:tcBorders>
                    <w:tl2br w:val="nil"/>
                    <w:tr2bl w:val="nil"/>
                  </w:tcBorders>
                  <w:noWrap w:val="0"/>
                  <w:vAlign w:val="center"/>
                </w:tcPr>
                <w:p w14:paraId="32DB7B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56C59E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6578EE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33C7BD2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06" w:type="dxa"/>
                  <w:tcBorders>
                    <w:tl2br w:val="nil"/>
                    <w:tr2bl w:val="nil"/>
                  </w:tcBorders>
                  <w:noWrap w:val="0"/>
                  <w:vAlign w:val="center"/>
                </w:tcPr>
                <w:p w14:paraId="3F9B43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11</w:t>
                  </w:r>
                </w:p>
              </w:tc>
              <w:tc>
                <w:tcPr>
                  <w:tcW w:w="1564" w:type="dxa"/>
                  <w:tcBorders>
                    <w:tl2br w:val="nil"/>
                    <w:tr2bl w:val="nil"/>
                  </w:tcBorders>
                  <w:noWrap w:val="0"/>
                  <w:vAlign w:val="center"/>
                </w:tcPr>
                <w:p w14:paraId="11D919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硫含量Sₜ</w:t>
                  </w:r>
                </w:p>
              </w:tc>
              <w:tc>
                <w:tcPr>
                  <w:tcW w:w="1135" w:type="dxa"/>
                  <w:tcBorders>
                    <w:tl2br w:val="nil"/>
                    <w:tr2bl w:val="nil"/>
                  </w:tcBorders>
                  <w:noWrap w:val="0"/>
                  <w:vAlign w:val="center"/>
                </w:tcPr>
                <w:p w14:paraId="03E349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w:t>
                  </w:r>
                </w:p>
              </w:tc>
              <w:tc>
                <w:tcPr>
                  <w:tcW w:w="1135" w:type="dxa"/>
                  <w:tcBorders>
                    <w:tl2br w:val="nil"/>
                    <w:tr2bl w:val="nil"/>
                  </w:tcBorders>
                  <w:noWrap w:val="0"/>
                  <w:vAlign w:val="center"/>
                </w:tcPr>
                <w:p w14:paraId="061BFB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0.05</w:t>
                  </w:r>
                </w:p>
              </w:tc>
              <w:tc>
                <w:tcPr>
                  <w:tcW w:w="1135" w:type="dxa"/>
                  <w:tcBorders>
                    <w:tl2br w:val="nil"/>
                    <w:tr2bl w:val="nil"/>
                  </w:tcBorders>
                  <w:noWrap w:val="0"/>
                  <w:vAlign w:val="center"/>
                </w:tcPr>
                <w:p w14:paraId="0C8B4F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0.05</w:t>
                  </w:r>
                </w:p>
              </w:tc>
              <w:tc>
                <w:tcPr>
                  <w:tcW w:w="1135" w:type="dxa"/>
                  <w:tcBorders>
                    <w:tl2br w:val="nil"/>
                    <w:tr2bl w:val="nil"/>
                  </w:tcBorders>
                  <w:noWrap w:val="0"/>
                  <w:vAlign w:val="center"/>
                </w:tcPr>
                <w:p w14:paraId="35C310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0.05</w:t>
                  </w:r>
                </w:p>
              </w:tc>
              <w:tc>
                <w:tcPr>
                  <w:tcW w:w="1135" w:type="dxa"/>
                  <w:tcBorders>
                    <w:tl2br w:val="nil"/>
                    <w:tr2bl w:val="nil"/>
                  </w:tcBorders>
                  <w:noWrap w:val="0"/>
                  <w:vAlign w:val="center"/>
                </w:tcPr>
                <w:p w14:paraId="72FBF4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51083AE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7945" w:type="dxa"/>
                  <w:gridSpan w:val="7"/>
                  <w:tcBorders>
                    <w:tl2br w:val="nil"/>
                    <w:tr2bl w:val="nil"/>
                  </w:tcBorders>
                  <w:noWrap w:val="0"/>
                  <w:vAlign w:val="center"/>
                </w:tcPr>
                <w:p w14:paraId="3A4B58EB">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注：原料秸秆检测报告见附件。</w:t>
                  </w:r>
                </w:p>
              </w:tc>
            </w:tr>
          </w:tbl>
          <w:p w14:paraId="09421742">
            <w:pPr>
              <w:autoSpaceDE w:val="0"/>
              <w:autoSpaceDN w:val="0"/>
              <w:adjustRightInd w:val="0"/>
              <w:snapToGrid w:val="0"/>
              <w:spacing w:line="360" w:lineRule="auto"/>
              <w:ind w:firstLine="480" w:firstLineChars="200"/>
              <w:jc w:val="both"/>
              <w:rPr>
                <w:rFonts w:hint="eastAsia"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②复合生物酶粉剂</w:t>
            </w:r>
          </w:p>
          <w:p w14:paraId="79FD1FAD">
            <w:pPr>
              <w:autoSpaceDE w:val="0"/>
              <w:autoSpaceDN w:val="0"/>
              <w:adjustRightInd w:val="0"/>
              <w:snapToGrid w:val="0"/>
              <w:spacing w:line="360" w:lineRule="auto"/>
              <w:ind w:firstLine="480" w:firstLineChars="200"/>
              <w:jc w:val="both"/>
              <w:rPr>
                <w:rFonts w:hint="default"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炭粉、矿源腐殖酸粉混料时添加复合生物酶粉剂，制得有机肥；所用微生物菌剂须符合《农用微生物菌剂》</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（GB20287-2006</w:t>
            </w:r>
            <w:r>
              <w:rPr>
                <w:rFonts w:hint="eastAsia" w:cs="Times New Roman"/>
                <w:b w:val="0"/>
                <w:bCs w:val="0"/>
                <w:color w:val="000000" w:themeColor="text1"/>
                <w:sz w:val="24"/>
                <w:szCs w:val="24"/>
                <w:highlight w:val="none"/>
                <w:lang w:val="en-US" w:eastAsia="zh-CN"/>
                <w14:textFill>
                  <w14:solidFill>
                    <w14:schemeClr w14:val="tx1"/>
                  </w14:solidFill>
                </w14:textFill>
              </w:rPr>
              <w:t>）标准，标准指标见表2-6。</w:t>
            </w:r>
          </w:p>
          <w:p w14:paraId="129B6989">
            <w:pPr>
              <w:pStyle w:val="64"/>
              <w:spacing w:before="37" w:line="212" w:lineRule="auto"/>
              <w:ind w:left="347"/>
              <w:jc w:val="cente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表2-</w:t>
            </w:r>
            <w:r>
              <w:rPr>
                <w:rFonts w:hint="eastAsia" w:ascii="Times New Roman" w:hAnsi="Times New Roman" w:cs="Times New Roman"/>
                <w:b/>
                <w:color w:val="000000" w:themeColor="text1"/>
                <w:kern w:val="2"/>
                <w:sz w:val="21"/>
                <w:szCs w:val="21"/>
                <w:highlight w:val="none"/>
                <w:lang w:val="en-US" w:eastAsia="zh-CN" w:bidi="ar-SA"/>
                <w14:textFill>
                  <w14:solidFill>
                    <w14:schemeClr w14:val="tx1"/>
                  </w14:solidFill>
                </w14:textFill>
              </w:rPr>
              <w:t>6</w:t>
            </w: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复合生物酶粉剂</w:t>
            </w:r>
            <w:r>
              <w:rPr>
                <w:rFonts w:hint="eastAsia" w:ascii="Times New Roman" w:hAnsi="Times New Roman" w:cs="Times New Roman"/>
                <w:b/>
                <w:color w:val="000000" w:themeColor="text1"/>
                <w:kern w:val="2"/>
                <w:sz w:val="21"/>
                <w:szCs w:val="21"/>
                <w:highlight w:val="none"/>
                <w:lang w:val="en-US" w:eastAsia="zh-CN" w:bidi="ar-SA"/>
                <w14:textFill>
                  <w14:solidFill>
                    <w14:schemeClr w14:val="tx1"/>
                  </w14:solidFill>
                </w14:textFill>
              </w:rPr>
              <w:t>（微生物菌剂）</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标准限值</w:t>
            </w: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一览表</w:t>
            </w:r>
          </w:p>
          <w:tbl>
            <w:tblPr>
              <w:tblStyle w:val="29"/>
              <w:tblW w:w="5000" w:type="pct"/>
              <w:tblInd w:w="0" w:type="dxa"/>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Layout w:type="fixed"/>
              <w:tblCellMar>
                <w:top w:w="15" w:type="dxa"/>
                <w:left w:w="15" w:type="dxa"/>
                <w:bottom w:w="15" w:type="dxa"/>
                <w:right w:w="15" w:type="dxa"/>
              </w:tblCellMar>
            </w:tblPr>
            <w:tblGrid>
              <w:gridCol w:w="3255"/>
              <w:gridCol w:w="756"/>
              <w:gridCol w:w="1710"/>
              <w:gridCol w:w="1111"/>
              <w:gridCol w:w="1113"/>
            </w:tblGrid>
            <w:tr w14:paraId="77715645">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tblCellMar>
                  <w:top w:w="15" w:type="dxa"/>
                  <w:left w:w="15" w:type="dxa"/>
                  <w:bottom w:w="15" w:type="dxa"/>
                  <w:right w:w="15" w:type="dxa"/>
                </w:tblCellMar>
              </w:tblPrEx>
              <w:trPr>
                <w:tblHeader/>
              </w:trPr>
              <w:tc>
                <w:tcPr>
                  <w:tcW w:w="3257" w:type="dxa"/>
                  <w:tcBorders>
                    <w:tl2br w:val="nil"/>
                    <w:tr2bl w:val="nil"/>
                  </w:tcBorders>
                  <w:shd w:val="clear" w:color="auto" w:fill="auto"/>
                  <w:tcMar>
                    <w:top w:w="120" w:type="dxa"/>
                    <w:left w:w="120" w:type="dxa"/>
                    <w:bottom w:w="120" w:type="dxa"/>
                    <w:right w:w="120" w:type="dxa"/>
                  </w:tcMar>
                  <w:vAlign w:val="center"/>
                </w:tcPr>
                <w:p w14:paraId="7E0E87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项目</w:t>
                  </w:r>
                </w:p>
              </w:tc>
              <w:tc>
                <w:tcPr>
                  <w:tcW w:w="756" w:type="dxa"/>
                  <w:tcBorders>
                    <w:tl2br w:val="nil"/>
                    <w:tr2bl w:val="nil"/>
                  </w:tcBorders>
                  <w:shd w:val="clear" w:color="auto" w:fill="auto"/>
                  <w:tcMar>
                    <w:top w:w="120" w:type="dxa"/>
                    <w:left w:w="120" w:type="dxa"/>
                    <w:bottom w:w="120" w:type="dxa"/>
                    <w:right w:w="120" w:type="dxa"/>
                  </w:tcMar>
                  <w:vAlign w:val="center"/>
                </w:tcPr>
                <w:p w14:paraId="2B3EFB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限值</w:t>
                  </w:r>
                </w:p>
              </w:tc>
              <w:tc>
                <w:tcPr>
                  <w:tcW w:w="1076" w:type="pct"/>
                  <w:tcBorders>
                    <w:tl2br w:val="nil"/>
                    <w:tr2bl w:val="nil"/>
                  </w:tcBorders>
                  <w:shd w:val="clear" w:color="auto" w:fill="auto"/>
                  <w:tcMar>
                    <w:top w:w="120" w:type="dxa"/>
                    <w:left w:w="120" w:type="dxa"/>
                    <w:bottom w:w="120" w:type="dxa"/>
                    <w:right w:w="120" w:type="dxa"/>
                  </w:tcMar>
                  <w:vAlign w:val="center"/>
                </w:tcPr>
                <w:p w14:paraId="05C40D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液体</w:t>
                  </w:r>
                </w:p>
              </w:tc>
              <w:tc>
                <w:tcPr>
                  <w:tcW w:w="699" w:type="pct"/>
                  <w:tcBorders>
                    <w:tl2br w:val="nil"/>
                    <w:tr2bl w:val="nil"/>
                  </w:tcBorders>
                  <w:shd w:val="clear" w:color="auto" w:fill="auto"/>
                  <w:tcMar>
                    <w:top w:w="120" w:type="dxa"/>
                    <w:left w:w="120" w:type="dxa"/>
                    <w:bottom w:w="120" w:type="dxa"/>
                    <w:right w:w="120" w:type="dxa"/>
                  </w:tcMar>
                  <w:vAlign w:val="center"/>
                </w:tcPr>
                <w:p w14:paraId="61C543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粉剂</w:t>
                  </w:r>
                </w:p>
              </w:tc>
              <w:tc>
                <w:tcPr>
                  <w:tcW w:w="1113" w:type="dxa"/>
                  <w:tcBorders>
                    <w:tl2br w:val="nil"/>
                    <w:tr2bl w:val="nil"/>
                  </w:tcBorders>
                  <w:shd w:val="clear" w:color="auto" w:fill="auto"/>
                  <w:tcMar>
                    <w:top w:w="120" w:type="dxa"/>
                    <w:left w:w="120" w:type="dxa"/>
                    <w:bottom w:w="120" w:type="dxa"/>
                    <w:right w:w="120" w:type="dxa"/>
                  </w:tcMar>
                  <w:vAlign w:val="center"/>
                </w:tcPr>
                <w:p w14:paraId="756CC6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颗粒</w:t>
                  </w:r>
                </w:p>
              </w:tc>
            </w:tr>
            <w:tr w14:paraId="5CDCFED1">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c>
                <w:tcPr>
                  <w:tcW w:w="3257" w:type="dxa"/>
                  <w:tcBorders>
                    <w:tl2br w:val="nil"/>
                    <w:tr2bl w:val="nil"/>
                  </w:tcBorders>
                  <w:shd w:val="clear" w:color="auto" w:fill="auto"/>
                  <w:tcMar>
                    <w:top w:w="120" w:type="dxa"/>
                    <w:left w:w="120" w:type="dxa"/>
                    <w:bottom w:w="120" w:type="dxa"/>
                    <w:right w:w="120" w:type="dxa"/>
                  </w:tcMar>
                  <w:vAlign w:val="center"/>
                </w:tcPr>
                <w:p w14:paraId="70C24A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有效活菌数（亿/g、亿/mL）</w:t>
                  </w:r>
                </w:p>
              </w:tc>
              <w:tc>
                <w:tcPr>
                  <w:tcW w:w="756" w:type="dxa"/>
                  <w:tcBorders>
                    <w:tl2br w:val="nil"/>
                    <w:tr2bl w:val="nil"/>
                  </w:tcBorders>
                  <w:shd w:val="clear" w:color="auto" w:fill="auto"/>
                  <w:tcMar>
                    <w:top w:w="120" w:type="dxa"/>
                    <w:left w:w="120" w:type="dxa"/>
                    <w:bottom w:w="120" w:type="dxa"/>
                    <w:right w:w="120" w:type="dxa"/>
                  </w:tcMar>
                  <w:vAlign w:val="center"/>
                </w:tcPr>
                <w:p w14:paraId="43B76F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076" w:type="pct"/>
                  <w:tcBorders>
                    <w:tl2br w:val="nil"/>
                    <w:tr2bl w:val="nil"/>
                  </w:tcBorders>
                  <w:shd w:val="clear" w:color="auto" w:fill="auto"/>
                  <w:tcMar>
                    <w:top w:w="120" w:type="dxa"/>
                    <w:left w:w="120" w:type="dxa"/>
                    <w:bottom w:w="120" w:type="dxa"/>
                    <w:right w:w="120" w:type="dxa"/>
                  </w:tcMar>
                  <w:vAlign w:val="center"/>
                </w:tcPr>
                <w:p w14:paraId="29087B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w:t>
                  </w:r>
                </w:p>
              </w:tc>
              <w:tc>
                <w:tcPr>
                  <w:tcW w:w="699" w:type="pct"/>
                  <w:tcBorders>
                    <w:tl2br w:val="nil"/>
                    <w:tr2bl w:val="nil"/>
                  </w:tcBorders>
                  <w:shd w:val="clear" w:color="auto" w:fill="auto"/>
                  <w:tcMar>
                    <w:top w:w="120" w:type="dxa"/>
                    <w:left w:w="120" w:type="dxa"/>
                    <w:bottom w:w="120" w:type="dxa"/>
                    <w:right w:w="120" w:type="dxa"/>
                  </w:tcMar>
                  <w:vAlign w:val="center"/>
                </w:tcPr>
                <w:p w14:paraId="14FFBD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w:t>
                  </w:r>
                </w:p>
              </w:tc>
              <w:tc>
                <w:tcPr>
                  <w:tcW w:w="1113" w:type="dxa"/>
                  <w:tcBorders>
                    <w:tl2br w:val="nil"/>
                    <w:tr2bl w:val="nil"/>
                  </w:tcBorders>
                  <w:shd w:val="clear" w:color="auto" w:fill="auto"/>
                  <w:tcMar>
                    <w:top w:w="120" w:type="dxa"/>
                    <w:left w:w="120" w:type="dxa"/>
                    <w:bottom w:w="120" w:type="dxa"/>
                    <w:right w:w="120" w:type="dxa"/>
                  </w:tcMar>
                  <w:vAlign w:val="center"/>
                </w:tcPr>
                <w:p w14:paraId="131BAC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1.0</w:t>
                  </w:r>
                </w:p>
              </w:tc>
            </w:tr>
            <w:tr w14:paraId="13EEB29B">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c>
                <w:tcPr>
                  <w:tcW w:w="3257" w:type="dxa"/>
                  <w:tcBorders>
                    <w:tl2br w:val="nil"/>
                    <w:tr2bl w:val="nil"/>
                  </w:tcBorders>
                  <w:shd w:val="clear" w:color="auto" w:fill="auto"/>
                  <w:tcMar>
                    <w:top w:w="120" w:type="dxa"/>
                    <w:left w:w="120" w:type="dxa"/>
                    <w:bottom w:w="120" w:type="dxa"/>
                    <w:right w:w="120" w:type="dxa"/>
                  </w:tcMar>
                  <w:vAlign w:val="center"/>
                </w:tcPr>
                <w:p w14:paraId="7F7B44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霉菌杂菌数（个/g、个/mL）</w:t>
                  </w:r>
                </w:p>
              </w:tc>
              <w:tc>
                <w:tcPr>
                  <w:tcW w:w="756" w:type="dxa"/>
                  <w:tcBorders>
                    <w:tl2br w:val="nil"/>
                    <w:tr2bl w:val="nil"/>
                  </w:tcBorders>
                  <w:shd w:val="clear" w:color="auto" w:fill="auto"/>
                  <w:tcMar>
                    <w:top w:w="120" w:type="dxa"/>
                    <w:left w:w="120" w:type="dxa"/>
                    <w:bottom w:w="120" w:type="dxa"/>
                    <w:right w:w="120" w:type="dxa"/>
                  </w:tcMar>
                  <w:vAlign w:val="center"/>
                </w:tcPr>
                <w:p w14:paraId="5A8BB3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076" w:type="pct"/>
                  <w:tcBorders>
                    <w:tl2br w:val="nil"/>
                    <w:tr2bl w:val="nil"/>
                  </w:tcBorders>
                  <w:shd w:val="clear" w:color="auto" w:fill="auto"/>
                  <w:tcMar>
                    <w:top w:w="120" w:type="dxa"/>
                    <w:left w:w="120" w:type="dxa"/>
                    <w:bottom w:w="120" w:type="dxa"/>
                    <w:right w:w="120" w:type="dxa"/>
                  </w:tcMar>
                  <w:vAlign w:val="center"/>
                </w:tcPr>
                <w:p w14:paraId="01AF63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3.0×10</w:t>
                  </w:r>
                  <w:r>
                    <w:rPr>
                      <w:rFonts w:hint="default"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6</w:t>
                  </w:r>
                </w:p>
              </w:tc>
              <w:tc>
                <w:tcPr>
                  <w:tcW w:w="699" w:type="pct"/>
                  <w:tcBorders>
                    <w:tl2br w:val="nil"/>
                    <w:tr2bl w:val="nil"/>
                  </w:tcBorders>
                  <w:shd w:val="clear" w:color="auto" w:fill="auto"/>
                  <w:tcMar>
                    <w:top w:w="120" w:type="dxa"/>
                    <w:left w:w="120" w:type="dxa"/>
                    <w:bottom w:w="120" w:type="dxa"/>
                    <w:right w:w="120" w:type="dxa"/>
                  </w:tcMar>
                  <w:vAlign w:val="center"/>
                </w:tcPr>
                <w:p w14:paraId="70C35E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3.0×10</w:t>
                  </w:r>
                  <w:r>
                    <w:rPr>
                      <w:rFonts w:hint="default"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6</w:t>
                  </w:r>
                </w:p>
              </w:tc>
              <w:tc>
                <w:tcPr>
                  <w:tcW w:w="1113" w:type="dxa"/>
                  <w:tcBorders>
                    <w:tl2br w:val="nil"/>
                    <w:tr2bl w:val="nil"/>
                  </w:tcBorders>
                  <w:shd w:val="clear" w:color="auto" w:fill="auto"/>
                  <w:tcMar>
                    <w:top w:w="120" w:type="dxa"/>
                    <w:left w:w="120" w:type="dxa"/>
                    <w:bottom w:w="120" w:type="dxa"/>
                    <w:right w:w="120" w:type="dxa"/>
                  </w:tcMar>
                  <w:vAlign w:val="center"/>
                </w:tcPr>
                <w:p w14:paraId="12C072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3.0×10</w:t>
                  </w:r>
                  <w:r>
                    <w:rPr>
                      <w:rFonts w:hint="default" w:ascii="Times New Roman" w:hAnsi="Times New Roman" w:eastAsia="宋体" w:cs="Times New Roman"/>
                      <w:snapToGrid/>
                      <w:color w:val="000000" w:themeColor="text1"/>
                      <w:kern w:val="2"/>
                      <w:sz w:val="21"/>
                      <w:szCs w:val="21"/>
                      <w:highlight w:val="none"/>
                      <w:vertAlign w:val="superscript"/>
                      <w:lang w:val="en-US" w:eastAsia="zh-CN"/>
                      <w14:textFill>
                        <w14:solidFill>
                          <w14:schemeClr w14:val="tx1"/>
                        </w14:solidFill>
                      </w14:textFill>
                    </w:rPr>
                    <w:t>6</w:t>
                  </w:r>
                </w:p>
              </w:tc>
            </w:tr>
            <w:tr w14:paraId="707E10A7">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c>
                <w:tcPr>
                  <w:tcW w:w="3257" w:type="dxa"/>
                  <w:tcBorders>
                    <w:tl2br w:val="nil"/>
                    <w:tr2bl w:val="nil"/>
                  </w:tcBorders>
                  <w:shd w:val="clear" w:color="auto" w:fill="auto"/>
                  <w:tcMar>
                    <w:top w:w="120" w:type="dxa"/>
                    <w:left w:w="120" w:type="dxa"/>
                    <w:bottom w:w="120" w:type="dxa"/>
                    <w:right w:w="120" w:type="dxa"/>
                  </w:tcMar>
                  <w:vAlign w:val="center"/>
                </w:tcPr>
                <w:p w14:paraId="6FC723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杂菌率（%）</w:t>
                  </w:r>
                </w:p>
              </w:tc>
              <w:tc>
                <w:tcPr>
                  <w:tcW w:w="756" w:type="dxa"/>
                  <w:tcBorders>
                    <w:tl2br w:val="nil"/>
                    <w:tr2bl w:val="nil"/>
                  </w:tcBorders>
                  <w:shd w:val="clear" w:color="auto" w:fill="auto"/>
                  <w:tcMar>
                    <w:top w:w="120" w:type="dxa"/>
                    <w:left w:w="120" w:type="dxa"/>
                    <w:bottom w:w="120" w:type="dxa"/>
                    <w:right w:w="120" w:type="dxa"/>
                  </w:tcMar>
                  <w:vAlign w:val="center"/>
                </w:tcPr>
                <w:p w14:paraId="70B7ED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076" w:type="pct"/>
                  <w:tcBorders>
                    <w:tl2br w:val="nil"/>
                    <w:tr2bl w:val="nil"/>
                  </w:tcBorders>
                  <w:shd w:val="clear" w:color="auto" w:fill="auto"/>
                  <w:tcMar>
                    <w:top w:w="120" w:type="dxa"/>
                    <w:left w:w="120" w:type="dxa"/>
                    <w:bottom w:w="120" w:type="dxa"/>
                    <w:right w:w="120" w:type="dxa"/>
                  </w:tcMar>
                  <w:vAlign w:val="center"/>
                </w:tcPr>
                <w:p w14:paraId="0DC630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10.0</w:t>
                  </w:r>
                </w:p>
              </w:tc>
              <w:tc>
                <w:tcPr>
                  <w:tcW w:w="699" w:type="pct"/>
                  <w:tcBorders>
                    <w:tl2br w:val="nil"/>
                    <w:tr2bl w:val="nil"/>
                  </w:tcBorders>
                  <w:shd w:val="clear" w:color="auto" w:fill="auto"/>
                  <w:tcMar>
                    <w:top w:w="120" w:type="dxa"/>
                    <w:left w:w="120" w:type="dxa"/>
                    <w:bottom w:w="120" w:type="dxa"/>
                    <w:right w:w="120" w:type="dxa"/>
                  </w:tcMar>
                  <w:vAlign w:val="center"/>
                </w:tcPr>
                <w:p w14:paraId="28611A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20.0</w:t>
                  </w:r>
                </w:p>
              </w:tc>
              <w:tc>
                <w:tcPr>
                  <w:tcW w:w="1113" w:type="dxa"/>
                  <w:tcBorders>
                    <w:tl2br w:val="nil"/>
                    <w:tr2bl w:val="nil"/>
                  </w:tcBorders>
                  <w:shd w:val="clear" w:color="auto" w:fill="auto"/>
                  <w:tcMar>
                    <w:top w:w="120" w:type="dxa"/>
                    <w:left w:w="120" w:type="dxa"/>
                    <w:bottom w:w="120" w:type="dxa"/>
                    <w:right w:w="120" w:type="dxa"/>
                  </w:tcMar>
                  <w:vAlign w:val="center"/>
                </w:tcPr>
                <w:p w14:paraId="186160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30.0</w:t>
                  </w:r>
                </w:p>
              </w:tc>
            </w:tr>
            <w:tr w14:paraId="6BD9E147">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c>
                <w:tcPr>
                  <w:tcW w:w="3257" w:type="dxa"/>
                  <w:tcBorders>
                    <w:tl2br w:val="nil"/>
                    <w:tr2bl w:val="nil"/>
                  </w:tcBorders>
                  <w:shd w:val="clear" w:color="auto" w:fill="auto"/>
                  <w:tcMar>
                    <w:top w:w="120" w:type="dxa"/>
                    <w:left w:w="120" w:type="dxa"/>
                    <w:bottom w:w="120" w:type="dxa"/>
                    <w:right w:w="120" w:type="dxa"/>
                  </w:tcMar>
                  <w:vAlign w:val="center"/>
                </w:tcPr>
                <w:p w14:paraId="1C3CC0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水分（%）</w:t>
                  </w:r>
                </w:p>
              </w:tc>
              <w:tc>
                <w:tcPr>
                  <w:tcW w:w="756" w:type="dxa"/>
                  <w:tcBorders>
                    <w:tl2br w:val="nil"/>
                    <w:tr2bl w:val="nil"/>
                  </w:tcBorders>
                  <w:shd w:val="clear" w:color="auto" w:fill="auto"/>
                  <w:tcMar>
                    <w:top w:w="120" w:type="dxa"/>
                    <w:left w:w="120" w:type="dxa"/>
                    <w:bottom w:w="120" w:type="dxa"/>
                    <w:right w:w="120" w:type="dxa"/>
                  </w:tcMar>
                  <w:vAlign w:val="center"/>
                </w:tcPr>
                <w:p w14:paraId="6AE8EB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076" w:type="pct"/>
                  <w:tcBorders>
                    <w:tl2br w:val="nil"/>
                    <w:tr2bl w:val="nil"/>
                  </w:tcBorders>
                  <w:shd w:val="clear" w:color="auto" w:fill="auto"/>
                  <w:tcMar>
                    <w:top w:w="120" w:type="dxa"/>
                    <w:left w:w="120" w:type="dxa"/>
                    <w:bottom w:w="120" w:type="dxa"/>
                    <w:right w:w="120" w:type="dxa"/>
                  </w:tcMar>
                  <w:vAlign w:val="center"/>
                </w:tcPr>
                <w:p w14:paraId="46F58F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—（无要求）</w:t>
                  </w:r>
                </w:p>
              </w:tc>
              <w:tc>
                <w:tcPr>
                  <w:tcW w:w="699" w:type="pct"/>
                  <w:tcBorders>
                    <w:tl2br w:val="nil"/>
                    <w:tr2bl w:val="nil"/>
                  </w:tcBorders>
                  <w:shd w:val="clear" w:color="auto" w:fill="auto"/>
                  <w:tcMar>
                    <w:top w:w="120" w:type="dxa"/>
                    <w:left w:w="120" w:type="dxa"/>
                    <w:bottom w:w="120" w:type="dxa"/>
                    <w:right w:w="120" w:type="dxa"/>
                  </w:tcMar>
                  <w:vAlign w:val="center"/>
                </w:tcPr>
                <w:p w14:paraId="73FEE2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35.0</w:t>
                  </w:r>
                </w:p>
              </w:tc>
              <w:tc>
                <w:tcPr>
                  <w:tcW w:w="1113" w:type="dxa"/>
                  <w:tcBorders>
                    <w:tl2br w:val="nil"/>
                    <w:tr2bl w:val="nil"/>
                  </w:tcBorders>
                  <w:shd w:val="clear" w:color="auto" w:fill="auto"/>
                  <w:tcMar>
                    <w:top w:w="120" w:type="dxa"/>
                    <w:left w:w="120" w:type="dxa"/>
                    <w:bottom w:w="120" w:type="dxa"/>
                    <w:right w:w="120" w:type="dxa"/>
                  </w:tcMar>
                  <w:vAlign w:val="center"/>
                </w:tcPr>
                <w:p w14:paraId="292FD9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20.0</w:t>
                  </w:r>
                </w:p>
              </w:tc>
            </w:tr>
            <w:tr w14:paraId="50DBF8A5">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c>
                <w:tcPr>
                  <w:tcW w:w="3257" w:type="dxa"/>
                  <w:tcBorders>
                    <w:tl2br w:val="nil"/>
                    <w:tr2bl w:val="nil"/>
                  </w:tcBorders>
                  <w:shd w:val="clear" w:color="auto" w:fill="auto"/>
                  <w:tcMar>
                    <w:top w:w="120" w:type="dxa"/>
                    <w:left w:w="120" w:type="dxa"/>
                    <w:bottom w:w="120" w:type="dxa"/>
                    <w:right w:w="120" w:type="dxa"/>
                  </w:tcMar>
                  <w:vAlign w:val="center"/>
                </w:tcPr>
                <w:p w14:paraId="3618EC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细度（%）</w:t>
                  </w:r>
                </w:p>
              </w:tc>
              <w:tc>
                <w:tcPr>
                  <w:tcW w:w="756" w:type="dxa"/>
                  <w:tcBorders>
                    <w:tl2br w:val="nil"/>
                    <w:tr2bl w:val="nil"/>
                  </w:tcBorders>
                  <w:shd w:val="clear" w:color="auto" w:fill="auto"/>
                  <w:tcMar>
                    <w:top w:w="120" w:type="dxa"/>
                    <w:left w:w="120" w:type="dxa"/>
                    <w:bottom w:w="120" w:type="dxa"/>
                    <w:right w:w="120" w:type="dxa"/>
                  </w:tcMar>
                  <w:vAlign w:val="center"/>
                </w:tcPr>
                <w:p w14:paraId="42BBA4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076" w:type="pct"/>
                  <w:tcBorders>
                    <w:tl2br w:val="nil"/>
                    <w:tr2bl w:val="nil"/>
                  </w:tcBorders>
                  <w:shd w:val="clear" w:color="auto" w:fill="auto"/>
                  <w:tcMar>
                    <w:top w:w="120" w:type="dxa"/>
                    <w:left w:w="120" w:type="dxa"/>
                    <w:bottom w:w="120" w:type="dxa"/>
                    <w:right w:w="120" w:type="dxa"/>
                  </w:tcMar>
                  <w:vAlign w:val="center"/>
                </w:tcPr>
                <w:p w14:paraId="60653A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—（无要求）</w:t>
                  </w:r>
                </w:p>
              </w:tc>
              <w:tc>
                <w:tcPr>
                  <w:tcW w:w="699" w:type="pct"/>
                  <w:tcBorders>
                    <w:tl2br w:val="nil"/>
                    <w:tr2bl w:val="nil"/>
                  </w:tcBorders>
                  <w:shd w:val="clear" w:color="auto" w:fill="auto"/>
                  <w:tcMar>
                    <w:top w:w="120" w:type="dxa"/>
                    <w:left w:w="120" w:type="dxa"/>
                    <w:bottom w:w="120" w:type="dxa"/>
                    <w:right w:w="120" w:type="dxa"/>
                  </w:tcMar>
                  <w:vAlign w:val="center"/>
                </w:tcPr>
                <w:p w14:paraId="3228FE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80</w:t>
                  </w:r>
                </w:p>
              </w:tc>
              <w:tc>
                <w:tcPr>
                  <w:tcW w:w="1113" w:type="dxa"/>
                  <w:tcBorders>
                    <w:tl2br w:val="nil"/>
                    <w:tr2bl w:val="nil"/>
                  </w:tcBorders>
                  <w:shd w:val="clear" w:color="auto" w:fill="auto"/>
                  <w:tcMar>
                    <w:top w:w="120" w:type="dxa"/>
                    <w:left w:w="120" w:type="dxa"/>
                    <w:bottom w:w="120" w:type="dxa"/>
                    <w:right w:w="120" w:type="dxa"/>
                  </w:tcMar>
                  <w:vAlign w:val="center"/>
                </w:tcPr>
                <w:p w14:paraId="30DF67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80</w:t>
                  </w:r>
                </w:p>
              </w:tc>
            </w:tr>
            <w:tr w14:paraId="34E1CA65">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c>
                <w:tcPr>
                  <w:tcW w:w="3257" w:type="dxa"/>
                  <w:tcBorders>
                    <w:tl2br w:val="nil"/>
                    <w:tr2bl w:val="nil"/>
                  </w:tcBorders>
                  <w:shd w:val="clear" w:color="auto" w:fill="auto"/>
                  <w:tcMar>
                    <w:top w:w="120" w:type="dxa"/>
                    <w:left w:w="120" w:type="dxa"/>
                    <w:bottom w:w="120" w:type="dxa"/>
                    <w:right w:w="120" w:type="dxa"/>
                  </w:tcMar>
                  <w:vAlign w:val="center"/>
                </w:tcPr>
                <w:p w14:paraId="557D15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pH值</w:t>
                  </w:r>
                </w:p>
              </w:tc>
              <w:tc>
                <w:tcPr>
                  <w:tcW w:w="756" w:type="dxa"/>
                  <w:tcBorders>
                    <w:tl2br w:val="nil"/>
                    <w:tr2bl w:val="nil"/>
                  </w:tcBorders>
                  <w:shd w:val="clear" w:color="auto" w:fill="auto"/>
                  <w:tcMar>
                    <w:top w:w="120" w:type="dxa"/>
                    <w:left w:w="120" w:type="dxa"/>
                    <w:bottom w:w="120" w:type="dxa"/>
                    <w:right w:w="120" w:type="dxa"/>
                  </w:tcMar>
                  <w:vAlign w:val="center"/>
                </w:tcPr>
                <w:p w14:paraId="28948F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076" w:type="pct"/>
                  <w:tcBorders>
                    <w:tl2br w:val="nil"/>
                    <w:tr2bl w:val="nil"/>
                  </w:tcBorders>
                  <w:shd w:val="clear" w:color="auto" w:fill="auto"/>
                  <w:tcMar>
                    <w:top w:w="120" w:type="dxa"/>
                    <w:left w:w="120" w:type="dxa"/>
                    <w:bottom w:w="120" w:type="dxa"/>
                    <w:right w:w="120" w:type="dxa"/>
                  </w:tcMar>
                  <w:vAlign w:val="center"/>
                </w:tcPr>
                <w:p w14:paraId="55A662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5.0～8.0</w:t>
                  </w:r>
                </w:p>
              </w:tc>
              <w:tc>
                <w:tcPr>
                  <w:tcW w:w="699" w:type="pct"/>
                  <w:tcBorders>
                    <w:tl2br w:val="nil"/>
                    <w:tr2bl w:val="nil"/>
                  </w:tcBorders>
                  <w:shd w:val="clear" w:color="auto" w:fill="auto"/>
                  <w:tcMar>
                    <w:top w:w="120" w:type="dxa"/>
                    <w:left w:w="120" w:type="dxa"/>
                    <w:bottom w:w="120" w:type="dxa"/>
                    <w:right w:w="120" w:type="dxa"/>
                  </w:tcMar>
                  <w:vAlign w:val="center"/>
                </w:tcPr>
                <w:p w14:paraId="60CD39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5.5～8.5</w:t>
                  </w:r>
                </w:p>
              </w:tc>
              <w:tc>
                <w:tcPr>
                  <w:tcW w:w="1113" w:type="dxa"/>
                  <w:tcBorders>
                    <w:tl2br w:val="nil"/>
                    <w:tr2bl w:val="nil"/>
                  </w:tcBorders>
                  <w:shd w:val="clear" w:color="auto" w:fill="auto"/>
                  <w:tcMar>
                    <w:top w:w="120" w:type="dxa"/>
                    <w:left w:w="120" w:type="dxa"/>
                    <w:bottom w:w="120" w:type="dxa"/>
                    <w:right w:w="120" w:type="dxa"/>
                  </w:tcMar>
                  <w:vAlign w:val="center"/>
                </w:tcPr>
                <w:p w14:paraId="46BAE2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5.5～8.5</w:t>
                  </w:r>
                </w:p>
              </w:tc>
            </w:tr>
            <w:tr w14:paraId="33BFD60C">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c>
                <w:tcPr>
                  <w:tcW w:w="3257" w:type="dxa"/>
                  <w:tcBorders>
                    <w:tl2br w:val="nil"/>
                    <w:tr2bl w:val="nil"/>
                  </w:tcBorders>
                  <w:shd w:val="clear" w:color="auto" w:fill="auto"/>
                  <w:tcMar>
                    <w:top w:w="120" w:type="dxa"/>
                    <w:left w:w="120" w:type="dxa"/>
                    <w:bottom w:w="120" w:type="dxa"/>
                    <w:right w:w="120" w:type="dxa"/>
                  </w:tcMar>
                  <w:vAlign w:val="center"/>
                </w:tcPr>
                <w:p w14:paraId="090C0E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保质期（月）</w:t>
                  </w:r>
                </w:p>
              </w:tc>
              <w:tc>
                <w:tcPr>
                  <w:tcW w:w="756" w:type="dxa"/>
                  <w:tcBorders>
                    <w:tl2br w:val="nil"/>
                    <w:tr2bl w:val="nil"/>
                  </w:tcBorders>
                  <w:shd w:val="clear" w:color="auto" w:fill="auto"/>
                  <w:tcMar>
                    <w:top w:w="120" w:type="dxa"/>
                    <w:left w:w="120" w:type="dxa"/>
                    <w:bottom w:w="120" w:type="dxa"/>
                    <w:right w:w="120" w:type="dxa"/>
                  </w:tcMar>
                  <w:vAlign w:val="center"/>
                </w:tcPr>
                <w:p w14:paraId="447826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1076" w:type="pct"/>
                  <w:tcBorders>
                    <w:tl2br w:val="nil"/>
                    <w:tr2bl w:val="nil"/>
                  </w:tcBorders>
                  <w:shd w:val="clear" w:color="auto" w:fill="auto"/>
                  <w:tcMar>
                    <w:top w:w="120" w:type="dxa"/>
                    <w:left w:w="120" w:type="dxa"/>
                    <w:bottom w:w="120" w:type="dxa"/>
                    <w:right w:w="120" w:type="dxa"/>
                  </w:tcMar>
                  <w:vAlign w:val="center"/>
                </w:tcPr>
                <w:p w14:paraId="3D4439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w:t>
                  </w:r>
                </w:p>
              </w:tc>
              <w:tc>
                <w:tcPr>
                  <w:tcW w:w="699" w:type="pct"/>
                  <w:tcBorders>
                    <w:tl2br w:val="nil"/>
                    <w:tr2bl w:val="nil"/>
                  </w:tcBorders>
                  <w:shd w:val="clear" w:color="auto" w:fill="auto"/>
                  <w:tcMar>
                    <w:top w:w="120" w:type="dxa"/>
                    <w:left w:w="120" w:type="dxa"/>
                    <w:bottom w:w="120" w:type="dxa"/>
                    <w:right w:w="120" w:type="dxa"/>
                  </w:tcMar>
                  <w:vAlign w:val="center"/>
                </w:tcPr>
                <w:p w14:paraId="6A9519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6</w:t>
                  </w:r>
                </w:p>
              </w:tc>
              <w:tc>
                <w:tcPr>
                  <w:tcW w:w="1113" w:type="dxa"/>
                  <w:tcBorders>
                    <w:tl2br w:val="nil"/>
                    <w:tr2bl w:val="nil"/>
                  </w:tcBorders>
                  <w:shd w:val="clear" w:color="auto" w:fill="auto"/>
                  <w:tcMar>
                    <w:top w:w="120" w:type="dxa"/>
                    <w:left w:w="120" w:type="dxa"/>
                    <w:bottom w:w="120" w:type="dxa"/>
                    <w:right w:w="120" w:type="dxa"/>
                  </w:tcMar>
                  <w:vAlign w:val="center"/>
                </w:tcPr>
                <w:p w14:paraId="6F2FD3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6</w:t>
                  </w:r>
                </w:p>
              </w:tc>
            </w:tr>
          </w:tbl>
          <w:p w14:paraId="2A7DDB3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cs="Times New Roman"/>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③</w:t>
            </w:r>
            <w:r>
              <w:rPr>
                <w:rFonts w:hint="eastAsia" w:ascii="宋体" w:hAnsi="宋体" w:eastAsia="宋体" w:cs="宋体"/>
                <w:color w:val="000000" w:themeColor="text1"/>
                <w:sz w:val="24"/>
                <w:szCs w:val="24"/>
                <w:highlight w:val="none"/>
                <w:lang w:val="en-US" w:eastAsia="zh-CN"/>
                <w14:textFill>
                  <w14:solidFill>
                    <w14:schemeClr w14:val="tx1"/>
                  </w14:solidFill>
                </w14:textFill>
              </w:rPr>
              <w:t>矿源腐殖酸粉</w:t>
            </w:r>
            <w:r>
              <w:rPr>
                <w:rFonts w:hint="eastAsia" w:ascii="宋体" w:hAnsi="宋体" w:eastAsia="宋体" w:cs="宋体"/>
                <w:color w:val="000000" w:themeColor="text1"/>
                <w:sz w:val="24"/>
                <w:szCs w:val="24"/>
                <w:highlight w:val="none"/>
                <w:lang w:val="en-US" w:eastAsia="zh-CN"/>
                <w14:textFill>
                  <w14:solidFill>
                    <w14:schemeClr w14:val="tx1"/>
                  </w14:solidFill>
                </w14:textFill>
              </w:rPr>
              <w:t>、过磷酸钙、硫酸钾、固体氢氧化钙成分分析</w:t>
            </w:r>
          </w:p>
          <w:p w14:paraId="5B2CEF3D">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其他</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原辅料</w:t>
            </w:r>
            <w:r>
              <w:rPr>
                <w:rFonts w:hint="eastAsia" w:ascii="宋体" w:hAnsi="宋体" w:eastAsia="宋体" w:cs="宋体"/>
                <w:color w:val="000000" w:themeColor="text1"/>
                <w:sz w:val="24"/>
                <w:szCs w:val="24"/>
                <w:highlight w:val="none"/>
                <w:lang w:val="en-US" w:eastAsia="zh-CN"/>
                <w14:textFill>
                  <w14:solidFill>
                    <w14:schemeClr w14:val="tx1"/>
                  </w14:solidFill>
                </w14:textFill>
              </w:rPr>
              <w:t>成分</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见表2-</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7</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w:t>
            </w:r>
          </w:p>
          <w:p w14:paraId="564C99FD">
            <w:pPr>
              <w:adjustRightInd w:val="0"/>
              <w:snapToGrid w:val="0"/>
              <w:jc w:val="cente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2-</w:t>
            </w:r>
            <w:r>
              <w:rPr>
                <w:rFonts w:hint="eastAsia" w:cs="Times New Roman"/>
                <w:b/>
                <w:color w:val="000000" w:themeColor="text1"/>
                <w:kern w:val="2"/>
                <w:sz w:val="21"/>
                <w:szCs w:val="21"/>
                <w:highlight w:val="none"/>
                <w:lang w:val="en-US" w:eastAsia="zh-CN"/>
                <w14:textFill>
                  <w14:solidFill>
                    <w14:schemeClr w14:val="tx1"/>
                  </w14:solidFill>
                </w14:textFill>
              </w:rPr>
              <w:t>7</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其他原辅料成分</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一览表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925"/>
              <w:gridCol w:w="7020"/>
            </w:tblGrid>
            <w:tr w14:paraId="3BD80F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25" w:type="dxa"/>
                  <w:tcBorders>
                    <w:tl2br w:val="nil"/>
                    <w:tr2bl w:val="nil"/>
                  </w:tcBorders>
                  <w:vAlign w:val="center"/>
                </w:tcPr>
                <w:p w14:paraId="1730BB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t>项目</w:t>
                  </w:r>
                </w:p>
              </w:tc>
              <w:tc>
                <w:tcPr>
                  <w:tcW w:w="7020" w:type="dxa"/>
                  <w:tcBorders>
                    <w:tl2br w:val="nil"/>
                    <w:tr2bl w:val="nil"/>
                  </w:tcBorders>
                  <w:vAlign w:val="center"/>
                </w:tcPr>
                <w:p w14:paraId="49922C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eastAsia" w:cs="Times New Roman"/>
                      <w:b/>
                      <w:color w:val="000000" w:themeColor="text1"/>
                      <w:kern w:val="2"/>
                      <w:sz w:val="21"/>
                      <w:szCs w:val="21"/>
                      <w:highlight w:val="none"/>
                      <w:lang w:val="en-US" w:eastAsia="zh-CN"/>
                      <w14:textFill>
                        <w14:solidFill>
                          <w14:schemeClr w14:val="tx1"/>
                        </w14:solidFill>
                      </w14:textFill>
                    </w:rPr>
                    <w:t>成分</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信息</w:t>
                  </w:r>
                </w:p>
              </w:tc>
            </w:tr>
            <w:tr w14:paraId="45F07D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25" w:type="dxa"/>
                  <w:tcBorders>
                    <w:tl2br w:val="nil"/>
                    <w:tr2bl w:val="nil"/>
                  </w:tcBorders>
                  <w:vAlign w:val="center"/>
                </w:tcPr>
                <w:p w14:paraId="324959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矿源腐殖酸</w:t>
                  </w:r>
                  <w:r>
                    <w:rPr>
                      <w:rFonts w:hint="eastAsia" w:cs="Times New Roman"/>
                      <w:snapToGrid/>
                      <w:color w:val="000000" w:themeColor="text1"/>
                      <w:kern w:val="2"/>
                      <w:sz w:val="21"/>
                      <w:szCs w:val="21"/>
                      <w:highlight w:val="none"/>
                      <w:lang w:val="en-US" w:eastAsia="zh-CN"/>
                      <w14:textFill>
                        <w14:solidFill>
                          <w14:schemeClr w14:val="tx1"/>
                        </w14:solidFill>
                      </w14:textFill>
                    </w:rPr>
                    <w:t>粉</w:t>
                  </w:r>
                </w:p>
              </w:tc>
              <w:tc>
                <w:tcPr>
                  <w:tcW w:w="7020" w:type="dxa"/>
                  <w:tcBorders>
                    <w:tl2br w:val="nil"/>
                    <w:tr2bl w:val="nil"/>
                  </w:tcBorders>
                  <w:vAlign w:val="center"/>
                </w:tcPr>
                <w:p w14:paraId="7144C3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矿源腐殖酸粉（矿物源腐植酸粉）是以风化煤、褐煤、泥炭为原料，经破碎、研磨、碱提活化、干燥制粉得到的黑色粉末有机高分子物料，可与秸秆、糖蜜发酵制得的生化腐殖酸相区分；为黑至黑褐色粉末，细度80~325目，pH8~10呈碱性，总腐殖酸含量多为50%~85%，主要用途包含农业土壤改良、作为有机肥原料，也可作为工业助剂以及污染土壤修复材料。</w:t>
                  </w:r>
                </w:p>
              </w:tc>
            </w:tr>
            <w:tr w14:paraId="1175AB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25" w:type="dxa"/>
                  <w:tcBorders>
                    <w:tl2br w:val="nil"/>
                    <w:tr2bl w:val="nil"/>
                  </w:tcBorders>
                  <w:vAlign w:val="center"/>
                </w:tcPr>
                <w:p w14:paraId="25CB54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过磷酸钙</w:t>
                  </w:r>
                </w:p>
              </w:tc>
              <w:tc>
                <w:tcPr>
                  <w:tcW w:w="7020" w:type="dxa"/>
                  <w:tcBorders>
                    <w:tl2br w:val="nil"/>
                    <w:tr2bl w:val="nil"/>
                  </w:tcBorders>
                  <w:vAlign w:val="center"/>
                </w:tcPr>
                <w:p w14:paraId="0E60DD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default" w:cs="Times New Roman"/>
                      <w:snapToGrid/>
                      <w:color w:val="000000" w:themeColor="text1"/>
                      <w:kern w:val="2"/>
                      <w:sz w:val="21"/>
                      <w:szCs w:val="21"/>
                      <w:highlight w:val="none"/>
                      <w:lang w:val="en-US" w:eastAsia="zh-CN"/>
                      <w14:textFill>
                        <w14:solidFill>
                          <w14:schemeClr w14:val="tx1"/>
                        </w14:solidFill>
                      </w14:textFill>
                    </w:rPr>
                    <w:t>无色或浅灰色的颗粒（或粉料）肥料</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cs="Times New Roman"/>
                      <w:snapToGrid/>
                      <w:color w:val="000000" w:themeColor="text1"/>
                      <w:kern w:val="2"/>
                      <w:sz w:val="21"/>
                      <w:szCs w:val="21"/>
                      <w:highlight w:val="none"/>
                      <w:lang w:val="en-US" w:eastAsia="zh-CN"/>
                      <w14:textFill>
                        <w14:solidFill>
                          <w14:schemeClr w14:val="tx1"/>
                        </w14:solidFill>
                      </w14:textFill>
                    </w:rPr>
                    <w:t>溶解性大部分易溶于水，少部分不溶于水而易溶于2%柠檬酸（枸橼液）溶液中</w:t>
                  </w:r>
                  <w:r>
                    <w:rPr>
                      <w:rFonts w:hint="eastAsia" w:cs="Times New Roman"/>
                      <w:snapToGrid/>
                      <w:color w:val="000000" w:themeColor="text1"/>
                      <w:kern w:val="2"/>
                      <w:sz w:val="21"/>
                      <w:szCs w:val="21"/>
                      <w:highlight w:val="none"/>
                      <w:lang w:val="en-US" w:eastAsia="zh-CN"/>
                      <w14:textFill>
                        <w14:solidFill>
                          <w14:schemeClr w14:val="tx1"/>
                        </w14:solidFill>
                      </w14:textFill>
                    </w:rPr>
                    <w:t>；供给植物磷、钙、硫等元素，具有改良碱性土壤作用，可用作基肥、根外追肥、叶面喷洒，与氮肥混合使用，有固氮作用，减少氮的损失，能促进植物的发芽、长根、分枝、结实及成熟，可用作生产复混肥的原料，过磷酸钙适用于各种作物和各类土壤，由于它本身含有大量的石膏和游离酸，因而特别适用于酸性土壤，它既可以作基肥、追肥，又可以作种肥和根外追肥。</w:t>
                  </w:r>
                </w:p>
              </w:tc>
            </w:tr>
            <w:tr w14:paraId="39F7C9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25" w:type="dxa"/>
                  <w:tcBorders>
                    <w:tl2br w:val="nil"/>
                    <w:tr2bl w:val="nil"/>
                  </w:tcBorders>
                  <w:vAlign w:val="center"/>
                </w:tcPr>
                <w:p w14:paraId="1F558B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硫酸钾</w:t>
                  </w:r>
                </w:p>
              </w:tc>
              <w:tc>
                <w:tcPr>
                  <w:tcW w:w="7020" w:type="dxa"/>
                  <w:tcBorders>
                    <w:tl2br w:val="nil"/>
                    <w:tr2bl w:val="nil"/>
                  </w:tcBorders>
                  <w:vAlign w:val="center"/>
                </w:tcPr>
                <w:p w14:paraId="5B489E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硫酸钾（potassium sulfate），是一种无机硫酸盐，</w:t>
                  </w:r>
                  <w:r>
                    <w:rPr>
                      <w:rFonts w:hint="default" w:cs="Times New Roman"/>
                      <w:snapToGrid/>
                      <w:color w:val="000000" w:themeColor="text1"/>
                      <w:kern w:val="2"/>
                      <w:sz w:val="21"/>
                      <w:szCs w:val="21"/>
                      <w:highlight w:val="none"/>
                      <w:lang w:val="en-US" w:eastAsia="zh-CN"/>
                      <w14:textFill>
                        <w14:solidFill>
                          <w14:schemeClr w14:val="tx1"/>
                        </w14:solidFill>
                      </w14:textFill>
                    </w:rPr>
                    <w:t>化学式为K</w:t>
                  </w:r>
                  <w:r>
                    <w:rPr>
                      <w:rFonts w:hint="default" w:cs="Times New Roman"/>
                      <w:snapToGrid/>
                      <w:color w:val="000000" w:themeColor="text1"/>
                      <w:kern w:val="2"/>
                      <w:sz w:val="21"/>
                      <w:szCs w:val="21"/>
                      <w:highlight w:val="none"/>
                      <w:vertAlign w:val="subscript"/>
                      <w:lang w:val="en-US" w:eastAsia="zh-CN"/>
                      <w14:textFill>
                        <w14:solidFill>
                          <w14:schemeClr w14:val="tx1"/>
                        </w14:solidFill>
                      </w14:textFill>
                    </w:rPr>
                    <w:t>2</w:t>
                  </w:r>
                  <w:r>
                    <w:rPr>
                      <w:rFonts w:hint="default" w:cs="Times New Roman"/>
                      <w:snapToGrid/>
                      <w:color w:val="000000" w:themeColor="text1"/>
                      <w:kern w:val="2"/>
                      <w:sz w:val="21"/>
                      <w:szCs w:val="21"/>
                      <w:highlight w:val="none"/>
                      <w:lang w:val="en-US" w:eastAsia="zh-CN"/>
                      <w14:textFill>
                        <w14:solidFill>
                          <w14:schemeClr w14:val="tx1"/>
                        </w14:solidFill>
                      </w14:textFill>
                    </w:rPr>
                    <w:t>SO</w:t>
                  </w:r>
                  <w:r>
                    <w:rPr>
                      <w:rFonts w:hint="default" w:cs="Times New Roman"/>
                      <w:snapToGrid/>
                      <w:color w:val="000000" w:themeColor="text1"/>
                      <w:kern w:val="2"/>
                      <w:sz w:val="21"/>
                      <w:szCs w:val="21"/>
                      <w:highlight w:val="none"/>
                      <w:vertAlign w:val="subscript"/>
                      <w:lang w:val="en-US" w:eastAsia="zh-CN"/>
                      <w14:textFill>
                        <w14:solidFill>
                          <w14:schemeClr w14:val="tx1"/>
                        </w14:solidFill>
                      </w14:textFill>
                    </w:rPr>
                    <w:t>4</w:t>
                  </w:r>
                  <w:r>
                    <w:rPr>
                      <w:rFonts w:hint="default" w:cs="Times New Roman"/>
                      <w:snapToGrid/>
                      <w:color w:val="000000" w:themeColor="text1"/>
                      <w:kern w:val="2"/>
                      <w:sz w:val="21"/>
                      <w:szCs w:val="21"/>
                      <w:highlight w:val="none"/>
                      <w:lang w:val="en-US" w:eastAsia="zh-CN"/>
                      <w14:textFill>
                        <w14:solidFill>
                          <w14:schemeClr w14:val="tx1"/>
                        </w14:solidFill>
                      </w14:textFill>
                    </w:rPr>
                    <w:t>，分子量为174.2</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cs="Times New Roman"/>
                      <w:snapToGrid/>
                      <w:color w:val="000000" w:themeColor="text1"/>
                      <w:kern w:val="2"/>
                      <w:sz w:val="21"/>
                      <w:szCs w:val="21"/>
                      <w:highlight w:val="none"/>
                      <w:lang w:val="en-US" w:eastAsia="zh-CN"/>
                      <w14:textFill>
                        <w14:solidFill>
                          <w14:schemeClr w14:val="tx1"/>
                        </w14:solidFill>
                      </w14:textFill>
                    </w:rPr>
                    <w:t>其通常情况下为无色晶体，味苦而咸</w:t>
                  </w:r>
                  <w:r>
                    <w:rPr>
                      <w:rFonts w:hint="eastAsia" w:cs="Times New Roman"/>
                      <w:snapToGrid/>
                      <w:color w:val="000000" w:themeColor="text1"/>
                      <w:kern w:val="2"/>
                      <w:sz w:val="21"/>
                      <w:szCs w:val="21"/>
                      <w:highlight w:val="none"/>
                      <w:lang w:val="en-US" w:eastAsia="zh-CN"/>
                      <w14:textFill>
                        <w14:solidFill>
                          <w14:schemeClr w14:val="tx1"/>
                        </w14:solidFill>
                      </w14:textFill>
                    </w:rPr>
                    <w:t>，</w:t>
                  </w:r>
                  <w:r>
                    <w:rPr>
                      <w:rFonts w:hint="default" w:cs="Times New Roman"/>
                      <w:snapToGrid/>
                      <w:color w:val="000000" w:themeColor="text1"/>
                      <w:kern w:val="2"/>
                      <w:sz w:val="21"/>
                      <w:szCs w:val="21"/>
                      <w:highlight w:val="none"/>
                      <w:lang w:val="en-US" w:eastAsia="zh-CN"/>
                      <w14:textFill>
                        <w14:solidFill>
                          <w14:schemeClr w14:val="tx1"/>
                        </w14:solidFill>
                      </w14:textFill>
                    </w:rPr>
                    <w:t>熔点为1069℃，密度是2.662g/cm</w:t>
                  </w:r>
                  <w:r>
                    <w:rPr>
                      <w:rFonts w:hint="default" w:cs="Times New Roman"/>
                      <w:snapToGrid/>
                      <w:color w:val="000000" w:themeColor="text1"/>
                      <w:kern w:val="2"/>
                      <w:sz w:val="21"/>
                      <w:szCs w:val="21"/>
                      <w:highlight w:val="none"/>
                      <w:vertAlign w:val="superscript"/>
                      <w:lang w:val="en-US" w:eastAsia="zh-CN"/>
                      <w14:textFill>
                        <w14:solidFill>
                          <w14:schemeClr w14:val="tx1"/>
                        </w14:solidFill>
                      </w14:textFill>
                    </w:rPr>
                    <w:t>3</w:t>
                  </w:r>
                  <w:r>
                    <w:rPr>
                      <w:rFonts w:hint="eastAsia" w:cs="Times New Roman"/>
                      <w:snapToGrid/>
                      <w:color w:val="000000" w:themeColor="text1"/>
                      <w:kern w:val="2"/>
                      <w:sz w:val="21"/>
                      <w:szCs w:val="21"/>
                      <w:highlight w:val="none"/>
                      <w:lang w:val="en-US" w:eastAsia="zh-CN"/>
                      <w14:textFill>
                        <w14:solidFill>
                          <w14:schemeClr w14:val="tx1"/>
                        </w14:solidFill>
                      </w14:textFill>
                    </w:rPr>
                    <w:t>；用途方面，硫酸钾是一种无氯、优质的高效钾肥，特别是在葡萄、甜菜、茶树、马铃薯、亚麻及各种果树等对氯敏感作物的种植中，是不可缺少的重要肥料。</w:t>
                  </w:r>
                </w:p>
              </w:tc>
            </w:tr>
            <w:tr w14:paraId="062F60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25" w:type="dxa"/>
                  <w:tcBorders>
                    <w:tl2br w:val="nil"/>
                    <w:tr2bl w:val="nil"/>
                  </w:tcBorders>
                  <w:vAlign w:val="center"/>
                </w:tcPr>
                <w:p w14:paraId="5CC6C7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snapToGrid/>
                      <w:color w:val="000000" w:themeColor="text1"/>
                      <w:kern w:val="2"/>
                      <w:sz w:val="21"/>
                      <w:szCs w:val="21"/>
                      <w:highlight w:val="none"/>
                      <w:lang w:val="en-US"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固体氢氧化钙</w:t>
                  </w:r>
                </w:p>
              </w:tc>
              <w:tc>
                <w:tcPr>
                  <w:tcW w:w="7020" w:type="dxa"/>
                  <w:tcBorders>
                    <w:tl2br w:val="nil"/>
                    <w:tr2bl w:val="nil"/>
                  </w:tcBorders>
                  <w:vAlign w:val="center"/>
                </w:tcPr>
                <w:p w14:paraId="3DD1EE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储能介质为</w:t>
                  </w:r>
                  <w:r>
                    <w:rPr>
                      <w:color w:val="000000" w:themeColor="text1"/>
                      <w:sz w:val="21"/>
                      <w:szCs w:val="21"/>
                      <w:highlight w:val="none"/>
                      <w14:textFill>
                        <w14:solidFill>
                          <w14:schemeClr w14:val="tx1"/>
                        </w14:solidFill>
                      </w14:textFill>
                    </w:rPr>
                    <w:t>氢氧化钙-氧化钙/水体系</w:t>
                  </w:r>
                  <w:r>
                    <w:rPr>
                      <w:rFonts w:hint="eastAsia"/>
                      <w:color w:val="000000" w:themeColor="text1"/>
                      <w:sz w:val="21"/>
                      <w:szCs w:val="21"/>
                      <w:highlight w:val="none"/>
                      <w:lang w:eastAsia="zh-CN"/>
                      <w14:textFill>
                        <w14:solidFill>
                          <w14:schemeClr w14:val="tx1"/>
                        </w14:solidFill>
                      </w14:textFill>
                    </w:rPr>
                    <w:t>。外界供热加热固体氢氧化钙，反应正向分解：</w:t>
                  </w:r>
                  <w:r>
                    <w:rPr>
                      <w:rFonts w:hint="eastAsia"/>
                      <w:color w:val="000000" w:themeColor="text1"/>
                      <w:position w:val="-16"/>
                      <w:sz w:val="21"/>
                      <w:szCs w:val="21"/>
                      <w:highlight w:val="none"/>
                      <w:lang w:eastAsia="zh-CN"/>
                      <w14:textFill>
                        <w14:solidFill>
                          <w14:schemeClr w14:val="tx1"/>
                        </w14:solidFill>
                      </w14:textFill>
                    </w:rPr>
                    <w:object>
                      <v:shape id="_x0000_i1025" o:spt="75" type="#_x0000_t75" style="height:20pt;width:137pt;" o:ole="t" filled="f" o:preferrelative="t" stroked="f" coordsize="21600,21600">
                        <v:path/>
                        <v:fill on="f" focussize="0,0"/>
                        <v:stroke on="f"/>
                        <v:imagedata r:id="rId8" o:title=""/>
                        <o:lock v:ext="edit" aspectratio="t"/>
                        <w10:wrap type="none"/>
                        <w10:anchorlock/>
                      </v:shape>
                      <o:OLEObject Type="Embed" ProgID="Equation.KSEE3" ShapeID="_x0000_i1025" DrawAspect="Content" ObjectID="_1468075725" r:id="rId7">
                        <o:LockedField>false</o:LockedField>
                      </o:OLEObject>
                    </w:object>
                  </w:r>
                  <w:r>
                    <w:rPr>
                      <w:rFonts w:hint="eastAsia"/>
                      <w:color w:val="000000" w:themeColor="text1"/>
                      <w:sz w:val="21"/>
                      <w:szCs w:val="21"/>
                      <w:highlight w:val="none"/>
                      <w:lang w:eastAsia="zh-CN"/>
                      <w14:textFill>
                        <w14:solidFill>
                          <w14:schemeClr w14:val="tx1"/>
                        </w14:solidFill>
                      </w14:textFill>
                    </w:rPr>
                    <w:t>，每摩尔反应吸收104kJ热量；</w:t>
                  </w:r>
                </w:p>
                <w:p w14:paraId="3C38C1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生石灰（</w:t>
                  </w:r>
                  <w:r>
                    <w:rPr>
                      <w:rFonts w:hint="eastAsia"/>
                      <w:color w:val="000000" w:themeColor="text1"/>
                      <w:sz w:val="21"/>
                      <w:szCs w:val="21"/>
                      <w:highlight w:val="none"/>
                      <w:lang w:val="en-US" w:eastAsia="zh-CN"/>
                      <w14:textFill>
                        <w14:solidFill>
                          <w14:schemeClr w14:val="tx1"/>
                        </w14:solidFill>
                      </w14:textFill>
                    </w:rPr>
                    <w:t>氧化钙</w:t>
                  </w:r>
                  <w:r>
                    <w:rPr>
                      <w:rFonts w:hint="eastAsia"/>
                      <w:color w:val="000000" w:themeColor="text1"/>
                      <w:sz w:val="21"/>
                      <w:szCs w:val="21"/>
                      <w:highlight w:val="none"/>
                      <w:lang w:eastAsia="zh-CN"/>
                      <w14:textFill>
                        <w14:solidFill>
                          <w14:schemeClr w14:val="tx1"/>
                        </w14:solidFill>
                      </w14:textFill>
                    </w:rPr>
                    <w:t>）和水重新混合接触，逆向化合反应自发进行：</w:t>
                  </w:r>
                </w:p>
                <w:p w14:paraId="40E88C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eastAsia="zh-CN"/>
                      <w14:textFill>
                        <w14:solidFill>
                          <w14:schemeClr w14:val="tx1"/>
                        </w14:solidFill>
                      </w14:textFill>
                    </w:rPr>
                  </w:pPr>
                  <w:r>
                    <w:rPr>
                      <w:rFonts w:hint="eastAsia"/>
                      <w:color w:val="000000" w:themeColor="text1"/>
                      <w:position w:val="-16"/>
                      <w:sz w:val="21"/>
                      <w:szCs w:val="21"/>
                      <w:highlight w:val="none"/>
                      <w:lang w:eastAsia="zh-CN"/>
                      <w14:textFill>
                        <w14:solidFill>
                          <w14:schemeClr w14:val="tx1"/>
                        </w14:solidFill>
                      </w14:textFill>
                    </w:rPr>
                    <w:object>
                      <v:shape id="_x0000_i1026" o:spt="75" type="#_x0000_t75" style="height:20pt;width:136pt;" o:ole="t" filled="f" o:preferrelative="t" stroked="f" coordsize="21600,21600">
                        <v:path/>
                        <v:fill on="f" focussize="0,0"/>
                        <v:stroke on="f"/>
                        <v:imagedata r:id="rId10" o:title=""/>
                        <o:lock v:ext="edit" aspectratio="t"/>
                        <w10:wrap type="none"/>
                        <w10:anchorlock/>
                      </v:shape>
                      <o:OLEObject Type="Embed" ProgID="Equation.KSEE3" ShapeID="_x0000_i1026" DrawAspect="Content" ObjectID="_1468075726" r:id="rId9">
                        <o:LockedField>false</o:LockedField>
                      </o:OLEObject>
                    </w:object>
                  </w:r>
                  <w:r>
                    <w:rPr>
                      <w:rFonts w:hint="eastAsia"/>
                      <w:color w:val="000000" w:themeColor="text1"/>
                      <w:sz w:val="21"/>
                      <w:szCs w:val="21"/>
                      <w:highlight w:val="none"/>
                      <w:lang w:eastAsia="zh-CN"/>
                      <w14:textFill>
                        <w14:solidFill>
                          <w14:schemeClr w14:val="tx1"/>
                        </w14:solidFill>
                      </w14:textFill>
                    </w:rPr>
                    <w:t>，每摩尔释</w:t>
                  </w:r>
                  <w:r>
                    <w:rPr>
                      <w:rFonts w:hint="default" w:ascii="Times New Roman" w:hAnsi="Times New Roman" w:cs="Times New Roman"/>
                      <w:color w:val="000000" w:themeColor="text1"/>
                      <w:sz w:val="21"/>
                      <w:szCs w:val="21"/>
                      <w:highlight w:val="none"/>
                      <w:lang w:eastAsia="zh-CN"/>
                      <w14:textFill>
                        <w14:solidFill>
                          <w14:schemeClr w14:val="tx1"/>
                        </w14:solidFill>
                      </w14:textFill>
                    </w:rPr>
                    <w:t>放104kJ热量</w:t>
                  </w:r>
                  <w:r>
                    <w:rPr>
                      <w:rFonts w:hint="eastAsia"/>
                      <w:color w:val="000000" w:themeColor="text1"/>
                      <w:sz w:val="21"/>
                      <w:szCs w:val="21"/>
                      <w:highlight w:val="none"/>
                      <w:lang w:eastAsia="zh-CN"/>
                      <w14:textFill>
                        <w14:solidFill>
                          <w14:schemeClr w14:val="tx1"/>
                        </w14:solidFill>
                      </w14:textFill>
                    </w:rPr>
                    <w:t>，产出高温热流体用于供暖</w:t>
                  </w:r>
                  <w:r>
                    <w:rPr>
                      <w:rFonts w:hint="eastAsia"/>
                      <w:color w:val="000000" w:themeColor="text1"/>
                      <w:sz w:val="21"/>
                      <w:szCs w:val="21"/>
                      <w:highlight w:val="none"/>
                      <w:lang w:val="en-US" w:eastAsia="zh-CN"/>
                      <w14:textFill>
                        <w14:solidFill>
                          <w14:schemeClr w14:val="tx1"/>
                        </w14:solidFill>
                      </w14:textFill>
                    </w:rPr>
                    <w:t>等</w:t>
                  </w:r>
                  <w:r>
                    <w:rPr>
                      <w:rFonts w:hint="eastAsia"/>
                      <w:color w:val="000000" w:themeColor="text1"/>
                      <w:sz w:val="21"/>
                      <w:szCs w:val="21"/>
                      <w:highlight w:val="none"/>
                      <w:lang w:eastAsia="zh-CN"/>
                      <w14:textFill>
                        <w14:solidFill>
                          <w14:schemeClr w14:val="tx1"/>
                        </w14:solidFill>
                      </w14:textFill>
                    </w:rPr>
                    <w:t>；反应产物变回氢氧化钙，可再次加热循环储热。</w:t>
                  </w:r>
                </w:p>
                <w:p w14:paraId="5AB3EA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氢氧化钙：（英文名称：Calcium Hydroxide），俗称熟石灰或消石灰，无机碱类化合物，化学式为Ca（OH）</w:t>
                  </w:r>
                  <w:r>
                    <w:rPr>
                      <w:rFonts w:hint="eastAsia"/>
                      <w:color w:val="000000" w:themeColor="text1"/>
                      <w:sz w:val="21"/>
                      <w:szCs w:val="21"/>
                      <w:highlight w:val="none"/>
                      <w:vertAlign w:val="subscript"/>
                      <w:lang w:eastAsia="zh-CN"/>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，分子量74.09。常温下白色粉末状固体，密度约2.24g/cm</w:t>
                  </w:r>
                  <w:r>
                    <w:rPr>
                      <w:rFonts w:hint="eastAsia"/>
                      <w:color w:val="000000" w:themeColor="text1"/>
                      <w:sz w:val="21"/>
                      <w:szCs w:val="21"/>
                      <w:highlight w:val="none"/>
                      <w:vertAlign w:val="superscript"/>
                      <w:lang w:eastAsia="zh-CN"/>
                      <w14:textFill>
                        <w14:solidFill>
                          <w14:schemeClr w14:val="tx1"/>
                        </w14:solidFill>
                      </w14:textFill>
                    </w:rPr>
                    <w:t>3</w:t>
                  </w:r>
                  <w:r>
                    <w:rPr>
                      <w:rFonts w:hint="eastAsia"/>
                      <w:color w:val="000000" w:themeColor="text1"/>
                      <w:sz w:val="21"/>
                      <w:szCs w:val="21"/>
                      <w:highlight w:val="none"/>
                      <w:lang w:eastAsia="zh-CN"/>
                      <w14:textFill>
                        <w14:solidFill>
                          <w14:schemeClr w14:val="tx1"/>
                        </w14:solidFill>
                      </w14:textFill>
                    </w:rPr>
                    <w:t>，难溶于水（1.73g/L，20℃），不溶于醇，溶于甘油和酸，溶于酸时放出大量热。氢氧化钙饱和</w:t>
                  </w:r>
                  <w:r>
                    <w:rPr>
                      <w:rFonts w:hint="eastAsia"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t>水溶液pH为12.4（25℃）。氢氧化钙580℃时分解为氧化钙和水，与酸、酸性氧化物作用可生成相应酸的盐和水，与盐类反应，生成新盐和新碱、碱性氧化物或氨气</w:t>
                  </w:r>
                  <w:r>
                    <w:rPr>
                      <w:rFonts w:hint="eastAsia" w:cs="Times New Roman"/>
                      <w:snapToGrid/>
                      <w:color w:val="000000" w:themeColor="text1"/>
                      <w:kern w:val="2"/>
                      <w:sz w:val="21"/>
                      <w:szCs w:val="21"/>
                      <w:highlight w:val="none"/>
                      <w:lang w:eastAsia="zh-CN"/>
                      <w14:textFill>
                        <w14:solidFill>
                          <w14:schemeClr w14:val="tx1"/>
                        </w14:solidFill>
                      </w14:textFill>
                    </w:rPr>
                    <w:t>。</w:t>
                  </w:r>
                </w:p>
              </w:tc>
            </w:tr>
          </w:tbl>
          <w:p w14:paraId="5FBC3CDE">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（2）产品</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及副产品</w:t>
            </w:r>
            <w:r>
              <w:rPr>
                <w:rFonts w:hint="eastAsia" w:cs="Times New Roman"/>
                <w:b w:val="0"/>
                <w:bCs w:val="0"/>
                <w:color w:val="000000" w:themeColor="text1"/>
                <w:sz w:val="24"/>
                <w:szCs w:val="24"/>
                <w:highlight w:val="none"/>
                <w:lang w:val="en-US" w:eastAsia="zh-CN"/>
                <w14:textFill>
                  <w14:solidFill>
                    <w14:schemeClr w14:val="tx1"/>
                  </w14:solidFill>
                </w14:textFill>
              </w:rPr>
              <w:t>成分分析</w:t>
            </w:r>
          </w:p>
          <w:p w14:paraId="034D2C73">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①有机肥</w:t>
            </w:r>
            <w:r>
              <w:rPr>
                <w:rFonts w:hint="eastAsia" w:cs="Times New Roman"/>
                <w:b w:val="0"/>
                <w:bCs w:val="0"/>
                <w:color w:val="000000" w:themeColor="text1"/>
                <w:sz w:val="24"/>
                <w:szCs w:val="24"/>
                <w:highlight w:val="none"/>
                <w:lang w:val="en-US" w:eastAsia="zh-CN"/>
                <w14:textFill>
                  <w14:solidFill>
                    <w14:schemeClr w14:val="tx1"/>
                  </w14:solidFill>
                </w14:textFill>
              </w:rPr>
              <w:t>成分分析</w:t>
            </w:r>
          </w:p>
          <w:p w14:paraId="5A814726">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根据</w:t>
            </w:r>
            <w:r>
              <w:rPr>
                <w:rFonts w:hint="eastAsia" w:ascii="Times New Roman" w:hAnsi="Times New Roman" w:eastAsia="宋体" w:cs="Times New Roman"/>
                <w:b w:val="0"/>
                <w:bCs w:val="0"/>
                <w:color w:val="000000" w:themeColor="text1"/>
                <w:sz w:val="24"/>
                <w:szCs w:val="24"/>
                <w:vertAlign w:val="baseline"/>
                <w:lang w:val="en-US" w:eastAsia="zh-CN"/>
                <w14:textFill>
                  <w14:solidFill>
                    <w14:schemeClr w14:val="tx1"/>
                  </w14:solidFill>
                </w14:textFill>
              </w:rPr>
              <w:t>《有机肥料》（NY/T525-2021）</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，产品标准见表2-</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8</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w:t>
            </w:r>
          </w:p>
          <w:p w14:paraId="7560AB08">
            <w:pPr>
              <w:adjustRightInd w:val="0"/>
              <w:snapToGrid w:val="0"/>
              <w:jc w:val="cente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2-</w:t>
            </w:r>
            <w:r>
              <w:rPr>
                <w:rFonts w:hint="eastAsia" w:cs="Times New Roman"/>
                <w:b/>
                <w:color w:val="000000" w:themeColor="text1"/>
                <w:kern w:val="2"/>
                <w:sz w:val="21"/>
                <w:szCs w:val="21"/>
                <w:highlight w:val="none"/>
                <w:lang w:val="en-US" w:eastAsia="zh-CN"/>
                <w14:textFill>
                  <w14:solidFill>
                    <w14:schemeClr w14:val="tx1"/>
                  </w14:solidFill>
                </w14:textFill>
              </w:rPr>
              <w:t>8</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有机肥料产品标准限值</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018"/>
              <w:gridCol w:w="857"/>
              <w:gridCol w:w="3070"/>
            </w:tblGrid>
            <w:tr w14:paraId="093CD7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2193EF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项目</w:t>
                  </w:r>
                </w:p>
              </w:tc>
              <w:tc>
                <w:tcPr>
                  <w:tcW w:w="857" w:type="dxa"/>
                  <w:tcBorders>
                    <w:tl2br w:val="nil"/>
                    <w:tr2bl w:val="nil"/>
                  </w:tcBorders>
                  <w:vAlign w:val="center"/>
                </w:tcPr>
                <w:p w14:paraId="0355B1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指标</w:t>
                  </w:r>
                </w:p>
              </w:tc>
              <w:tc>
                <w:tcPr>
                  <w:tcW w:w="3070" w:type="dxa"/>
                  <w:tcBorders>
                    <w:tl2br w:val="nil"/>
                    <w:tr2bl w:val="nil"/>
                  </w:tcBorders>
                  <w:vAlign w:val="center"/>
                </w:tcPr>
                <w:p w14:paraId="4C5AD4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检测方法</w:t>
                  </w:r>
                </w:p>
              </w:tc>
            </w:tr>
            <w:tr w14:paraId="29096F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1D5B8C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有机质的质量分数（以烘干基计），%</w:t>
                  </w:r>
                </w:p>
              </w:tc>
              <w:tc>
                <w:tcPr>
                  <w:tcW w:w="857" w:type="dxa"/>
                  <w:tcBorders>
                    <w:tl2br w:val="nil"/>
                    <w:tr2bl w:val="nil"/>
                  </w:tcBorders>
                  <w:vAlign w:val="center"/>
                </w:tcPr>
                <w:p w14:paraId="5CA765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≥30</w:t>
                  </w:r>
                </w:p>
              </w:tc>
              <w:tc>
                <w:tcPr>
                  <w:tcW w:w="3070" w:type="dxa"/>
                  <w:tcBorders>
                    <w:tl2br w:val="nil"/>
                    <w:tr2bl w:val="nil"/>
                  </w:tcBorders>
                  <w:vAlign w:val="center"/>
                </w:tcPr>
                <w:p w14:paraId="47F3A1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按照附录C的规定执行</w:t>
                  </w:r>
                </w:p>
              </w:tc>
            </w:tr>
            <w:tr w14:paraId="1C74AF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4BCF32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总养分（N+P</w:t>
                  </w:r>
                  <w:r>
                    <w:rPr>
                      <w:rFonts w:hint="eastAsia" w:ascii="Times New Roman" w:hAnsi="Times New Roman" w:eastAsia="宋体" w:cs="Times New Roman"/>
                      <w:snapToGrid/>
                      <w:color w:val="000000" w:themeColor="text1"/>
                      <w:kern w:val="2"/>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O</w:t>
                  </w:r>
                  <w:r>
                    <w:rPr>
                      <w:rFonts w:hint="eastAsia" w:ascii="Times New Roman" w:hAnsi="Times New Roman" w:eastAsia="宋体" w:cs="Times New Roman"/>
                      <w:snapToGrid/>
                      <w:color w:val="000000" w:themeColor="text1"/>
                      <w:kern w:val="2"/>
                      <w:sz w:val="21"/>
                      <w:szCs w:val="21"/>
                      <w:highlight w:val="none"/>
                      <w:vertAlign w:val="subscript"/>
                      <w:lang w:val="en-US" w:eastAsia="zh-CN"/>
                      <w14:textFill>
                        <w14:solidFill>
                          <w14:schemeClr w14:val="tx1"/>
                        </w14:solidFill>
                      </w14:textFill>
                    </w:rPr>
                    <w:t>5</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+K</w:t>
                  </w:r>
                  <w:r>
                    <w:rPr>
                      <w:rFonts w:hint="eastAsia" w:ascii="Times New Roman" w:hAnsi="Times New Roman" w:eastAsia="宋体" w:cs="Times New Roman"/>
                      <w:snapToGrid/>
                      <w:color w:val="000000" w:themeColor="text1"/>
                      <w:kern w:val="2"/>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O）的质量分数（以烘干基计），%</w:t>
                  </w:r>
                </w:p>
              </w:tc>
              <w:tc>
                <w:tcPr>
                  <w:tcW w:w="857" w:type="dxa"/>
                  <w:tcBorders>
                    <w:tl2br w:val="nil"/>
                    <w:tr2bl w:val="nil"/>
                  </w:tcBorders>
                  <w:vAlign w:val="center"/>
                </w:tcPr>
                <w:p w14:paraId="5759FC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≥4.0</w:t>
                  </w:r>
                </w:p>
              </w:tc>
              <w:tc>
                <w:tcPr>
                  <w:tcW w:w="3070" w:type="dxa"/>
                  <w:tcBorders>
                    <w:tl2br w:val="nil"/>
                    <w:tr2bl w:val="nil"/>
                  </w:tcBorders>
                  <w:vAlign w:val="center"/>
                </w:tcPr>
                <w:p w14:paraId="503A18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按照附录D的规定执行</w:t>
                  </w:r>
                </w:p>
              </w:tc>
            </w:tr>
            <w:tr w14:paraId="39A0EAB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47CA8D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水分（鲜样）的质量分数，%</w:t>
                  </w:r>
                </w:p>
              </w:tc>
              <w:tc>
                <w:tcPr>
                  <w:tcW w:w="857" w:type="dxa"/>
                  <w:tcBorders>
                    <w:tl2br w:val="nil"/>
                    <w:tr2bl w:val="nil"/>
                  </w:tcBorders>
                  <w:vAlign w:val="center"/>
                </w:tcPr>
                <w:p w14:paraId="7962AE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≤30</w:t>
                  </w:r>
                </w:p>
              </w:tc>
              <w:tc>
                <w:tcPr>
                  <w:tcW w:w="3070" w:type="dxa"/>
                  <w:tcBorders>
                    <w:tl2br w:val="nil"/>
                    <w:tr2bl w:val="nil"/>
                  </w:tcBorders>
                  <w:vAlign w:val="center"/>
                </w:tcPr>
                <w:p w14:paraId="7A218E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按照GB/T 8576的规定执行</w:t>
                  </w:r>
                </w:p>
              </w:tc>
            </w:tr>
            <w:tr w14:paraId="1F40AC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3033F2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酸碱度（pH）</w:t>
                  </w:r>
                </w:p>
              </w:tc>
              <w:tc>
                <w:tcPr>
                  <w:tcW w:w="857" w:type="dxa"/>
                  <w:tcBorders>
                    <w:tl2br w:val="nil"/>
                    <w:tr2bl w:val="nil"/>
                  </w:tcBorders>
                  <w:vAlign w:val="center"/>
                </w:tcPr>
                <w:p w14:paraId="3C9E0C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5.5～8.5</w:t>
                  </w:r>
                </w:p>
              </w:tc>
              <w:tc>
                <w:tcPr>
                  <w:tcW w:w="3070" w:type="dxa"/>
                  <w:tcBorders>
                    <w:tl2br w:val="nil"/>
                    <w:tr2bl w:val="nil"/>
                  </w:tcBorders>
                  <w:vAlign w:val="center"/>
                </w:tcPr>
                <w:p w14:paraId="1D08B0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按照附录E的规定执行</w:t>
                  </w:r>
                </w:p>
              </w:tc>
            </w:tr>
            <w:tr w14:paraId="086A28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0774B5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种子发芽指数（GI），%</w:t>
                  </w:r>
                </w:p>
              </w:tc>
              <w:tc>
                <w:tcPr>
                  <w:tcW w:w="857" w:type="dxa"/>
                  <w:tcBorders>
                    <w:tl2br w:val="nil"/>
                    <w:tr2bl w:val="nil"/>
                  </w:tcBorders>
                  <w:vAlign w:val="center"/>
                </w:tcPr>
                <w:p w14:paraId="0E77FC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≥70</w:t>
                  </w:r>
                </w:p>
              </w:tc>
              <w:tc>
                <w:tcPr>
                  <w:tcW w:w="3070" w:type="dxa"/>
                  <w:tcBorders>
                    <w:tl2br w:val="nil"/>
                    <w:tr2bl w:val="nil"/>
                  </w:tcBorders>
                  <w:vAlign w:val="center"/>
                </w:tcPr>
                <w:p w14:paraId="7F04CC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按照附录F的规定执行</w:t>
                  </w:r>
                </w:p>
              </w:tc>
            </w:tr>
            <w:tr w14:paraId="2C09F8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77D31C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机械杂质的质量分数，%</w:t>
                  </w:r>
                </w:p>
              </w:tc>
              <w:tc>
                <w:tcPr>
                  <w:tcW w:w="857" w:type="dxa"/>
                  <w:tcBorders>
                    <w:tl2br w:val="nil"/>
                    <w:tr2bl w:val="nil"/>
                  </w:tcBorders>
                  <w:vAlign w:val="center"/>
                </w:tcPr>
                <w:p w14:paraId="11168A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≤0.5</w:t>
                  </w:r>
                </w:p>
              </w:tc>
              <w:tc>
                <w:tcPr>
                  <w:tcW w:w="3070" w:type="dxa"/>
                  <w:tcBorders>
                    <w:tl2br w:val="nil"/>
                    <w:tr2bl w:val="nil"/>
                  </w:tcBorders>
                  <w:vAlign w:val="center"/>
                </w:tcPr>
                <w:p w14:paraId="11313F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按照附录G的规定执行</w:t>
                  </w:r>
                </w:p>
              </w:tc>
            </w:tr>
            <w:tr w14:paraId="035AD6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6DB732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总砷（As），mg/kg</w:t>
                  </w:r>
                </w:p>
              </w:tc>
              <w:tc>
                <w:tcPr>
                  <w:tcW w:w="857" w:type="dxa"/>
                  <w:tcBorders>
                    <w:tl2br w:val="nil"/>
                    <w:tr2bl w:val="nil"/>
                  </w:tcBorders>
                  <w:vAlign w:val="center"/>
                </w:tcPr>
                <w:p w14:paraId="74A9E1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≤15</w:t>
                  </w:r>
                </w:p>
              </w:tc>
              <w:tc>
                <w:tcPr>
                  <w:tcW w:w="3070" w:type="dxa"/>
                  <w:vMerge w:val="restart"/>
                  <w:tcBorders>
                    <w:tl2br w:val="nil"/>
                    <w:tr2bl w:val="nil"/>
                  </w:tcBorders>
                  <w:vAlign w:val="center"/>
                </w:tcPr>
                <w:p w14:paraId="685A73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按照NY/T 1978的规定执行，以烘干基计算</w:t>
                  </w:r>
                </w:p>
              </w:tc>
            </w:tr>
            <w:tr w14:paraId="5C2DCA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43D7CA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总汞（Hg），mg/kg</w:t>
                  </w:r>
                </w:p>
              </w:tc>
              <w:tc>
                <w:tcPr>
                  <w:tcW w:w="857" w:type="dxa"/>
                  <w:tcBorders>
                    <w:tl2br w:val="nil"/>
                    <w:tr2bl w:val="nil"/>
                  </w:tcBorders>
                  <w:vAlign w:val="center"/>
                </w:tcPr>
                <w:p w14:paraId="0F3BC9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w:t>
                  </w:r>
                </w:p>
              </w:tc>
              <w:tc>
                <w:tcPr>
                  <w:tcW w:w="3070" w:type="dxa"/>
                  <w:vMerge w:val="continue"/>
                  <w:tcBorders>
                    <w:tl2br w:val="nil"/>
                    <w:tr2bl w:val="nil"/>
                  </w:tcBorders>
                  <w:vAlign w:val="center"/>
                </w:tcPr>
                <w:p w14:paraId="37EB12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r>
            <w:tr w14:paraId="09288F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791EFE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总铅（Pb），mg/kg</w:t>
                  </w:r>
                </w:p>
              </w:tc>
              <w:tc>
                <w:tcPr>
                  <w:tcW w:w="857" w:type="dxa"/>
                  <w:tcBorders>
                    <w:tl2br w:val="nil"/>
                    <w:tr2bl w:val="nil"/>
                  </w:tcBorders>
                  <w:vAlign w:val="center"/>
                </w:tcPr>
                <w:p w14:paraId="4AF155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≤50</w:t>
                  </w:r>
                </w:p>
              </w:tc>
              <w:tc>
                <w:tcPr>
                  <w:tcW w:w="3070" w:type="dxa"/>
                  <w:vMerge w:val="continue"/>
                  <w:tcBorders>
                    <w:tl2br w:val="nil"/>
                    <w:tr2bl w:val="nil"/>
                  </w:tcBorders>
                  <w:vAlign w:val="center"/>
                </w:tcPr>
                <w:p w14:paraId="6B8E0E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r>
            <w:tr w14:paraId="581C78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13A1C4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总镉（Cd），mg/kg</w:t>
                  </w:r>
                </w:p>
              </w:tc>
              <w:tc>
                <w:tcPr>
                  <w:tcW w:w="857" w:type="dxa"/>
                  <w:tcBorders>
                    <w:tl2br w:val="nil"/>
                    <w:tr2bl w:val="nil"/>
                  </w:tcBorders>
                  <w:vAlign w:val="center"/>
                </w:tcPr>
                <w:p w14:paraId="2CF608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≤3</w:t>
                  </w:r>
                </w:p>
              </w:tc>
              <w:tc>
                <w:tcPr>
                  <w:tcW w:w="3070" w:type="dxa"/>
                  <w:vMerge w:val="continue"/>
                  <w:tcBorders>
                    <w:tl2br w:val="nil"/>
                    <w:tr2bl w:val="nil"/>
                  </w:tcBorders>
                  <w:vAlign w:val="center"/>
                </w:tcPr>
                <w:p w14:paraId="203B04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r>
            <w:tr w14:paraId="6F8CE4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136329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总铬（Cr），mg/kg</w:t>
                  </w:r>
                </w:p>
              </w:tc>
              <w:tc>
                <w:tcPr>
                  <w:tcW w:w="857" w:type="dxa"/>
                  <w:tcBorders>
                    <w:tl2br w:val="nil"/>
                    <w:tr2bl w:val="nil"/>
                  </w:tcBorders>
                  <w:vAlign w:val="center"/>
                </w:tcPr>
                <w:p w14:paraId="2A47DF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≤150</w:t>
                  </w:r>
                </w:p>
              </w:tc>
              <w:tc>
                <w:tcPr>
                  <w:tcW w:w="3070" w:type="dxa"/>
                  <w:vMerge w:val="continue"/>
                  <w:tcBorders>
                    <w:tl2br w:val="nil"/>
                    <w:tr2bl w:val="nil"/>
                  </w:tcBorders>
                  <w:vAlign w:val="center"/>
                </w:tcPr>
                <w:p w14:paraId="4950DB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p>
              </w:tc>
            </w:tr>
            <w:tr w14:paraId="379EA0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035AB2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粪大肠菌群数，个/g</w:t>
                  </w:r>
                </w:p>
              </w:tc>
              <w:tc>
                <w:tcPr>
                  <w:tcW w:w="857" w:type="dxa"/>
                  <w:tcBorders>
                    <w:tl2br w:val="nil"/>
                    <w:tr2bl w:val="nil"/>
                  </w:tcBorders>
                  <w:vAlign w:val="center"/>
                </w:tcPr>
                <w:p w14:paraId="7FA46D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≤100</w:t>
                  </w:r>
                </w:p>
              </w:tc>
              <w:tc>
                <w:tcPr>
                  <w:tcW w:w="3070" w:type="dxa"/>
                  <w:tcBorders>
                    <w:tl2br w:val="nil"/>
                    <w:tr2bl w:val="nil"/>
                  </w:tcBorders>
                  <w:vAlign w:val="center"/>
                </w:tcPr>
                <w:p w14:paraId="36C7AE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按照GB/T 19524.1的规定执行</w:t>
                  </w:r>
                </w:p>
              </w:tc>
            </w:tr>
            <w:tr w14:paraId="180AAD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344A68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蛔虫卵死亡率，%</w:t>
                  </w:r>
                </w:p>
              </w:tc>
              <w:tc>
                <w:tcPr>
                  <w:tcW w:w="857" w:type="dxa"/>
                  <w:tcBorders>
                    <w:tl2br w:val="nil"/>
                    <w:tr2bl w:val="nil"/>
                  </w:tcBorders>
                  <w:vAlign w:val="center"/>
                </w:tcPr>
                <w:p w14:paraId="32FCD8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≥95</w:t>
                  </w:r>
                </w:p>
              </w:tc>
              <w:tc>
                <w:tcPr>
                  <w:tcW w:w="3070" w:type="dxa"/>
                  <w:tcBorders>
                    <w:tl2br w:val="nil"/>
                    <w:tr2bl w:val="nil"/>
                  </w:tcBorders>
                  <w:vAlign w:val="center"/>
                </w:tcPr>
                <w:p w14:paraId="667580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按照GB/T 19524.2的规定执行</w:t>
                  </w:r>
                </w:p>
              </w:tc>
            </w:tr>
            <w:tr w14:paraId="4630DA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6F6A91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氯离子的质量分数，%</w:t>
                  </w:r>
                </w:p>
              </w:tc>
              <w:tc>
                <w:tcPr>
                  <w:tcW w:w="857" w:type="dxa"/>
                  <w:tcBorders>
                    <w:tl2br w:val="nil"/>
                    <w:tr2bl w:val="nil"/>
                  </w:tcBorders>
                  <w:vAlign w:val="center"/>
                </w:tcPr>
                <w:p w14:paraId="7703B6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3070" w:type="dxa"/>
                  <w:tcBorders>
                    <w:tl2br w:val="nil"/>
                    <w:tr2bl w:val="nil"/>
                  </w:tcBorders>
                  <w:vAlign w:val="center"/>
                </w:tcPr>
                <w:p w14:paraId="64AFCB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按照GB/T 15063—2020附录B 的规定执行</w:t>
                  </w:r>
                </w:p>
              </w:tc>
            </w:tr>
            <w:tr w14:paraId="0033F6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018" w:type="dxa"/>
                  <w:tcBorders>
                    <w:tl2br w:val="nil"/>
                    <w:tr2bl w:val="nil"/>
                  </w:tcBorders>
                  <w:vAlign w:val="center"/>
                </w:tcPr>
                <w:p w14:paraId="28F6F3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杂草种子活性，株/kg</w:t>
                  </w:r>
                </w:p>
              </w:tc>
              <w:tc>
                <w:tcPr>
                  <w:tcW w:w="857" w:type="dxa"/>
                  <w:tcBorders>
                    <w:tl2br w:val="nil"/>
                    <w:tr2bl w:val="nil"/>
                  </w:tcBorders>
                  <w:vAlign w:val="center"/>
                </w:tcPr>
                <w:p w14:paraId="2F812D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3070" w:type="dxa"/>
                  <w:tcBorders>
                    <w:tl2br w:val="nil"/>
                    <w:tr2bl w:val="nil"/>
                  </w:tcBorders>
                  <w:vAlign w:val="center"/>
                </w:tcPr>
                <w:p w14:paraId="25769F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按照附录H的规定执行</w:t>
                  </w:r>
                </w:p>
              </w:tc>
            </w:tr>
          </w:tbl>
          <w:p w14:paraId="421A368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②木醋液成分分析</w:t>
            </w:r>
          </w:p>
          <w:p w14:paraId="71BAEED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参考《木醋液的成分分析》</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广州化学2006年9月</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中相关数据，木醋液中有机物质的含量主要为</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乙酸</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C</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H</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50.3%、羟基丙酮</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C</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H</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10%、呋喃甲醛</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C</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H</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4.21%、丙酸</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C</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H</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2.39%、苯酚</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C</w:t>
            </w:r>
            <w:r>
              <w:rPr>
                <w:rFonts w:hint="eastAsia" w:cs="Times New Roman"/>
                <w:color w:val="000000" w:themeColor="text1"/>
                <w:sz w:val="24"/>
                <w:szCs w:val="24"/>
                <w:highlight w:val="none"/>
                <w:vertAlign w:val="subscript"/>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H</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6</w:t>
            </w:r>
            <w:r>
              <w:rPr>
                <w:rFonts w:hint="eastAsia" w:cs="Times New Roman"/>
                <w:color w:val="000000" w:themeColor="text1"/>
                <w:sz w:val="24"/>
                <w:szCs w:val="24"/>
                <w:highlight w:val="none"/>
                <w:vertAlign w:val="baseline"/>
                <w:lang w:val="en-US" w:eastAsia="zh-CN"/>
                <w14:textFill>
                  <w14:solidFill>
                    <w14:schemeClr w14:val="tx1"/>
                  </w14:solidFill>
                </w14:textFill>
              </w:rPr>
              <w:t>O</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3.92%、邻苯二酚</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CH</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3.41%、对甲氧基苯酚</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CH</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8</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1.81%等。</w:t>
            </w:r>
          </w:p>
          <w:p w14:paraId="4BA8202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木醋液可预防种子的立枯病，也可用作土壤的消毒剂，有效抑制有碍植物生长的微</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生物类的繁殖，并能杀死根瘤线虫等害虫等。一般木醋液：农业用，饲料用，工业，商业用。</w:t>
            </w:r>
          </w:p>
          <w:p w14:paraId="48F4546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③木焦油成分分析</w:t>
            </w:r>
          </w:p>
          <w:p w14:paraId="5A7BC18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主要</w:t>
            </w:r>
            <w:r>
              <w:rPr>
                <w:rFonts w:hint="eastAsia" w:cs="Times New Roman"/>
                <w:color w:val="000000" w:themeColor="text1"/>
                <w:sz w:val="24"/>
                <w:szCs w:val="24"/>
                <w:highlight w:val="none"/>
                <w:lang w:val="en-US" w:eastAsia="zh-CN"/>
                <w14:textFill>
                  <w14:solidFill>
                    <w14:schemeClr w14:val="tx1"/>
                  </w14:solidFill>
                </w14:textFill>
              </w:rPr>
              <w:t>成分</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为愈创木酚、木馏油酚、苯酚、邻甲酚、对甲酚、4-乙基愈创木酚这六种成分占75%以上，其他还有二甲苯酚等</w:t>
            </w:r>
            <w:r>
              <w:rPr>
                <w:rFonts w:hint="eastAsia" w:cs="Times New Roman"/>
                <w:color w:val="000000" w:themeColor="text1"/>
                <w:sz w:val="24"/>
                <w:szCs w:val="24"/>
                <w:highlight w:val="none"/>
                <w:lang w:val="en-US" w:eastAsia="zh-CN"/>
                <w14:textFill>
                  <w14:solidFill>
                    <w14:schemeClr w14:val="tx1"/>
                  </w14:solidFill>
                </w14:textFill>
              </w:rPr>
              <w:t>，不含苯并芘</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。作用与酚相似，但其毒性与刺激性均较小。有杀菌、防腐、除臭作用。主要用于木材防腐，能破坏、杀死细胞。</w:t>
            </w:r>
          </w:p>
          <w:p w14:paraId="04C1E05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④氧化钙</w:t>
            </w:r>
            <w:r>
              <w:rPr>
                <w:rFonts w:hint="eastAsia" w:cs="Times New Roman"/>
                <w:color w:val="000000" w:themeColor="text1"/>
                <w:sz w:val="24"/>
                <w:szCs w:val="24"/>
                <w:highlight w:val="none"/>
                <w:lang w:val="en-US" w:eastAsia="zh-CN"/>
                <w14:textFill>
                  <w14:solidFill>
                    <w14:schemeClr w14:val="tx1"/>
                  </w14:solidFill>
                </w14:textFill>
              </w:rPr>
              <w:t>（储能介质）</w:t>
            </w:r>
          </w:p>
          <w:p w14:paraId="32AA294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center"/>
              <w:textAlignment w:val="auto"/>
              <w:rPr>
                <w:rFonts w:hint="eastAsia"/>
                <w:color w:val="000000" w:themeColor="text1"/>
                <w:sz w:val="24"/>
                <w:szCs w:val="24"/>
                <w:highlight w:val="none"/>
                <w:lang w:eastAsia="zh-CN"/>
                <w14:textFill>
                  <w14:solidFill>
                    <w14:schemeClr w14:val="tx1"/>
                  </w14:solidFill>
                </w14:textFill>
              </w:rPr>
            </w:pPr>
            <w:r>
              <w:rPr>
                <w:rFonts w:hint="eastAsia" w:cs="Times New Roman"/>
                <w:snapToGrid/>
                <w:color w:val="000000" w:themeColor="text1"/>
                <w:kern w:val="2"/>
                <w:sz w:val="24"/>
                <w:szCs w:val="24"/>
                <w:highlight w:val="none"/>
                <w:lang w:val="en-US" w:eastAsia="zh-CN"/>
                <w14:textFill>
                  <w14:solidFill>
                    <w14:schemeClr w14:val="tx1"/>
                  </w14:solidFill>
                </w14:textFill>
              </w:rPr>
              <w:t>本项目</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储能介质为</w:t>
            </w:r>
            <w:r>
              <w:rPr>
                <w:color w:val="000000" w:themeColor="text1"/>
                <w:sz w:val="24"/>
                <w:szCs w:val="24"/>
                <w:highlight w:val="none"/>
                <w14:textFill>
                  <w14:solidFill>
                    <w14:schemeClr w14:val="tx1"/>
                  </w14:solidFill>
                </w14:textFill>
              </w:rPr>
              <w:t>氢氧化钙-氧化钙/水体系</w:t>
            </w:r>
            <w:r>
              <w:rPr>
                <w:rFonts w:hint="eastAsia"/>
                <w:color w:val="000000" w:themeColor="text1"/>
                <w:sz w:val="24"/>
                <w:szCs w:val="24"/>
                <w:highlight w:val="none"/>
                <w:lang w:eastAsia="zh-CN"/>
                <w14:textFill>
                  <w14:solidFill>
                    <w14:schemeClr w14:val="tx1"/>
                  </w14:solidFill>
                </w14:textFill>
              </w:rPr>
              <w:t>。外界供热加热固体氢氧化钙，反应正向分解：</w:t>
            </w:r>
            <w:r>
              <w:rPr>
                <w:rFonts w:hint="eastAsia"/>
                <w:color w:val="000000" w:themeColor="text1"/>
                <w:position w:val="-16"/>
                <w:sz w:val="24"/>
                <w:szCs w:val="24"/>
                <w:highlight w:val="none"/>
                <w:lang w:eastAsia="zh-CN"/>
                <w14:textFill>
                  <w14:solidFill>
                    <w14:schemeClr w14:val="tx1"/>
                  </w14:solidFill>
                </w14:textFill>
              </w:rPr>
              <w:object>
                <v:shape id="_x0000_i1027" o:spt="75" type="#_x0000_t75" style="height:20pt;width:137pt;" o:ole="t" filled="f" o:preferrelative="t" stroked="f" coordsize="21600,21600">
                  <v:path/>
                  <v:fill on="f" focussize="0,0"/>
                  <v:stroke on="f"/>
                  <v:imagedata r:id="rId8" o:title=""/>
                  <o:lock v:ext="edit" aspectratio="t"/>
                  <w10:wrap type="none"/>
                  <w10:anchorlock/>
                </v:shape>
                <o:OLEObject Type="Embed" ProgID="Equation.KSEE3" ShapeID="_x0000_i1027" DrawAspect="Content" ObjectID="_1468075727" r:id="rId11">
                  <o:LockedField>false</o:LockedField>
                </o:OLEObject>
              </w:object>
            </w:r>
            <w:r>
              <w:rPr>
                <w:rFonts w:hint="eastAsia"/>
                <w:color w:val="000000" w:themeColor="text1"/>
                <w:sz w:val="24"/>
                <w:szCs w:val="24"/>
                <w:highlight w:val="none"/>
                <w:lang w:eastAsia="zh-CN"/>
                <w14:textFill>
                  <w14:solidFill>
                    <w14:schemeClr w14:val="tx1"/>
                  </w14:solidFill>
                </w14:textFill>
              </w:rPr>
              <w:t>，每摩尔反应吸收104kJ热量；</w:t>
            </w:r>
          </w:p>
          <w:p w14:paraId="694145AF">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生石灰（</w:t>
            </w:r>
            <w:r>
              <w:rPr>
                <w:rFonts w:hint="eastAsia"/>
                <w:color w:val="000000" w:themeColor="text1"/>
                <w:sz w:val="24"/>
                <w:szCs w:val="24"/>
                <w:highlight w:val="none"/>
                <w:lang w:val="en-US" w:eastAsia="zh-CN"/>
                <w14:textFill>
                  <w14:solidFill>
                    <w14:schemeClr w14:val="tx1"/>
                  </w14:solidFill>
                </w14:textFill>
              </w:rPr>
              <w:t>氧化钙</w:t>
            </w:r>
            <w:r>
              <w:rPr>
                <w:rFonts w:hint="eastAsia"/>
                <w:color w:val="000000" w:themeColor="text1"/>
                <w:sz w:val="24"/>
                <w:szCs w:val="24"/>
                <w:highlight w:val="none"/>
                <w:lang w:eastAsia="zh-CN"/>
                <w14:textFill>
                  <w14:solidFill>
                    <w14:schemeClr w14:val="tx1"/>
                  </w14:solidFill>
                </w14:textFill>
              </w:rPr>
              <w:t>）和水重新混合接触，逆向化合反应自发进行：</w:t>
            </w:r>
            <w:r>
              <w:rPr>
                <w:rFonts w:hint="eastAsia"/>
                <w:color w:val="000000" w:themeColor="text1"/>
                <w:position w:val="-16"/>
                <w:sz w:val="24"/>
                <w:szCs w:val="24"/>
                <w:highlight w:val="none"/>
                <w:lang w:eastAsia="zh-CN"/>
                <w14:textFill>
                  <w14:solidFill>
                    <w14:schemeClr w14:val="tx1"/>
                  </w14:solidFill>
                </w14:textFill>
              </w:rPr>
              <w:object>
                <v:shape id="_x0000_i1028" o:spt="75" type="#_x0000_t75" style="height:20pt;width:136pt;" o:ole="t" filled="f" o:preferrelative="t" stroked="f" coordsize="21600,21600">
                  <v:path/>
                  <v:fill on="f" focussize="0,0"/>
                  <v:stroke on="f"/>
                  <v:imagedata r:id="rId10" o:title=""/>
                  <o:lock v:ext="edit" aspectratio="t"/>
                  <w10:wrap type="none"/>
                  <w10:anchorlock/>
                </v:shape>
                <o:OLEObject Type="Embed" ProgID="Equation.KSEE3" ShapeID="_x0000_i1028" DrawAspect="Content" ObjectID="_1468075728" r:id="rId12">
                  <o:LockedField>false</o:LockedField>
                </o:OLEObject>
              </w:object>
            </w:r>
            <w:r>
              <w:rPr>
                <w:rFonts w:hint="eastAsia"/>
                <w:color w:val="000000" w:themeColor="text1"/>
                <w:sz w:val="24"/>
                <w:szCs w:val="24"/>
                <w:highlight w:val="none"/>
                <w:lang w:eastAsia="zh-CN"/>
                <w14:textFill>
                  <w14:solidFill>
                    <w14:schemeClr w14:val="tx1"/>
                  </w14:solidFill>
                </w14:textFill>
              </w:rPr>
              <w:t>，每摩尔释</w:t>
            </w:r>
            <w:r>
              <w:rPr>
                <w:rFonts w:hint="default" w:ascii="Times New Roman" w:hAnsi="Times New Roman" w:cs="Times New Roman"/>
                <w:color w:val="000000" w:themeColor="text1"/>
                <w:sz w:val="24"/>
                <w:szCs w:val="24"/>
                <w:highlight w:val="none"/>
                <w:lang w:eastAsia="zh-CN"/>
                <w14:textFill>
                  <w14:solidFill>
                    <w14:schemeClr w14:val="tx1"/>
                  </w14:solidFill>
                </w14:textFill>
              </w:rPr>
              <w:t>放104kJ热量</w:t>
            </w:r>
            <w:r>
              <w:rPr>
                <w:rFonts w:hint="eastAsia"/>
                <w:color w:val="000000" w:themeColor="text1"/>
                <w:sz w:val="24"/>
                <w:szCs w:val="24"/>
                <w:highlight w:val="none"/>
                <w:lang w:eastAsia="zh-CN"/>
                <w14:textFill>
                  <w14:solidFill>
                    <w14:schemeClr w14:val="tx1"/>
                  </w14:solidFill>
                </w14:textFill>
              </w:rPr>
              <w:t>，产出高温热流体用于供暖</w:t>
            </w:r>
            <w:r>
              <w:rPr>
                <w:rFonts w:hint="eastAsia"/>
                <w:color w:val="000000" w:themeColor="text1"/>
                <w:sz w:val="24"/>
                <w:szCs w:val="24"/>
                <w:highlight w:val="none"/>
                <w:lang w:val="en-US" w:eastAsia="zh-CN"/>
                <w14:textFill>
                  <w14:solidFill>
                    <w14:schemeClr w14:val="tx1"/>
                  </w14:solidFill>
                </w14:textFill>
              </w:rPr>
              <w:t>等</w:t>
            </w:r>
            <w:r>
              <w:rPr>
                <w:rFonts w:hint="eastAsia"/>
                <w:color w:val="000000" w:themeColor="text1"/>
                <w:sz w:val="24"/>
                <w:szCs w:val="24"/>
                <w:highlight w:val="none"/>
                <w:lang w:eastAsia="zh-CN"/>
                <w14:textFill>
                  <w14:solidFill>
                    <w14:schemeClr w14:val="tx1"/>
                  </w14:solidFill>
                </w14:textFill>
              </w:rPr>
              <w:t>；反应产物变回氢氧化钙，可再次加热循环储热。</w:t>
            </w:r>
          </w:p>
          <w:p w14:paraId="448A12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氧化钙</w:t>
            </w:r>
            <w:r>
              <w:rPr>
                <w:rFonts w:hint="eastAsia"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氧化钙是一种无机化合物，它的化学式是CaO，俗名生石灰。物理性质是表面白色粉末，不纯者为灰白色，含有杂质时呈淡黄色或灰色，具有吸湿性。氧化钙为碱性氧化物，对湿敏感。易从空气中吸收二氧化碳及水分。与水反应生成氢氧化钙（Ca（OH）</w:t>
            </w:r>
            <w:r>
              <w:rPr>
                <w:rFonts w:hint="default" w:ascii="Times New Roman" w:hAnsi="Times New Roman" w:eastAsia="宋体" w:cs="Times New Roman"/>
                <w:snapToGrid/>
                <w:color w:val="000000" w:themeColor="text1"/>
                <w:kern w:val="2"/>
                <w:sz w:val="24"/>
                <w:szCs w:val="24"/>
                <w:highlight w:val="none"/>
                <w:vertAlign w:val="subscript"/>
                <w:lang w:eastAsia="zh-CN"/>
                <w14:textFill>
                  <w14:solidFill>
                    <w14:schemeClr w14:val="tx1"/>
                  </w14:solidFill>
                </w14:textFill>
              </w:rPr>
              <w:t>2</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）并产生大量热，有腐蚀性。氧化钙也是一种无机除水剂，它与水反应生产氢氧化钙，同时也能吸收二氧化碳。在某些特殊的密封胶、水固化胶黏剂等体系可加入氧化钙粉末。</w:t>
            </w:r>
          </w:p>
          <w:p w14:paraId="0E89A15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⑤原辅材料及产品与《有机肥料》（NY/T525-2021）符合性分析</w:t>
            </w:r>
          </w:p>
          <w:p w14:paraId="06413F2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本项目主要产品为有机肥料，对照《有机肥料》（NY/T525-2021）附录A、附录B开展原辅材料及产品原料准入符合性分析如下：</w:t>
            </w:r>
          </w:p>
          <w:p w14:paraId="13911AD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pPr>
            <w:r>
              <w:rPr>
                <w:rFonts w:hint="eastAsia" w:cs="Times New Roman"/>
                <w:snapToGrid/>
                <w:color w:val="000000" w:themeColor="text1"/>
                <w:kern w:val="2"/>
                <w:sz w:val="24"/>
                <w:szCs w:val="24"/>
                <w:highlight w:val="none"/>
                <w:lang w:val="en-US" w:eastAsia="zh-CN"/>
                <w14:textFill>
                  <w14:solidFill>
                    <w14:schemeClr w14:val="tx1"/>
                  </w14:solidFill>
                </w14:textFill>
              </w:rPr>
              <w:t>a.</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原辅材料符合性分析</w:t>
            </w:r>
          </w:p>
          <w:p w14:paraId="19D77D8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果木枝条、农作物秸秆：属于附录A适用类原料中种植业废弃物（作物秸秆、林草废弃物）。项目将其炭化加工得到木炭，木炭作为后续有机肥生产的加工辅料；该类原料不属于附录B评估类原料，不属于标准规定的禁用类原料。</w:t>
            </w:r>
          </w:p>
          <w:p w14:paraId="57222E4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矿源腐殖酸粉：原料为风化煤/褐煤，属于矿源类有机物料，不属于附录B评估类原料，不属于标准规定的禁用类原料；外购矿源腐殖酸粉入场前核查产品质量证明文件，控制物料杂质，保障原料稳定。</w:t>
            </w:r>
          </w:p>
          <w:p w14:paraId="620C83FE">
            <w:pPr>
              <w:keepNext w:val="0"/>
              <w:keepLines w:val="0"/>
              <w:pageBreakBefore w:val="0"/>
              <w:widowControl w:val="0"/>
              <w:numPr>
                <w:ilvl w:val="0"/>
                <w:numId w:val="0"/>
              </w:numPr>
              <w:kinsoku/>
              <w:wordWrap w:val="0"/>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复合生物酶粉剂：外购商品化辅料，不属于附录A、附录B所列有机废弃物类原料，采购环节核查产品质量证明材料，不采用国家明令禁止的物质。</w:t>
            </w:r>
            <w:r>
              <w:rPr>
                <w:rFonts w:hint="eastAsia" w:cs="Times New Roman"/>
                <w:snapToGrid/>
                <w:color w:val="000000" w:themeColor="text1"/>
                <w:kern w:val="2"/>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过磷酸钙、硫酸钾、膨润土：为外购无机调理类辅料，不属于有机废弃物类原料，采购时核验产品质检资料，不含重金属、有毒有害等限制组分。项目不选用附录B所列评估类原料（植物源性中药渣、厨余废弃物、糠醛渣、蚯蚓粪、糟渣类、沼渣沼液等），同时不使用粉煤灰、钢渣、污泥、原生生活垃圾等禁用类原料，有机原辅材料满足标准</w:t>
            </w:r>
            <w:r>
              <w:rPr>
                <w:rFonts w:hint="eastAsia" w:cs="Times New Roman"/>
                <w:snapToGrid/>
                <w:color w:val="000000" w:themeColor="text1"/>
                <w:kern w:val="2"/>
                <w:sz w:val="24"/>
                <w:szCs w:val="24"/>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安全、卫生、稳定、有效</w:t>
            </w:r>
            <w:r>
              <w:rPr>
                <w:rFonts w:hint="eastAsia" w:cs="Times New Roman"/>
                <w:snapToGrid/>
                <w:color w:val="000000" w:themeColor="text1"/>
                <w:kern w:val="2"/>
                <w:sz w:val="24"/>
                <w:szCs w:val="24"/>
                <w:highlight w:val="none"/>
                <w:lang w:eastAsia="zh-CN"/>
                <w14:textFill>
                  <w14:solidFill>
                    <w14:schemeClr w14:val="tx1"/>
                  </w14:solidFill>
                </w14:textFill>
              </w:rPr>
              <w:t>”</w:t>
            </w: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的原料选用原则。</w:t>
            </w:r>
          </w:p>
          <w:p w14:paraId="0252C21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b.产品相关原料准入符合性</w:t>
            </w:r>
          </w:p>
          <w:p w14:paraId="181FEDA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eastAsia="zh-CN"/>
                <w14:textFill>
                  <w14:solidFill>
                    <w14:schemeClr w14:val="tx1"/>
                  </w14:solidFill>
                </w14:textFill>
              </w:rPr>
              <w:t>本项目有机肥料产品由上述附录A适用类原料加工后的木炭、矿源腐殖酸粉复配无机辅料、生物菌剂制得，产品生产所用基础有机物料均不属于附录B需开展安全评估的评估类原料，不存在禁用原料投入，满足NY/T525-2021附录A、附录B对有机肥生产原料的管控要求。</w:t>
            </w:r>
          </w:p>
          <w:p w14:paraId="73B7414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cs="Times New Roman"/>
                <w:snapToGrid/>
                <w:color w:val="000000" w:themeColor="text1"/>
                <w:kern w:val="2"/>
                <w:sz w:val="24"/>
                <w:szCs w:val="24"/>
                <w:highlight w:val="none"/>
                <w:lang w:val="en-US" w:eastAsia="zh-CN"/>
                <w14:textFill>
                  <w14:solidFill>
                    <w14:schemeClr w14:val="tx1"/>
                  </w14:solidFill>
                </w14:textFill>
              </w:rPr>
              <w:t>（3）其他（</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木煤气成分分析</w:t>
            </w:r>
            <w:r>
              <w:rPr>
                <w:rFonts w:hint="eastAsia" w:cs="Times New Roman"/>
                <w:snapToGrid/>
                <w:color w:val="000000" w:themeColor="text1"/>
                <w:kern w:val="2"/>
                <w:sz w:val="24"/>
                <w:szCs w:val="24"/>
                <w:highlight w:val="none"/>
                <w:lang w:val="en-US" w:eastAsia="zh-CN"/>
                <w14:textFill>
                  <w14:solidFill>
                    <w14:schemeClr w14:val="tx1"/>
                  </w14:solidFill>
                </w14:textFill>
              </w:rPr>
              <w:t>）</w:t>
            </w:r>
          </w:p>
          <w:p w14:paraId="1C5C3B2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cs="Times New Roman"/>
                <w:snapToGrid/>
                <w:color w:val="000000" w:themeColor="text1"/>
                <w:kern w:val="2"/>
                <w:sz w:val="24"/>
                <w:szCs w:val="24"/>
                <w:highlight w:val="none"/>
                <w:lang w:val="en-US" w:eastAsia="zh-CN"/>
                <w14:textFill>
                  <w14:solidFill>
                    <w14:schemeClr w14:val="tx1"/>
                  </w14:solidFill>
                </w14:textFill>
              </w:rPr>
              <w:t>本项目</w:t>
            </w:r>
            <w:r>
              <w:rPr>
                <w:rFonts w:ascii="Segoe UI Emoji" w:hAnsi="Segoe UI Emoji" w:eastAsia="Segoe UI Emoji" w:cs="Segoe UI Emoji"/>
                <w:i w:val="0"/>
                <w:iCs w:val="0"/>
                <w:caps w:val="0"/>
                <w:color w:val="000000" w:themeColor="text1"/>
                <w:spacing w:val="0"/>
                <w:sz w:val="24"/>
                <w:szCs w:val="24"/>
                <w14:textFill>
                  <w14:solidFill>
                    <w14:schemeClr w14:val="tx1"/>
                  </w14:solidFill>
                </w14:textFill>
              </w:rPr>
              <w:t>利用炭化产生的木煤气燃烧供热，加热固体氢氧化钙生成氧化钙，完成储能</w:t>
            </w:r>
            <w:r>
              <w:rPr>
                <w:rFonts w:hint="eastAsia"/>
                <w:color w:val="000000" w:themeColor="text1"/>
                <w:sz w:val="24"/>
                <w:szCs w:val="24"/>
                <w:highlight w:val="none"/>
                <w:lang w:val="en-US" w:eastAsia="zh-CN"/>
                <w14:textFill>
                  <w14:solidFill>
                    <w14:schemeClr w14:val="tx1"/>
                  </w14:solidFill>
                </w14:textFill>
              </w:rPr>
              <w:t>。</w:t>
            </w:r>
          </w:p>
          <w:p w14:paraId="5F9E888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参考《气相色谱分析木煤气组分》</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中国林科院林产化工研究所蒋剑春，金淳</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、《木煤气在烤烟上的应用》</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中国科学院黑龙江农业现代化研究所邢如意，亢文福</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和《民用木煤气的研究》</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中国林科院林业化工研究所金淳，应浩，张进平等</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，木煤气主要由烷类可燃气体及二氧化碳组成。</w:t>
            </w:r>
            <w:r>
              <w:rPr>
                <w:rFonts w:hint="eastAsia" w:cs="Times New Roman"/>
                <w:snapToGrid/>
                <w:color w:val="000000" w:themeColor="text1"/>
                <w:kern w:val="2"/>
                <w:sz w:val="24"/>
                <w:szCs w:val="24"/>
                <w:highlight w:val="none"/>
                <w:lang w:val="en-US" w:eastAsia="zh-CN"/>
                <w14:textFill>
                  <w14:solidFill>
                    <w14:schemeClr w14:val="tx1"/>
                  </w14:solidFill>
                </w14:textFill>
              </w:rPr>
              <w:t>具体组分见表2-9。</w:t>
            </w:r>
          </w:p>
          <w:p w14:paraId="505C91E6">
            <w:pPr>
              <w:adjustRightInd w:val="0"/>
              <w:snapToGrid w:val="0"/>
              <w:jc w:val="cente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2-</w:t>
            </w:r>
            <w:r>
              <w:rPr>
                <w:rFonts w:hint="eastAsia" w:cs="Times New Roman"/>
                <w:b/>
                <w:color w:val="000000" w:themeColor="text1"/>
                <w:kern w:val="2"/>
                <w:sz w:val="21"/>
                <w:szCs w:val="21"/>
                <w:highlight w:val="none"/>
                <w:lang w:val="en-US" w:eastAsia="zh-CN"/>
                <w14:textFill>
                  <w14:solidFill>
                    <w14:schemeClr w14:val="tx1"/>
                  </w14:solidFill>
                </w14:textFill>
              </w:rPr>
              <w:t>9</w:t>
            </w:r>
            <w:r>
              <w:rPr>
                <w:rFonts w:hint="default" w:ascii="Times New Roman" w:hAnsi="Times New Roman" w:eastAsia="宋体" w:cs="Times New Roman"/>
                <w:b/>
                <w:color w:val="000000" w:themeColor="text1"/>
                <w:kern w:val="2"/>
                <w:sz w:val="21"/>
                <w:szCs w:val="21"/>
                <w:highlight w:val="none"/>
                <w:lang w:eastAsia="zh-CN"/>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木煤气主要组分</w:t>
            </w:r>
            <w:r>
              <w:rPr>
                <w:rFonts w:hint="eastAsia" w:cs="Times New Roman"/>
                <w:b/>
                <w:color w:val="000000" w:themeColor="text1"/>
                <w:kern w:val="2"/>
                <w:sz w:val="21"/>
                <w:szCs w:val="21"/>
                <w:highlight w:val="none"/>
                <w:lang w:val="en-US" w:eastAsia="zh-CN"/>
                <w14:textFill>
                  <w14:solidFill>
                    <w14:schemeClr w14:val="tx1"/>
                  </w14:solidFill>
                </w14:textFill>
              </w:rPr>
              <w:t>一览表</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3"/>
              <w:gridCol w:w="993"/>
              <w:gridCol w:w="993"/>
              <w:gridCol w:w="993"/>
              <w:gridCol w:w="993"/>
              <w:gridCol w:w="993"/>
              <w:gridCol w:w="993"/>
              <w:gridCol w:w="994"/>
            </w:tblGrid>
            <w:tr w14:paraId="239B1C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3" w:type="dxa"/>
                  <w:tcBorders>
                    <w:tl2br w:val="nil"/>
                    <w:tr2bl w:val="nil"/>
                  </w:tcBorders>
                  <w:vAlign w:val="center"/>
                </w:tcPr>
                <w:p w14:paraId="186DD7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项目</w:t>
                  </w:r>
                </w:p>
              </w:tc>
              <w:tc>
                <w:tcPr>
                  <w:tcW w:w="993" w:type="dxa"/>
                  <w:tcBorders>
                    <w:tl2br w:val="nil"/>
                    <w:tr2bl w:val="nil"/>
                  </w:tcBorders>
                  <w:vAlign w:val="center"/>
                </w:tcPr>
                <w:p w14:paraId="602CC5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H</w:t>
                  </w:r>
                  <w:r>
                    <w:rPr>
                      <w:rFonts w:hint="default" w:ascii="Times New Roman" w:hAnsi="Times New Roman" w:eastAsia="宋体" w:cs="Times New Roman"/>
                      <w:b/>
                      <w:bCs/>
                      <w:snapToGrid/>
                      <w:color w:val="000000" w:themeColor="text1"/>
                      <w:kern w:val="2"/>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w:t>
                  </w:r>
                </w:p>
              </w:tc>
              <w:tc>
                <w:tcPr>
                  <w:tcW w:w="993" w:type="dxa"/>
                  <w:tcBorders>
                    <w:tl2br w:val="nil"/>
                    <w:tr2bl w:val="nil"/>
                  </w:tcBorders>
                  <w:vAlign w:val="center"/>
                </w:tcPr>
                <w:p w14:paraId="73BFCF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O</w:t>
                  </w:r>
                  <w:r>
                    <w:rPr>
                      <w:rFonts w:hint="default" w:ascii="Times New Roman" w:hAnsi="Times New Roman" w:eastAsia="宋体" w:cs="Times New Roman"/>
                      <w:b/>
                      <w:bCs/>
                      <w:snapToGrid/>
                      <w:color w:val="000000" w:themeColor="text1"/>
                      <w:kern w:val="2"/>
                      <w:sz w:val="21"/>
                      <w:szCs w:val="21"/>
                      <w:highlight w:val="none"/>
                      <w:vertAlign w:val="subscript"/>
                      <w:lang w:val="en-US" w:eastAsia="zh-CN"/>
                      <w14:textFill>
                        <w14:solidFill>
                          <w14:schemeClr w14:val="tx1"/>
                        </w14:solidFill>
                      </w14:textFill>
                    </w:rPr>
                    <w:t>2​</w:t>
                  </w:r>
                </w:p>
              </w:tc>
              <w:tc>
                <w:tcPr>
                  <w:tcW w:w="993" w:type="dxa"/>
                  <w:tcBorders>
                    <w:tl2br w:val="nil"/>
                    <w:tr2bl w:val="nil"/>
                  </w:tcBorders>
                  <w:vAlign w:val="center"/>
                </w:tcPr>
                <w:p w14:paraId="045948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N</w:t>
                  </w:r>
                  <w:r>
                    <w:rPr>
                      <w:rFonts w:hint="default" w:ascii="Times New Roman" w:hAnsi="Times New Roman" w:eastAsia="宋体" w:cs="Times New Roman"/>
                      <w:b/>
                      <w:bCs/>
                      <w:snapToGrid/>
                      <w:color w:val="000000" w:themeColor="text1"/>
                      <w:kern w:val="2"/>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w:t>
                  </w:r>
                </w:p>
              </w:tc>
              <w:tc>
                <w:tcPr>
                  <w:tcW w:w="993" w:type="dxa"/>
                  <w:tcBorders>
                    <w:tl2br w:val="nil"/>
                    <w:tr2bl w:val="nil"/>
                  </w:tcBorders>
                  <w:vAlign w:val="center"/>
                </w:tcPr>
                <w:p w14:paraId="44B4BE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CO</w:t>
                  </w:r>
                </w:p>
              </w:tc>
              <w:tc>
                <w:tcPr>
                  <w:tcW w:w="993" w:type="dxa"/>
                  <w:tcBorders>
                    <w:tl2br w:val="nil"/>
                    <w:tr2bl w:val="nil"/>
                  </w:tcBorders>
                  <w:vAlign w:val="center"/>
                </w:tcPr>
                <w:p w14:paraId="03F705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CH</w:t>
                  </w:r>
                  <w:r>
                    <w:rPr>
                      <w:rFonts w:hint="default" w:ascii="Times New Roman" w:hAnsi="Times New Roman" w:eastAsia="宋体" w:cs="Times New Roman"/>
                      <w:b/>
                      <w:bCs/>
                      <w:snapToGrid/>
                      <w:color w:val="000000" w:themeColor="text1"/>
                      <w:kern w:val="2"/>
                      <w:sz w:val="21"/>
                      <w:szCs w:val="21"/>
                      <w:highlight w:val="none"/>
                      <w:vertAlign w:val="subscript"/>
                      <w:lang w:val="en-US" w:eastAsia="zh-CN"/>
                      <w14:textFill>
                        <w14:solidFill>
                          <w14:schemeClr w14:val="tx1"/>
                        </w14:solidFill>
                      </w14:textFill>
                    </w:rPr>
                    <w:t>4</w:t>
                  </w: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w:t>
                  </w:r>
                </w:p>
              </w:tc>
              <w:tc>
                <w:tcPr>
                  <w:tcW w:w="993" w:type="dxa"/>
                  <w:tcBorders>
                    <w:tl2br w:val="nil"/>
                    <w:tr2bl w:val="nil"/>
                  </w:tcBorders>
                  <w:vAlign w:val="center"/>
                </w:tcPr>
                <w:p w14:paraId="32CD45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CO</w:t>
                  </w:r>
                  <w:r>
                    <w:rPr>
                      <w:rFonts w:hint="default" w:ascii="Times New Roman" w:hAnsi="Times New Roman" w:eastAsia="宋体" w:cs="Times New Roman"/>
                      <w:b/>
                      <w:bCs/>
                      <w:snapToGrid/>
                      <w:color w:val="000000" w:themeColor="text1"/>
                      <w:kern w:val="2"/>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w:t>
                  </w:r>
                </w:p>
              </w:tc>
              <w:tc>
                <w:tcPr>
                  <w:tcW w:w="994" w:type="dxa"/>
                  <w:tcBorders>
                    <w:tl2br w:val="nil"/>
                    <w:tr2bl w:val="nil"/>
                  </w:tcBorders>
                  <w:vAlign w:val="center"/>
                </w:tcPr>
                <w:p w14:paraId="163B76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H</w:t>
                  </w:r>
                  <w:r>
                    <w:rPr>
                      <w:rFonts w:hint="default" w:ascii="Times New Roman" w:hAnsi="Times New Roman" w:eastAsia="宋体" w:cs="Times New Roman"/>
                      <w:b/>
                      <w:bCs/>
                      <w:snapToGrid/>
                      <w:color w:val="000000" w:themeColor="text1"/>
                      <w:kern w:val="2"/>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O</w:t>
                  </w:r>
                </w:p>
              </w:tc>
            </w:tr>
            <w:tr w14:paraId="55D06D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3" w:type="dxa"/>
                  <w:tcBorders>
                    <w:tl2br w:val="nil"/>
                    <w:tr2bl w:val="nil"/>
                  </w:tcBorders>
                  <w:vAlign w:val="center"/>
                </w:tcPr>
                <w:p w14:paraId="7305C5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含量%</w:t>
                  </w:r>
                </w:p>
              </w:tc>
              <w:tc>
                <w:tcPr>
                  <w:tcW w:w="993" w:type="dxa"/>
                  <w:tcBorders>
                    <w:tl2br w:val="nil"/>
                    <w:tr2bl w:val="nil"/>
                  </w:tcBorders>
                  <w:vAlign w:val="center"/>
                </w:tcPr>
                <w:p w14:paraId="0C403A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9.3177</w:t>
                  </w:r>
                </w:p>
              </w:tc>
              <w:tc>
                <w:tcPr>
                  <w:tcW w:w="993" w:type="dxa"/>
                  <w:tcBorders>
                    <w:tl2br w:val="nil"/>
                    <w:tr2bl w:val="nil"/>
                  </w:tcBorders>
                  <w:vAlign w:val="center"/>
                </w:tcPr>
                <w:p w14:paraId="5426FE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0.0550</w:t>
                  </w:r>
                </w:p>
              </w:tc>
              <w:tc>
                <w:tcPr>
                  <w:tcW w:w="993" w:type="dxa"/>
                  <w:tcBorders>
                    <w:tl2br w:val="nil"/>
                    <w:tr2bl w:val="nil"/>
                  </w:tcBorders>
                  <w:vAlign w:val="center"/>
                </w:tcPr>
                <w:p w14:paraId="65052E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44.6800</w:t>
                  </w:r>
                </w:p>
              </w:tc>
              <w:tc>
                <w:tcPr>
                  <w:tcW w:w="993" w:type="dxa"/>
                  <w:tcBorders>
                    <w:tl2br w:val="nil"/>
                    <w:tr2bl w:val="nil"/>
                  </w:tcBorders>
                  <w:vAlign w:val="center"/>
                </w:tcPr>
                <w:p w14:paraId="4F0E05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28.5730</w:t>
                  </w:r>
                </w:p>
              </w:tc>
              <w:tc>
                <w:tcPr>
                  <w:tcW w:w="993" w:type="dxa"/>
                  <w:tcBorders>
                    <w:tl2br w:val="nil"/>
                    <w:tr2bl w:val="nil"/>
                  </w:tcBorders>
                  <w:vAlign w:val="center"/>
                </w:tcPr>
                <w:p w14:paraId="6A2990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2.2250</w:t>
                  </w:r>
                </w:p>
              </w:tc>
              <w:tc>
                <w:tcPr>
                  <w:tcW w:w="993" w:type="dxa"/>
                  <w:tcBorders>
                    <w:tl2br w:val="nil"/>
                    <w:tr2bl w:val="nil"/>
                  </w:tcBorders>
                  <w:vAlign w:val="center"/>
                </w:tcPr>
                <w:p w14:paraId="2E171C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14.8353</w:t>
                  </w:r>
                </w:p>
              </w:tc>
              <w:tc>
                <w:tcPr>
                  <w:tcW w:w="994" w:type="dxa"/>
                  <w:tcBorders>
                    <w:tl2br w:val="nil"/>
                    <w:tr2bl w:val="nil"/>
                  </w:tcBorders>
                  <w:vAlign w:val="center"/>
                </w:tcPr>
                <w:p w14:paraId="32532F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0.3140</w:t>
                  </w:r>
                </w:p>
              </w:tc>
            </w:tr>
          </w:tbl>
          <w:p w14:paraId="16CA4F4D">
            <w:pPr>
              <w:autoSpaceDE w:val="0"/>
              <w:autoSpaceDN w:val="0"/>
              <w:adjustRightInd w:val="0"/>
              <w:snapToGrid w:val="0"/>
              <w:spacing w:line="360" w:lineRule="auto"/>
              <w:ind w:firstLine="482" w:firstLineChars="200"/>
              <w:jc w:val="both"/>
              <w:rPr>
                <w:rFonts w:hint="eastAsia"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7.2物料平衡分析</w:t>
            </w:r>
          </w:p>
          <w:p w14:paraId="318BE2F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本</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项目购进的原材料为废弃的果</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木树枝及农业秸秆，4台</w:t>
            </w:r>
            <w:r>
              <w:rPr>
                <w:rFonts w:hint="eastAsia" w:cs="Times New Roman"/>
                <w:snapToGrid/>
                <w:color w:val="000000" w:themeColor="text1"/>
                <w:kern w:val="2"/>
                <w:sz w:val="24"/>
                <w:szCs w:val="24"/>
                <w:highlight w:val="none"/>
                <w:lang w:val="en-US" w:eastAsia="zh-CN"/>
                <w14:textFill>
                  <w14:solidFill>
                    <w14:schemeClr w14:val="tx1"/>
                  </w14:solidFill>
                </w14:textFill>
              </w:rPr>
              <w:t>炭化炉</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共计消耗秸秆最大量为64t/d</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全年</w:t>
            </w:r>
            <w:r>
              <w:rPr>
                <w:rFonts w:hint="eastAsia" w:cs="Times New Roman"/>
                <w:snapToGrid/>
                <w:color w:val="000000" w:themeColor="text1"/>
                <w:kern w:val="2"/>
                <w:sz w:val="24"/>
                <w:szCs w:val="24"/>
                <w:highlight w:val="none"/>
                <w:lang w:val="en-US" w:eastAsia="zh-CN"/>
                <w14:textFill>
                  <w14:solidFill>
                    <w14:schemeClr w14:val="tx1"/>
                  </w14:solidFill>
                </w14:textFill>
              </w:rPr>
              <w:t>消耗量</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为19200</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t</w:t>
            </w:r>
            <w:r>
              <w:rPr>
                <w:rFonts w:hint="eastAsia" w:cs="Times New Roman"/>
                <w:snapToGrid/>
                <w:color w:val="000000" w:themeColor="text1"/>
                <w:kern w:val="2"/>
                <w:sz w:val="24"/>
                <w:szCs w:val="24"/>
                <w:highlight w:val="none"/>
                <w:lang w:val="en-US" w:eastAsia="zh-CN"/>
                <w14:textFill>
                  <w14:solidFill>
                    <w14:schemeClr w14:val="tx1"/>
                  </w14:solidFill>
                </w14:textFill>
              </w:rPr>
              <w:t>（粉碎后）</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，根据原料秸秆检测报告，购入原料</w:t>
            </w:r>
            <w:r>
              <w:rPr>
                <w:rFonts w:hint="eastAsia" w:cs="Times New Roman"/>
                <w:snapToGrid/>
                <w:color w:val="000000" w:themeColor="text1"/>
                <w:kern w:val="2"/>
                <w:sz w:val="24"/>
                <w:szCs w:val="24"/>
                <w:highlight w:val="none"/>
                <w:lang w:val="en-US" w:eastAsia="zh-CN"/>
                <w14:textFill>
                  <w14:solidFill>
                    <w14:schemeClr w14:val="tx1"/>
                  </w14:solidFill>
                </w14:textFill>
              </w:rPr>
              <w:t>秸秆</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含水率</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为7</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%，则绝干木材量为</w:t>
            </w:r>
            <w:r>
              <w:rPr>
                <w:rFonts w:hint="eastAsia" w:cs="Times New Roman"/>
                <w:snapToGrid/>
                <w:color w:val="000000" w:themeColor="text1"/>
                <w:kern w:val="2"/>
                <w:sz w:val="24"/>
                <w:szCs w:val="24"/>
                <w:highlight w:val="none"/>
                <w:lang w:val="en-US" w:eastAsia="zh-CN"/>
                <w14:textFill>
                  <w14:solidFill>
                    <w14:schemeClr w14:val="tx1"/>
                  </w14:solidFill>
                </w14:textFill>
              </w:rPr>
              <w:t>17856</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t。</w:t>
            </w:r>
          </w:p>
          <w:p w14:paraId="0C5465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cs="Times New Roman"/>
                <w:snapToGrid/>
                <w:color w:val="000000" w:themeColor="text1"/>
                <w:kern w:val="2"/>
                <w:sz w:val="24"/>
                <w:szCs w:val="24"/>
                <w:highlight w:val="none"/>
                <w:lang w:val="en-US" w:eastAsia="zh-CN"/>
                <w14:textFill>
                  <w14:solidFill>
                    <w14:schemeClr w14:val="tx1"/>
                  </w14:solidFill>
                </w14:textFill>
              </w:rPr>
              <w:t>（1）炭化产物</w:t>
            </w:r>
          </w:p>
          <w:p w14:paraId="7193DC8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根据《生物质热解气化原理与技术》</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化学工业出版社2013年4月出版</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中典型的热解产物实验数据，木材热解产物的大致产率为</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其产物质量分数对应于绝干木材</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木炭33~38%，粗木醋液</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含澄清木醋液、沉积木焦油</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45~50%，木煤气16~18%，损耗0.3~1%。本次按木炭33%、粗木醋液</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含澄清木醋液、沉积木焦油</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50%、木煤气17%计算。</w:t>
            </w:r>
          </w:p>
          <w:p w14:paraId="15C651D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计算得：</w:t>
            </w:r>
          </w:p>
          <w:p w14:paraId="72CE575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①</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气体产物：</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含有CO</w:t>
            </w:r>
            <w:r>
              <w:rPr>
                <w:rFonts w:hint="default" w:ascii="Times New Roman" w:hAnsi="Times New Roman" w:eastAsia="宋体" w:cs="Times New Roman"/>
                <w:snapToGrid/>
                <w:color w:val="000000" w:themeColor="text1"/>
                <w:kern w:val="2"/>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、CO、CH</w:t>
            </w:r>
            <w:r>
              <w:rPr>
                <w:rFonts w:hint="default" w:ascii="Times New Roman" w:hAnsi="Times New Roman" w:eastAsia="宋体" w:cs="Times New Roman"/>
                <w:snapToGrid/>
                <w:color w:val="000000" w:themeColor="text1"/>
                <w:kern w:val="2"/>
                <w:sz w:val="24"/>
                <w:szCs w:val="24"/>
                <w:highlight w:val="none"/>
                <w:vertAlign w:val="subscript"/>
                <w:lang w:val="en-US" w:eastAsia="zh-CN"/>
                <w14:textFill>
                  <w14:solidFill>
                    <w14:schemeClr w14:val="tx1"/>
                  </w14:solidFill>
                </w14:textFill>
              </w:rPr>
              <w:t>4</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、C</w:t>
            </w:r>
            <w:r>
              <w:rPr>
                <w:rFonts w:hint="default" w:ascii="Times New Roman" w:hAnsi="Times New Roman" w:eastAsia="宋体" w:cs="Times New Roman"/>
                <w:snapToGrid/>
                <w:color w:val="000000" w:themeColor="text1"/>
                <w:kern w:val="2"/>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H</w:t>
            </w:r>
            <w:r>
              <w:rPr>
                <w:rFonts w:hint="default" w:ascii="Times New Roman" w:hAnsi="Times New Roman" w:eastAsia="宋体" w:cs="Times New Roman"/>
                <w:snapToGrid/>
                <w:color w:val="000000" w:themeColor="text1"/>
                <w:kern w:val="2"/>
                <w:sz w:val="24"/>
                <w:szCs w:val="24"/>
                <w:highlight w:val="none"/>
                <w:vertAlign w:val="subscript"/>
                <w:lang w:val="en-US" w:eastAsia="zh-CN"/>
                <w14:textFill>
                  <w14:solidFill>
                    <w14:schemeClr w14:val="tx1"/>
                  </w14:solidFill>
                </w14:textFill>
              </w:rPr>
              <w:t>4</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、H</w:t>
            </w:r>
            <w:r>
              <w:rPr>
                <w:rFonts w:hint="default" w:ascii="Times New Roman" w:hAnsi="Times New Roman" w:eastAsia="宋体" w:cs="Times New Roman"/>
                <w:snapToGrid/>
                <w:color w:val="000000" w:themeColor="text1"/>
                <w:kern w:val="2"/>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等物质的未冷凝气体</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eastAsia" w:cs="Times New Roman"/>
                <w:snapToGrid/>
                <w:color w:val="000000" w:themeColor="text1"/>
                <w:kern w:val="2"/>
                <w:sz w:val="24"/>
                <w:szCs w:val="24"/>
                <w:highlight w:val="none"/>
                <w:lang w:val="en-US" w:eastAsia="zh-CN"/>
                <w14:textFill>
                  <w14:solidFill>
                    <w14:schemeClr w14:val="tx1"/>
                  </w14:solidFill>
                </w14:textFill>
              </w:rPr>
              <w:t>粗</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木煤气</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，产生量约为</w:t>
            </w:r>
            <w:r>
              <w:rPr>
                <w:rFonts w:hint="eastAsia" w:cs="Times New Roman"/>
                <w:snapToGrid/>
                <w:color w:val="000000" w:themeColor="text1"/>
                <w:kern w:val="2"/>
                <w:sz w:val="24"/>
                <w:szCs w:val="24"/>
                <w:highlight w:val="none"/>
                <w:lang w:val="en-US" w:eastAsia="zh-CN"/>
                <w14:textFill>
                  <w14:solidFill>
                    <w14:schemeClr w14:val="tx1"/>
                  </w14:solidFill>
                </w14:textFill>
              </w:rPr>
              <w:t>3035.52</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另外，</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果</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木树枝及农业秸秆</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中水分</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eastAsia" w:cs="Times New Roman"/>
                <w:snapToGrid/>
                <w:color w:val="000000" w:themeColor="text1"/>
                <w:kern w:val="2"/>
                <w:sz w:val="24"/>
                <w:szCs w:val="24"/>
                <w:highlight w:val="none"/>
                <w:lang w:val="en-US" w:eastAsia="zh-CN"/>
                <w14:textFill>
                  <w14:solidFill>
                    <w14:schemeClr w14:val="tx1"/>
                  </w14:solidFill>
                </w14:textFill>
              </w:rPr>
              <w:t>1249.92</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蒸发出来，约有</w:t>
            </w:r>
            <w:r>
              <w:rPr>
                <w:rFonts w:hint="eastAsia" w:cs="Times New Roman"/>
                <w:snapToGrid/>
                <w:color w:val="000000" w:themeColor="text1"/>
                <w:kern w:val="2"/>
                <w:sz w:val="24"/>
                <w:szCs w:val="24"/>
                <w:highlight w:val="none"/>
                <w:lang w:val="en-US" w:eastAsia="zh-CN"/>
                <w14:textFill>
                  <w14:solidFill>
                    <w14:schemeClr w14:val="tx1"/>
                  </w14:solidFill>
                </w14:textFill>
              </w:rPr>
              <w:t>249.984</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进入木醋液中</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（20%）</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w:t>
            </w:r>
            <w:r>
              <w:rPr>
                <w:rFonts w:hint="eastAsia" w:cs="Times New Roman"/>
                <w:snapToGrid/>
                <w:color w:val="000000" w:themeColor="text1"/>
                <w:kern w:val="2"/>
                <w:sz w:val="24"/>
                <w:szCs w:val="24"/>
                <w:highlight w:val="none"/>
                <w:lang w:val="en-US" w:eastAsia="zh-CN"/>
                <w14:textFill>
                  <w14:solidFill>
                    <w14:schemeClr w14:val="tx1"/>
                  </w14:solidFill>
                </w14:textFill>
              </w:rPr>
              <w:t>999.936</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蒸发为水蒸汽进入大气</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eastAsia" w:cs="Times New Roman"/>
                <w:snapToGrid/>
                <w:color w:val="000000" w:themeColor="text1"/>
                <w:kern w:val="2"/>
                <w:sz w:val="24"/>
                <w:szCs w:val="24"/>
                <w:highlight w:val="none"/>
                <w:lang w:val="en-US" w:eastAsia="zh-CN"/>
                <w14:textFill>
                  <w14:solidFill>
                    <w14:schemeClr w14:val="tx1"/>
                  </w14:solidFill>
                </w14:textFill>
              </w:rPr>
              <w:t>8</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0%）</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w:t>
            </w:r>
          </w:p>
          <w:p w14:paraId="05DED5A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②</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液态</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冷凝后</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炭化过程中会有木醋液和木焦油等液体产生。该液体含有大量水分</w:t>
            </w:r>
            <w:r>
              <w:rPr>
                <w:rFonts w:hint="eastAsia" w:cs="Times New Roman"/>
                <w:snapToGrid/>
                <w:color w:val="000000" w:themeColor="text1"/>
                <w:kern w:val="2"/>
                <w:sz w:val="24"/>
                <w:szCs w:val="24"/>
                <w:highlight w:val="none"/>
                <w:lang w:val="en-US" w:eastAsia="zh-CN"/>
                <w14:textFill>
                  <w14:solidFill>
                    <w14:schemeClr w14:val="tx1"/>
                  </w14:solidFill>
                </w14:textFill>
              </w:rPr>
              <w:t>（含冷却水）</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，纯木醋液和木焦油混合液约为</w:t>
            </w:r>
            <w:r>
              <w:rPr>
                <w:rFonts w:hint="eastAsia" w:cs="Times New Roman"/>
                <w:snapToGrid/>
                <w:color w:val="000000" w:themeColor="text1"/>
                <w:kern w:val="2"/>
                <w:sz w:val="24"/>
                <w:szCs w:val="24"/>
                <w:highlight w:val="none"/>
                <w:lang w:val="en-US" w:eastAsia="zh-CN"/>
                <w14:textFill>
                  <w14:solidFill>
                    <w14:schemeClr w14:val="tx1"/>
                  </w14:solidFill>
                </w14:textFill>
              </w:rPr>
              <w:t>8928</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木醋液</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木焦油</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=5：1）</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，可分离出木焦油约</w:t>
            </w:r>
            <w:r>
              <w:rPr>
                <w:rFonts w:hint="eastAsia" w:cs="Times New Roman"/>
                <w:snapToGrid/>
                <w:color w:val="000000" w:themeColor="text1"/>
                <w:kern w:val="2"/>
                <w:sz w:val="24"/>
                <w:szCs w:val="24"/>
                <w:highlight w:val="none"/>
                <w:lang w:val="en-US" w:eastAsia="zh-CN"/>
                <w14:textFill>
                  <w14:solidFill>
                    <w14:schemeClr w14:val="tx1"/>
                  </w14:solidFill>
                </w14:textFill>
              </w:rPr>
              <w:t>1488</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eastAsia" w:cs="Times New Roman"/>
                <w:snapToGrid/>
                <w:color w:val="000000" w:themeColor="text1"/>
                <w:kern w:val="2"/>
                <w:sz w:val="24"/>
                <w:szCs w:val="24"/>
                <w:highlight w:val="none"/>
                <w:lang w:val="en-US" w:eastAsia="zh-CN"/>
                <w14:textFill>
                  <w14:solidFill>
                    <w14:schemeClr w14:val="tx1"/>
                  </w14:solidFill>
                </w14:textFill>
              </w:rPr>
              <w:t>另有（40%，</w:t>
            </w:r>
            <w:r>
              <w:rPr>
                <w:rFonts w:hint="eastAsia" w:cs="Times New Roman"/>
                <w:b w:val="0"/>
                <w:bCs/>
                <w:color w:val="000000" w:themeColor="text1"/>
                <w:kern w:val="0"/>
                <w:sz w:val="24"/>
                <w:szCs w:val="24"/>
                <w:highlight w:val="none"/>
                <w:lang w:val="en-US" w:eastAsia="zh-CN" w:bidi="ar-SA"/>
                <w14:textFill>
                  <w14:solidFill>
                    <w14:schemeClr w14:val="tx1"/>
                  </w14:solidFill>
                </w14:textFill>
              </w:rPr>
              <w:t>201.6</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/a</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cs="Times New Roman"/>
                <w:b w:val="0"/>
                <w:bCs/>
                <w:color w:val="000000" w:themeColor="text1"/>
                <w:kern w:val="0"/>
                <w:sz w:val="24"/>
                <w:szCs w:val="24"/>
                <w:highlight w:val="none"/>
                <w:lang w:val="en-US" w:eastAsia="zh-CN" w:bidi="ar-SA"/>
                <w14:textFill>
                  <w14:solidFill>
                    <w14:schemeClr w14:val="tx1"/>
                  </w14:solidFill>
                </w14:textFill>
              </w:rPr>
              <w:t>循环水进入</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木醋液</w:t>
            </w:r>
            <w:r>
              <w:rPr>
                <w:rFonts w:hint="eastAsia" w:cs="Times New Roman"/>
                <w:b w:val="0"/>
                <w:bCs/>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由于混入水分，最终木醋液</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注</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粗品不需</w:t>
            </w:r>
            <w:r>
              <w:rPr>
                <w:rFonts w:hint="eastAsia" w:cs="Times New Roman"/>
                <w:snapToGrid/>
                <w:color w:val="000000" w:themeColor="text1"/>
                <w:kern w:val="2"/>
                <w:sz w:val="24"/>
                <w:szCs w:val="24"/>
                <w:highlight w:val="none"/>
                <w:lang w:val="en-US" w:eastAsia="zh-CN"/>
                <w14:textFill>
                  <w14:solidFill>
                    <w14:schemeClr w14:val="tx1"/>
                  </w14:solidFill>
                </w14:textFill>
              </w:rPr>
              <w:t>完全</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脱水直接销售</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产生量约为</w:t>
            </w:r>
            <w:r>
              <w:rPr>
                <w:rFonts w:hint="eastAsia" w:cs="Times New Roman"/>
                <w:snapToGrid/>
                <w:color w:val="000000" w:themeColor="text1"/>
                <w:kern w:val="2"/>
                <w:sz w:val="24"/>
                <w:szCs w:val="24"/>
                <w:highlight w:val="none"/>
                <w:lang w:val="en-US" w:eastAsia="zh-CN"/>
                <w14:textFill>
                  <w14:solidFill>
                    <w14:schemeClr w14:val="tx1"/>
                  </w14:solidFill>
                </w14:textFill>
              </w:rPr>
              <w:t>7891.584</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eastAsia" w:cs="Times New Roman"/>
                <w:snapToGrid/>
                <w:color w:val="000000" w:themeColor="text1"/>
                <w:kern w:val="2"/>
                <w:sz w:val="24"/>
                <w:szCs w:val="24"/>
                <w:highlight w:val="none"/>
                <w:lang w:val="en-US" w:eastAsia="zh-CN"/>
                <w14:textFill>
                  <w14:solidFill>
                    <w14:schemeClr w14:val="tx1"/>
                  </w14:solidFill>
                </w14:textFill>
              </w:rPr>
              <w:t>。</w:t>
            </w:r>
          </w:p>
          <w:p w14:paraId="740BACD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③</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木炭：</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炭化后得到的固体</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木炭</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为</w:t>
            </w:r>
            <w:r>
              <w:rPr>
                <w:rFonts w:hint="eastAsia" w:cs="Times New Roman"/>
                <w:snapToGrid/>
                <w:color w:val="000000" w:themeColor="text1"/>
                <w:kern w:val="2"/>
                <w:sz w:val="24"/>
                <w:szCs w:val="24"/>
                <w:highlight w:val="none"/>
                <w:lang w:val="en-US" w:eastAsia="zh-CN"/>
                <w14:textFill>
                  <w14:solidFill>
                    <w14:schemeClr w14:val="tx1"/>
                  </w14:solidFill>
                </w14:textFill>
              </w:rPr>
              <w:t>5892.48</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t</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（本项目炭渣全部计入木炭中，无</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损耗</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p>
          <w:p w14:paraId="4C6715D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pP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（2）有机肥</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产量</w:t>
            </w:r>
          </w:p>
          <w:p w14:paraId="4D58676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根据建设单位提供的有机肥产品配方参数，本项目有机肥原料质量配比为：木炭</w:t>
            </w:r>
            <w:r>
              <w:rPr>
                <w:rFonts w:hint="eastAsia" w:cs="Times New Roman"/>
                <w:snapToGrid/>
                <w:color w:val="000000" w:themeColor="text1"/>
                <w:kern w:val="2"/>
                <w:sz w:val="24"/>
                <w:szCs w:val="24"/>
                <w:highlight w:val="none"/>
                <w:lang w:val="en-US" w:eastAsia="zh-CN"/>
                <w14:textFill>
                  <w14:solidFill>
                    <w14:schemeClr w14:val="tx1"/>
                  </w14:solidFill>
                </w14:textFill>
              </w:rPr>
              <w:t>20</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矿源腐殖酸粉</w:t>
            </w:r>
            <w:r>
              <w:rPr>
                <w:rFonts w:hint="eastAsia" w:cs="Times New Roman"/>
                <w:snapToGrid/>
                <w:color w:val="000000" w:themeColor="text1"/>
                <w:kern w:val="2"/>
                <w:sz w:val="24"/>
                <w:szCs w:val="24"/>
                <w:highlight w:val="none"/>
                <w:lang w:val="en-US" w:eastAsia="zh-CN"/>
                <w14:textFill>
                  <w14:solidFill>
                    <w14:schemeClr w14:val="tx1"/>
                  </w14:solidFill>
                </w14:textFill>
              </w:rPr>
              <w:t>69</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、过磷酸钙</w:t>
            </w:r>
            <w:r>
              <w:rPr>
                <w:rFonts w:hint="eastAsia" w:cs="Times New Roman"/>
                <w:snapToGrid/>
                <w:color w:val="000000" w:themeColor="text1"/>
                <w:kern w:val="2"/>
                <w:sz w:val="24"/>
                <w:szCs w:val="24"/>
                <w:highlight w:val="none"/>
                <w:lang w:val="en-US" w:eastAsia="zh-CN"/>
                <w14:textFill>
                  <w14:solidFill>
                    <w14:schemeClr w14:val="tx1"/>
                  </w14:solidFill>
                </w14:textFill>
              </w:rPr>
              <w:t>2</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、硫酸钾</w:t>
            </w:r>
            <w:r>
              <w:rPr>
                <w:rFonts w:hint="eastAsia" w:cs="Times New Roman"/>
                <w:snapToGrid/>
                <w:color w:val="000000" w:themeColor="text1"/>
                <w:kern w:val="2"/>
                <w:sz w:val="24"/>
                <w:szCs w:val="24"/>
                <w:highlight w:val="none"/>
                <w:lang w:val="en-US" w:eastAsia="zh-CN"/>
                <w14:textFill>
                  <w14:solidFill>
                    <w14:schemeClr w14:val="tx1"/>
                  </w14:solidFill>
                </w14:textFill>
              </w:rPr>
              <w:t>2</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、复合生物酶粉剂</w:t>
            </w:r>
            <w:r>
              <w:rPr>
                <w:rFonts w:hint="eastAsia" w:cs="Times New Roman"/>
                <w:snapToGrid/>
                <w:color w:val="000000" w:themeColor="text1"/>
                <w:kern w:val="2"/>
                <w:sz w:val="24"/>
                <w:szCs w:val="24"/>
                <w:highlight w:val="none"/>
                <w:lang w:val="en-US" w:eastAsia="zh-CN"/>
                <w14:textFill>
                  <w14:solidFill>
                    <w14:schemeClr w14:val="tx1"/>
                  </w14:solidFill>
                </w14:textFill>
              </w:rPr>
              <w:t>7</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；产品形态比例为：粉状有机肥占40%、颗粒状有机肥占60%。基于上述配比关系核算得出的本项目有机肥产量及原料消耗明细，详见表2-</w:t>
            </w:r>
            <w:r>
              <w:rPr>
                <w:rFonts w:hint="eastAsia" w:ascii="Times New Roman" w:hAnsi="Times New Roman" w:cs="Times New Roman"/>
                <w:snapToGrid/>
                <w:color w:val="000000" w:themeColor="text1"/>
                <w:kern w:val="2"/>
                <w:sz w:val="24"/>
                <w:szCs w:val="24"/>
                <w:highlight w:val="none"/>
                <w:lang w:val="en-US" w:eastAsia="zh-CN"/>
                <w14:textFill>
                  <w14:solidFill>
                    <w14:schemeClr w14:val="tx1"/>
                  </w14:solidFill>
                </w14:textFill>
              </w:rPr>
              <w:t>10</w:t>
            </w:r>
            <w:r>
              <w:rPr>
                <w:rFonts w:hint="default" w:ascii="Times New Roman" w:hAnsi="Times New Roman" w:cs="Times New Roman"/>
                <w:snapToGrid/>
                <w:color w:val="000000" w:themeColor="text1"/>
                <w:kern w:val="2"/>
                <w:sz w:val="24"/>
                <w:szCs w:val="24"/>
                <w:highlight w:val="none"/>
                <w:lang w:val="en-US" w:eastAsia="zh-CN"/>
                <w14:textFill>
                  <w14:solidFill>
                    <w14:schemeClr w14:val="tx1"/>
                  </w14:solidFill>
                </w14:textFill>
              </w:rPr>
              <w:t>。</w:t>
            </w:r>
          </w:p>
          <w:p w14:paraId="33C7EFB2">
            <w:pPr>
              <w:adjustRightInd w:val="0"/>
              <w:snapToGrid w:val="0"/>
              <w:jc w:val="cente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w:t>
            </w:r>
            <w: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2-</w:t>
            </w:r>
            <w:r>
              <w:rPr>
                <w:rFonts w:hint="eastAsia" w:cs="Times New Roman"/>
                <w:b/>
                <w:color w:val="000000" w:themeColor="text1"/>
                <w:kern w:val="2"/>
                <w:sz w:val="21"/>
                <w:szCs w:val="21"/>
                <w:highlight w:val="none"/>
                <w:lang w:val="en-US" w:eastAsia="zh-CN"/>
                <w14:textFill>
                  <w14:solidFill>
                    <w14:schemeClr w14:val="tx1"/>
                  </w14:solidFill>
                </w14:textFill>
              </w:rPr>
              <w:t>10</w:t>
            </w:r>
            <w: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项目有机肥产量一览表</w:t>
            </w:r>
          </w:p>
          <w:tbl>
            <w:tblPr>
              <w:tblStyle w:val="30"/>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86"/>
              <w:gridCol w:w="1986"/>
              <w:gridCol w:w="1986"/>
              <w:gridCol w:w="1986"/>
            </w:tblGrid>
            <w:tr w14:paraId="018DC7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17A71B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物料名称</w:t>
                  </w:r>
                </w:p>
              </w:tc>
              <w:tc>
                <w:tcPr>
                  <w:tcW w:w="2130" w:type="dxa"/>
                  <w:tcBorders>
                    <w:tl2br w:val="nil"/>
                    <w:tr2bl w:val="nil"/>
                  </w:tcBorders>
                  <w:vAlign w:val="center"/>
                </w:tcPr>
                <w:p w14:paraId="454AF7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质量占比</w:t>
                  </w:r>
                </w:p>
              </w:tc>
              <w:tc>
                <w:tcPr>
                  <w:tcW w:w="2130" w:type="dxa"/>
                  <w:tcBorders>
                    <w:tl2br w:val="nil"/>
                    <w:tr2bl w:val="nil"/>
                  </w:tcBorders>
                  <w:vAlign w:val="center"/>
                </w:tcPr>
                <w:p w14:paraId="1DF4EA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数量（t）</w:t>
                  </w:r>
                </w:p>
              </w:tc>
              <w:tc>
                <w:tcPr>
                  <w:tcW w:w="2131" w:type="dxa"/>
                  <w:tcBorders>
                    <w:tl2br w:val="nil"/>
                    <w:tr2bl w:val="nil"/>
                  </w:tcBorders>
                  <w:vAlign w:val="center"/>
                </w:tcPr>
                <w:p w14:paraId="0388D7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snapToGrid/>
                      <w:color w:val="000000" w:themeColor="text1"/>
                      <w:kern w:val="2"/>
                      <w:sz w:val="21"/>
                      <w:szCs w:val="21"/>
                      <w:highlight w:val="none"/>
                      <w:lang w:val="en-US" w:eastAsia="zh-CN"/>
                      <w14:textFill>
                        <w14:solidFill>
                          <w14:schemeClr w14:val="tx1"/>
                        </w14:solidFill>
                      </w14:textFill>
                    </w:rPr>
                    <w:t>物料类型</w:t>
                  </w:r>
                </w:p>
              </w:tc>
            </w:tr>
            <w:tr w14:paraId="7FAEA6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2A3A09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木炭</w:t>
                  </w:r>
                </w:p>
              </w:tc>
              <w:tc>
                <w:tcPr>
                  <w:tcW w:w="2130" w:type="dxa"/>
                  <w:tcBorders>
                    <w:tl2br w:val="nil"/>
                    <w:tr2bl w:val="nil"/>
                  </w:tcBorders>
                  <w:vAlign w:val="center"/>
                </w:tcPr>
                <w:p w14:paraId="243064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w:t>
                  </w:r>
                </w:p>
              </w:tc>
              <w:tc>
                <w:tcPr>
                  <w:tcW w:w="2130" w:type="dxa"/>
                  <w:tcBorders>
                    <w:tl2br w:val="nil"/>
                    <w:tr2bl w:val="nil"/>
                  </w:tcBorders>
                  <w:vAlign w:val="center"/>
                </w:tcPr>
                <w:p w14:paraId="3E3E8E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5888.48</w:t>
                  </w:r>
                </w:p>
              </w:tc>
              <w:tc>
                <w:tcPr>
                  <w:tcW w:w="2131" w:type="dxa"/>
                  <w:tcBorders>
                    <w:tl2br w:val="nil"/>
                    <w:tr2bl w:val="nil"/>
                  </w:tcBorders>
                  <w:vAlign w:val="center"/>
                </w:tcPr>
                <w:p w14:paraId="347911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生产原料</w:t>
                  </w:r>
                </w:p>
              </w:tc>
            </w:tr>
            <w:tr w14:paraId="464B83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74571B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矿源腐殖酸粉</w:t>
                  </w:r>
                </w:p>
              </w:tc>
              <w:tc>
                <w:tcPr>
                  <w:tcW w:w="2130" w:type="dxa"/>
                  <w:tcBorders>
                    <w:tl2br w:val="nil"/>
                    <w:tr2bl w:val="nil"/>
                  </w:tcBorders>
                  <w:vAlign w:val="center"/>
                </w:tcPr>
                <w:p w14:paraId="0AC0DF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69</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c>
                <w:tcPr>
                  <w:tcW w:w="2130" w:type="dxa"/>
                  <w:tcBorders>
                    <w:tl2br w:val="nil"/>
                    <w:tr2bl w:val="nil"/>
                  </w:tcBorders>
                  <w:vAlign w:val="center"/>
                </w:tcPr>
                <w:p w14:paraId="0B8D59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20315.256</w:t>
                  </w:r>
                </w:p>
              </w:tc>
              <w:tc>
                <w:tcPr>
                  <w:tcW w:w="2131" w:type="dxa"/>
                  <w:tcBorders>
                    <w:tl2br w:val="nil"/>
                    <w:tr2bl w:val="nil"/>
                  </w:tcBorders>
                  <w:vAlign w:val="center"/>
                </w:tcPr>
                <w:p w14:paraId="29D698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生产原料</w:t>
                  </w:r>
                </w:p>
              </w:tc>
            </w:tr>
            <w:tr w14:paraId="4E660A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shd w:val="clear" w:color="auto" w:fill="auto"/>
                  <w:vAlign w:val="center"/>
                </w:tcPr>
                <w:p w14:paraId="58E48D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复合生物酶粉剂</w:t>
                  </w:r>
                </w:p>
              </w:tc>
              <w:tc>
                <w:tcPr>
                  <w:tcW w:w="2130" w:type="dxa"/>
                  <w:tcBorders>
                    <w:tl2br w:val="nil"/>
                    <w:tr2bl w:val="nil"/>
                  </w:tcBorders>
                  <w:shd w:val="clear" w:color="auto" w:fill="auto"/>
                  <w:vAlign w:val="center"/>
                </w:tcPr>
                <w:p w14:paraId="5F9E98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7%</w:t>
                  </w:r>
                </w:p>
              </w:tc>
              <w:tc>
                <w:tcPr>
                  <w:tcW w:w="2130" w:type="dxa"/>
                  <w:tcBorders>
                    <w:tl2br w:val="nil"/>
                    <w:tr2bl w:val="nil"/>
                  </w:tcBorders>
                  <w:shd w:val="clear" w:color="auto" w:fill="auto"/>
                  <w:vAlign w:val="center"/>
                </w:tcPr>
                <w:p w14:paraId="6B858B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2060.968</w:t>
                  </w:r>
                </w:p>
              </w:tc>
              <w:tc>
                <w:tcPr>
                  <w:tcW w:w="2131" w:type="dxa"/>
                  <w:tcBorders>
                    <w:tl2br w:val="nil"/>
                    <w:tr2bl w:val="nil"/>
                  </w:tcBorders>
                  <w:shd w:val="clear" w:color="auto" w:fill="auto"/>
                  <w:vAlign w:val="center"/>
                </w:tcPr>
                <w:p w14:paraId="49409B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生产原料</w:t>
                  </w:r>
                </w:p>
              </w:tc>
            </w:tr>
            <w:tr w14:paraId="61F85E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33A8E6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过磷酸钙</w:t>
                  </w:r>
                </w:p>
              </w:tc>
              <w:tc>
                <w:tcPr>
                  <w:tcW w:w="2130" w:type="dxa"/>
                  <w:tcBorders>
                    <w:tl2br w:val="nil"/>
                    <w:tr2bl w:val="nil"/>
                  </w:tcBorders>
                  <w:vAlign w:val="center"/>
                </w:tcPr>
                <w:p w14:paraId="1B15AC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w:t>
                  </w:r>
                </w:p>
              </w:tc>
              <w:tc>
                <w:tcPr>
                  <w:tcW w:w="2130" w:type="dxa"/>
                  <w:tcBorders>
                    <w:tl2br w:val="nil"/>
                    <w:tr2bl w:val="nil"/>
                  </w:tcBorders>
                  <w:vAlign w:val="center"/>
                </w:tcPr>
                <w:p w14:paraId="211615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588.848</w:t>
                  </w:r>
                </w:p>
              </w:tc>
              <w:tc>
                <w:tcPr>
                  <w:tcW w:w="2131" w:type="dxa"/>
                  <w:tcBorders>
                    <w:tl2br w:val="nil"/>
                    <w:tr2bl w:val="nil"/>
                  </w:tcBorders>
                  <w:vAlign w:val="center"/>
                </w:tcPr>
                <w:p w14:paraId="4CFB95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生产原料</w:t>
                  </w:r>
                </w:p>
              </w:tc>
            </w:tr>
            <w:tr w14:paraId="7E6ED1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4AE64D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硫酸钾</w:t>
                  </w:r>
                </w:p>
              </w:tc>
              <w:tc>
                <w:tcPr>
                  <w:tcW w:w="2130" w:type="dxa"/>
                  <w:tcBorders>
                    <w:tl2br w:val="nil"/>
                    <w:tr2bl w:val="nil"/>
                  </w:tcBorders>
                  <w:vAlign w:val="center"/>
                </w:tcPr>
                <w:p w14:paraId="633937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w:t>
                  </w:r>
                </w:p>
              </w:tc>
              <w:tc>
                <w:tcPr>
                  <w:tcW w:w="2130" w:type="dxa"/>
                  <w:tcBorders>
                    <w:tl2br w:val="nil"/>
                    <w:tr2bl w:val="nil"/>
                  </w:tcBorders>
                  <w:vAlign w:val="center"/>
                </w:tcPr>
                <w:p w14:paraId="288968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588.848</w:t>
                  </w:r>
                </w:p>
              </w:tc>
              <w:tc>
                <w:tcPr>
                  <w:tcW w:w="2131" w:type="dxa"/>
                  <w:tcBorders>
                    <w:tl2br w:val="nil"/>
                    <w:tr2bl w:val="nil"/>
                  </w:tcBorders>
                  <w:vAlign w:val="center"/>
                </w:tcPr>
                <w:p w14:paraId="33F15B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生产原料</w:t>
                  </w:r>
                </w:p>
              </w:tc>
            </w:tr>
            <w:tr w14:paraId="0CC692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1FCB3E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原料合计</w:t>
                  </w:r>
                </w:p>
              </w:tc>
              <w:tc>
                <w:tcPr>
                  <w:tcW w:w="2130" w:type="dxa"/>
                  <w:tcBorders>
                    <w:tl2br w:val="nil"/>
                    <w:tr2bl w:val="nil"/>
                  </w:tcBorders>
                  <w:vAlign w:val="center"/>
                </w:tcPr>
                <w:p w14:paraId="7EEC20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100%</w:t>
                  </w:r>
                </w:p>
              </w:tc>
              <w:tc>
                <w:tcPr>
                  <w:tcW w:w="2130" w:type="dxa"/>
                  <w:tcBorders>
                    <w:tl2br w:val="nil"/>
                    <w:tr2bl w:val="nil"/>
                  </w:tcBorders>
                  <w:vAlign w:val="center"/>
                </w:tcPr>
                <w:p w14:paraId="03E57D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29442.4</w:t>
                  </w:r>
                </w:p>
              </w:tc>
              <w:tc>
                <w:tcPr>
                  <w:tcW w:w="2131" w:type="dxa"/>
                  <w:tcBorders>
                    <w:tl2br w:val="nil"/>
                    <w:tr2bl w:val="nil"/>
                  </w:tcBorders>
                  <w:vAlign w:val="center"/>
                </w:tcPr>
                <w:p w14:paraId="18FCD6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175EFB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643286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粉状有机肥</w:t>
                  </w:r>
                </w:p>
              </w:tc>
              <w:tc>
                <w:tcPr>
                  <w:tcW w:w="2130" w:type="dxa"/>
                  <w:tcBorders>
                    <w:tl2br w:val="nil"/>
                    <w:tr2bl w:val="nil"/>
                  </w:tcBorders>
                  <w:vAlign w:val="center"/>
                </w:tcPr>
                <w:p w14:paraId="456787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40%</w:t>
                  </w:r>
                </w:p>
              </w:tc>
              <w:tc>
                <w:tcPr>
                  <w:tcW w:w="2130" w:type="dxa"/>
                  <w:tcBorders>
                    <w:tl2br w:val="nil"/>
                    <w:tr2bl w:val="nil"/>
                  </w:tcBorders>
                  <w:vAlign w:val="center"/>
                </w:tcPr>
                <w:p w14:paraId="3CB039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11776.96</w:t>
                  </w:r>
                </w:p>
              </w:tc>
              <w:tc>
                <w:tcPr>
                  <w:tcW w:w="2131" w:type="dxa"/>
                  <w:tcBorders>
                    <w:tl2br w:val="nil"/>
                    <w:tr2bl w:val="nil"/>
                  </w:tcBorders>
                  <w:vAlign w:val="center"/>
                </w:tcPr>
                <w:p w14:paraId="00EEED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最终产品</w:t>
                  </w:r>
                </w:p>
              </w:tc>
            </w:tr>
            <w:tr w14:paraId="0E7E41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3C2230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颗粒状有机肥</w:t>
                  </w:r>
                </w:p>
              </w:tc>
              <w:tc>
                <w:tcPr>
                  <w:tcW w:w="2130" w:type="dxa"/>
                  <w:tcBorders>
                    <w:tl2br w:val="nil"/>
                    <w:tr2bl w:val="nil"/>
                  </w:tcBorders>
                  <w:vAlign w:val="center"/>
                </w:tcPr>
                <w:p w14:paraId="71C2E5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60%</w:t>
                  </w:r>
                </w:p>
              </w:tc>
              <w:tc>
                <w:tcPr>
                  <w:tcW w:w="2130" w:type="dxa"/>
                  <w:tcBorders>
                    <w:tl2br w:val="nil"/>
                    <w:tr2bl w:val="nil"/>
                  </w:tcBorders>
                  <w:vAlign w:val="center"/>
                </w:tcPr>
                <w:p w14:paraId="69F759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17665.44</w:t>
                  </w:r>
                </w:p>
              </w:tc>
              <w:tc>
                <w:tcPr>
                  <w:tcW w:w="2131" w:type="dxa"/>
                  <w:tcBorders>
                    <w:tl2br w:val="nil"/>
                    <w:tr2bl w:val="nil"/>
                  </w:tcBorders>
                  <w:vAlign w:val="center"/>
                </w:tcPr>
                <w:p w14:paraId="3BF8AD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最终产品</w:t>
                  </w:r>
                </w:p>
              </w:tc>
            </w:tr>
            <w:tr w14:paraId="2AAF10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0" w:type="dxa"/>
                  <w:tcBorders>
                    <w:tl2br w:val="nil"/>
                    <w:tr2bl w:val="nil"/>
                  </w:tcBorders>
                  <w:vAlign w:val="center"/>
                </w:tcPr>
                <w:p w14:paraId="6131EF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产品合计</w:t>
                  </w:r>
                </w:p>
              </w:tc>
              <w:tc>
                <w:tcPr>
                  <w:tcW w:w="2130" w:type="dxa"/>
                  <w:tcBorders>
                    <w:tl2br w:val="nil"/>
                    <w:tr2bl w:val="nil"/>
                  </w:tcBorders>
                  <w:vAlign w:val="center"/>
                </w:tcPr>
                <w:p w14:paraId="5BD356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000000" w:themeColor="text1"/>
                      <w:kern w:val="2"/>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100%</w:t>
                  </w:r>
                </w:p>
              </w:tc>
              <w:tc>
                <w:tcPr>
                  <w:tcW w:w="2130" w:type="dxa"/>
                  <w:tcBorders>
                    <w:tl2br w:val="nil"/>
                    <w:tr2bl w:val="nil"/>
                  </w:tcBorders>
                  <w:vAlign w:val="center"/>
                </w:tcPr>
                <w:p w14:paraId="052F62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29442.4</w:t>
                  </w:r>
                </w:p>
              </w:tc>
              <w:tc>
                <w:tcPr>
                  <w:tcW w:w="2131" w:type="dxa"/>
                  <w:tcBorders>
                    <w:tl2br w:val="nil"/>
                    <w:tr2bl w:val="nil"/>
                  </w:tcBorders>
                  <w:vAlign w:val="center"/>
                </w:tcPr>
                <w:p w14:paraId="0EC270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w:t>
                  </w:r>
                </w:p>
              </w:tc>
            </w:tr>
            <w:tr w14:paraId="62726E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21" w:type="dxa"/>
                  <w:gridSpan w:val="4"/>
                  <w:tcBorders>
                    <w:tl2br w:val="nil"/>
                    <w:tr2bl w:val="nil"/>
                  </w:tcBorders>
                  <w:vAlign w:val="center"/>
                </w:tcPr>
                <w:p w14:paraId="15F4807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注：</w:t>
                  </w: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炭块粉碎</w:t>
                  </w:r>
                  <w:r>
                    <w:rPr>
                      <w:rFonts w:hint="eastAsia" w:cs="Times New Roman"/>
                      <w:snapToGrid/>
                      <w:color w:val="000000" w:themeColor="text1"/>
                      <w:kern w:val="2"/>
                      <w:sz w:val="21"/>
                      <w:szCs w:val="21"/>
                      <w:highlight w:val="none"/>
                      <w:lang w:val="en-US" w:eastAsia="zh-CN"/>
                      <w14:textFill>
                        <w14:solidFill>
                          <w14:schemeClr w14:val="tx1"/>
                        </w14:solidFill>
                      </w14:textFill>
                    </w:rPr>
                    <w:t>逸散粉尘按照4t计。</w:t>
                  </w:r>
                </w:p>
              </w:tc>
            </w:tr>
          </w:tbl>
          <w:p w14:paraId="7C13527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本项目不涉及发酵堆肥工序，生产过程添加复合生物酶粉剂、木炭，在功能性炭基酶肥掺混生产中具有明确、合理的必要性，不属于工艺冗余。其中复合生物酶粉剂不作为发酵菌剂使用，主要充当功能增效剂，依靠催化作用加快土壤养分转化效率，提升作物对氮、磷、钾养分的吸收能力，同时改良土壤微生态环境；木炭无法直接被作物吸收利用，作为土壤调理剂与养分缓释载体，依靠自身多孔结构吸附养分，实现养分缓释控释效果，还可补充土壤碳源，改善土壤通气、保水保墒性能。项目将木炭、矿源腐殖酸粉、过磷酸钙、硫酸钾、复合生物酶粉剂、膨润土按质量配比</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物理掺混，制得兼具养分缓释、土壤改良、肥效增效等特性的炭基酶肥产品，符合新型肥料技术发展方向。</w:t>
            </w:r>
          </w:p>
          <w:p w14:paraId="487DB74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（3）物料平衡</w:t>
            </w:r>
          </w:p>
          <w:p w14:paraId="4DB59EC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综上所述</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物料平衡</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见表2-</w:t>
            </w:r>
            <w:r>
              <w:rPr>
                <w:rFonts w:hint="eastAsia" w:cs="Times New Roman"/>
                <w:color w:val="000000" w:themeColor="text1"/>
                <w:sz w:val="24"/>
                <w:szCs w:val="24"/>
                <w:highlight w:val="none"/>
                <w:lang w:val="en-US" w:eastAsia="zh-CN"/>
                <w14:textFill>
                  <w14:solidFill>
                    <w14:schemeClr w14:val="tx1"/>
                  </w14:solidFill>
                </w14:textFill>
              </w:rPr>
              <w:t>11</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p>
          <w:p w14:paraId="3D0741A5">
            <w:pPr>
              <w:adjustRightInd w:val="0"/>
              <w:snapToGrid w:val="0"/>
              <w:jc w:val="cente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w:t>
            </w:r>
            <w: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2-</w:t>
            </w:r>
            <w:r>
              <w:rPr>
                <w:rFonts w:hint="eastAsia" w:cs="Times New Roman"/>
                <w:b/>
                <w:color w:val="000000" w:themeColor="text1"/>
                <w:kern w:val="2"/>
                <w:sz w:val="21"/>
                <w:szCs w:val="21"/>
                <w:highlight w:val="none"/>
                <w:lang w:val="en-US" w:eastAsia="zh-CN"/>
                <w14:textFill>
                  <w14:solidFill>
                    <w14:schemeClr w14:val="tx1"/>
                  </w14:solidFill>
                </w14:textFill>
              </w:rPr>
              <w:t>11</w:t>
            </w:r>
            <w: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项目物料平衡一览表</w:t>
            </w:r>
          </w:p>
          <w:tbl>
            <w:tblPr>
              <w:tblStyle w:val="29"/>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09"/>
              <w:gridCol w:w="1409"/>
              <w:gridCol w:w="1976"/>
              <w:gridCol w:w="1742"/>
              <w:gridCol w:w="1409"/>
            </w:tblGrid>
            <w:tr w14:paraId="4DBEC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818" w:type="dxa"/>
                  <w:gridSpan w:val="2"/>
                  <w:tcBorders>
                    <w:top w:val="single" w:color="000000" w:sz="12" w:space="0"/>
                    <w:left w:val="nil"/>
                    <w:bottom w:val="single" w:color="000000" w:sz="8" w:space="0"/>
                    <w:right w:val="single" w:color="000000" w:sz="8" w:space="0"/>
                  </w:tcBorders>
                  <w:shd w:val="clear" w:color="auto" w:fill="auto"/>
                  <w:vAlign w:val="center"/>
                </w:tcPr>
                <w:p w14:paraId="5A3D40A4">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投入（</w:t>
                  </w:r>
                  <w:r>
                    <w:rPr>
                      <w:rStyle w:val="87"/>
                      <w:rFonts w:eastAsia="宋体"/>
                      <w:color w:val="000000" w:themeColor="text1"/>
                      <w:lang w:val="en-US" w:eastAsia="zh-CN" w:bidi="ar"/>
                      <w14:textFill>
                        <w14:solidFill>
                          <w14:schemeClr w14:val="tx1"/>
                        </w14:solidFill>
                      </w14:textFill>
                    </w:rPr>
                    <w:t>t/a</w:t>
                  </w:r>
                  <w:r>
                    <w:rPr>
                      <w:rStyle w:val="82"/>
                      <w:color w:val="000000" w:themeColor="text1"/>
                      <w:lang w:val="en-US" w:eastAsia="zh-CN" w:bidi="ar"/>
                      <w14:textFill>
                        <w14:solidFill>
                          <w14:schemeClr w14:val="tx1"/>
                        </w14:solidFill>
                      </w14:textFill>
                    </w:rPr>
                    <w:t>）</w:t>
                  </w:r>
                </w:p>
              </w:tc>
              <w:tc>
                <w:tcPr>
                  <w:tcW w:w="5127" w:type="dxa"/>
                  <w:gridSpan w:val="3"/>
                  <w:tcBorders>
                    <w:top w:val="single" w:color="000000" w:sz="12" w:space="0"/>
                    <w:left w:val="single" w:color="000000" w:sz="8" w:space="0"/>
                    <w:bottom w:val="single" w:color="000000" w:sz="8" w:space="0"/>
                    <w:right w:val="nil"/>
                  </w:tcBorders>
                  <w:shd w:val="clear" w:color="auto" w:fill="auto"/>
                  <w:vAlign w:val="center"/>
                </w:tcPr>
                <w:p w14:paraId="55C3D4E4">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产出（</w:t>
                  </w:r>
                  <w:r>
                    <w:rPr>
                      <w:rStyle w:val="87"/>
                      <w:rFonts w:eastAsia="宋体"/>
                      <w:color w:val="000000" w:themeColor="text1"/>
                      <w:lang w:val="en-US" w:eastAsia="zh-CN" w:bidi="ar"/>
                      <w14:textFill>
                        <w14:solidFill>
                          <w14:schemeClr w14:val="tx1"/>
                        </w14:solidFill>
                      </w14:textFill>
                    </w:rPr>
                    <w:t>t/a</w:t>
                  </w:r>
                  <w:r>
                    <w:rPr>
                      <w:rStyle w:val="82"/>
                      <w:color w:val="000000" w:themeColor="text1"/>
                      <w:lang w:val="en-US" w:eastAsia="zh-CN" w:bidi="ar"/>
                      <w14:textFill>
                        <w14:solidFill>
                          <w14:schemeClr w14:val="tx1"/>
                        </w14:solidFill>
                      </w14:textFill>
                    </w:rPr>
                    <w:t>）</w:t>
                  </w:r>
                </w:p>
              </w:tc>
            </w:tr>
            <w:tr w14:paraId="0C664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61E3179F">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名称</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CD66A0">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数量</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74D6B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名称</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12709B">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数量</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09346F8F">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备注</w:t>
                  </w:r>
                </w:p>
              </w:tc>
            </w:tr>
            <w:tr w14:paraId="0B5DE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7CE62D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果木树枝及农业秸秆</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88F70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19207.104</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9F72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粉状有机肥</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6CA48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11776.96</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290C129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产品</w:t>
                  </w:r>
                </w:p>
              </w:tc>
            </w:tr>
            <w:tr w14:paraId="2927F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6C375835">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矿源腐殖酸粉</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47B9BC4">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20315.256</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08601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颗粒状有机肥</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20B73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17665.44</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7AEC56A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产品</w:t>
                  </w:r>
                </w:p>
              </w:tc>
            </w:tr>
            <w:tr w14:paraId="65889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24997C4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复合生物酶粉剂</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D270A8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2060.968</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21CB7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木醋液</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26C2C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7891.584</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5C6B9C4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副产品</w:t>
                  </w:r>
                </w:p>
              </w:tc>
            </w:tr>
            <w:tr w14:paraId="1F87F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5BD4756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硫酸钾</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87A8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588.848</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20E796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木焦油</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3FCD49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1488</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7EE2B56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副产品</w:t>
                  </w:r>
                </w:p>
              </w:tc>
            </w:tr>
            <w:tr w14:paraId="4FF31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4DC1CA2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过磷酸钙</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9D802F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588.848</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112C6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木煤气</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0EBB37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3035.52</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6B72E9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燃烧后用于热储能</w:t>
                  </w:r>
                </w:p>
              </w:tc>
            </w:tr>
            <w:tr w14:paraId="6E220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0525B115">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14:textFill>
                        <w14:solidFill>
                          <w14:schemeClr w14:val="tx1"/>
                        </w14:solidFill>
                      </w14:textFill>
                    </w:rPr>
                    <w:t>氢氧化钙</w:t>
                  </w:r>
                  <w:r>
                    <w:rPr>
                      <w:rFonts w:hint="eastAsia" w:cs="Times New Roman"/>
                      <w:i w:val="0"/>
                      <w:iCs w:val="0"/>
                      <w:color w:val="000000" w:themeColor="text1"/>
                      <w:sz w:val="21"/>
                      <w:szCs w:val="21"/>
                      <w:u w:val="none"/>
                      <w:lang w:eastAsia="zh-CN"/>
                      <w14:textFill>
                        <w14:solidFill>
                          <w14:schemeClr w14:val="tx1"/>
                        </w14:solidFill>
                      </w14:textFill>
                    </w:rPr>
                    <w:t>（</w:t>
                  </w:r>
                  <w:r>
                    <w:rPr>
                      <w:rFonts w:hint="eastAsia" w:cs="Times New Roman"/>
                      <w:i w:val="0"/>
                      <w:iCs w:val="0"/>
                      <w:color w:val="000000" w:themeColor="text1"/>
                      <w:sz w:val="21"/>
                      <w:szCs w:val="21"/>
                      <w:u w:val="none"/>
                      <w:lang w:val="en-US" w:eastAsia="zh-CN"/>
                      <w14:textFill>
                        <w14:solidFill>
                          <w14:schemeClr w14:val="tx1"/>
                        </w14:solidFill>
                      </w14:textFill>
                    </w:rPr>
                    <w:t>绝干量</w:t>
                  </w:r>
                  <w:r>
                    <w:rPr>
                      <w:rFonts w:hint="eastAsia" w:cs="Times New Roman"/>
                      <w:i w:val="0"/>
                      <w:iCs w:val="0"/>
                      <w:color w:val="000000" w:themeColor="text1"/>
                      <w:sz w:val="21"/>
                      <w:szCs w:val="21"/>
                      <w:u w:val="none"/>
                      <w:lang w:eastAsia="zh-CN"/>
                      <w14:textFill>
                        <w14:solidFill>
                          <w14:schemeClr w14:val="tx1"/>
                        </w14:solidFill>
                      </w14:textFill>
                    </w:rPr>
                    <w:t>）</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DFDC3C2">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9918.88</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DBB5A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除尘灰</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801B1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25.14087003</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1D5D68F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回用于生产线</w:t>
                  </w:r>
                </w:p>
              </w:tc>
            </w:tr>
            <w:tr w14:paraId="2A33A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43D97962">
                  <w:pPr>
                    <w:jc w:val="center"/>
                    <w:rPr>
                      <w:rFonts w:hint="eastAsia" w:ascii="Times New Roman" w:hAnsi="Times New Roman" w:eastAsia="宋体" w:cs="Times New Roman"/>
                      <w:i w:val="0"/>
                      <w:iCs w:val="0"/>
                      <w:color w:val="000000" w:themeColor="text1"/>
                      <w:sz w:val="21"/>
                      <w:szCs w:val="21"/>
                      <w:u w:val="none"/>
                      <w:lang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E4C0480">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3C4844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水蒸汽</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D868B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3412.636</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536CF5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逸散至大气环境</w:t>
                  </w:r>
                </w:p>
              </w:tc>
            </w:tr>
            <w:tr w14:paraId="5B9FC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08DD0E01">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D386E86">
                  <w:pPr>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D5554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颗粒物</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F9B16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2.460369968</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1E932D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逸散至大气环境</w:t>
                  </w:r>
                </w:p>
              </w:tc>
            </w:tr>
            <w:tr w14:paraId="1B9E4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62F2C025">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1EFE910">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AC0BE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土块及石子</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05FF8F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12E2D60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统一移交农户，运至低洼地块进行填埋处理</w:t>
                  </w:r>
                </w:p>
              </w:tc>
            </w:tr>
            <w:tr w14:paraId="12242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3307D0F4">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A83C92">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BF397D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氧化钙</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F4CB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7506.18</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758BC0F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外售</w:t>
                  </w:r>
                </w:p>
              </w:tc>
            </w:tr>
            <w:tr w14:paraId="2E964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8" w:space="0"/>
                    <w:right w:val="single" w:color="000000" w:sz="8" w:space="0"/>
                  </w:tcBorders>
                  <w:shd w:val="clear" w:color="auto" w:fill="auto"/>
                  <w:vAlign w:val="center"/>
                </w:tcPr>
                <w:p w14:paraId="279D112C">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c>
                <w:tcPr>
                  <w:tcW w:w="140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232D22">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w:t>
                  </w:r>
                </w:p>
              </w:tc>
              <w:tc>
                <w:tcPr>
                  <w:tcW w:w="197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C377AB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其他损耗</w:t>
                  </w:r>
                </w:p>
              </w:tc>
              <w:tc>
                <w:tcPr>
                  <w:tcW w:w="174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C5388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129.01724</w:t>
                  </w:r>
                </w:p>
              </w:tc>
              <w:tc>
                <w:tcPr>
                  <w:tcW w:w="1409" w:type="dxa"/>
                  <w:tcBorders>
                    <w:top w:val="single" w:color="000000" w:sz="8" w:space="0"/>
                    <w:left w:val="single" w:color="000000" w:sz="8" w:space="0"/>
                    <w:bottom w:val="single" w:color="000000" w:sz="8" w:space="0"/>
                    <w:right w:val="nil"/>
                  </w:tcBorders>
                  <w:shd w:val="clear" w:color="auto" w:fill="auto"/>
                  <w:vAlign w:val="center"/>
                </w:tcPr>
                <w:p w14:paraId="7B4EE42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63731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9" w:type="dxa"/>
                  <w:tcBorders>
                    <w:top w:val="single" w:color="000000" w:sz="8" w:space="0"/>
                    <w:left w:val="nil"/>
                    <w:bottom w:val="single" w:color="000000" w:sz="12" w:space="0"/>
                    <w:right w:val="single" w:color="000000" w:sz="8" w:space="0"/>
                  </w:tcBorders>
                  <w:shd w:val="clear" w:color="auto" w:fill="auto"/>
                  <w:vAlign w:val="center"/>
                </w:tcPr>
                <w:p w14:paraId="0ED1D6D7">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小计</w:t>
                  </w:r>
                </w:p>
              </w:tc>
              <w:tc>
                <w:tcPr>
                  <w:tcW w:w="1409" w:type="dxa"/>
                  <w:tcBorders>
                    <w:top w:val="single" w:color="000000" w:sz="8" w:space="0"/>
                    <w:left w:val="single" w:color="000000" w:sz="8" w:space="0"/>
                    <w:bottom w:val="single" w:color="000000" w:sz="12" w:space="0"/>
                    <w:right w:val="single" w:color="000000" w:sz="8" w:space="0"/>
                  </w:tcBorders>
                  <w:shd w:val="clear" w:color="auto" w:fill="auto"/>
                  <w:vAlign w:val="center"/>
                </w:tcPr>
                <w:p w14:paraId="314A1BB9">
                  <w:pPr>
                    <w:widowControl w:val="0"/>
                    <w:kinsoku/>
                    <w:autoSpaceDE/>
                    <w:autoSpaceDN/>
                    <w:adjustRightInd/>
                    <w:snapToGrid/>
                    <w:spacing w:after="0" w:line="240" w:lineRule="auto"/>
                    <w:jc w:val="center"/>
                    <w:textAlignment w:val="auto"/>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52679.904</w:t>
                  </w:r>
                </w:p>
              </w:tc>
              <w:tc>
                <w:tcPr>
                  <w:tcW w:w="1976" w:type="dxa"/>
                  <w:tcBorders>
                    <w:top w:val="single" w:color="000000" w:sz="8" w:space="0"/>
                    <w:left w:val="single" w:color="000000" w:sz="8" w:space="0"/>
                    <w:bottom w:val="single" w:color="000000" w:sz="12" w:space="0"/>
                    <w:right w:val="single" w:color="000000" w:sz="8" w:space="0"/>
                  </w:tcBorders>
                  <w:shd w:val="clear" w:color="auto" w:fill="auto"/>
                  <w:vAlign w:val="center"/>
                </w:tcPr>
                <w:p w14:paraId="156908D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742" w:type="dxa"/>
                  <w:tcBorders>
                    <w:top w:val="single" w:color="000000" w:sz="8" w:space="0"/>
                    <w:left w:val="single" w:color="000000" w:sz="8" w:space="0"/>
                    <w:bottom w:val="single" w:color="000000" w:sz="12" w:space="0"/>
                    <w:right w:val="single" w:color="000000" w:sz="8" w:space="0"/>
                  </w:tcBorders>
                  <w:shd w:val="clear" w:color="auto" w:fill="auto"/>
                  <w:vAlign w:val="center"/>
                </w:tcPr>
                <w:p w14:paraId="7AB20E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52679.904</w:t>
                  </w:r>
                </w:p>
              </w:tc>
              <w:tc>
                <w:tcPr>
                  <w:tcW w:w="1409" w:type="dxa"/>
                  <w:tcBorders>
                    <w:top w:val="single" w:color="000000" w:sz="8" w:space="0"/>
                    <w:left w:val="single" w:color="000000" w:sz="8" w:space="0"/>
                    <w:bottom w:val="single" w:color="000000" w:sz="12" w:space="0"/>
                    <w:right w:val="nil"/>
                  </w:tcBorders>
                  <w:shd w:val="clear" w:color="auto" w:fill="auto"/>
                  <w:vAlign w:val="center"/>
                </w:tcPr>
                <w:p w14:paraId="6CDA8F9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bl>
          <w:p w14:paraId="0439FC5D">
            <w:pPr>
              <w:autoSpaceDE w:val="0"/>
              <w:autoSpaceDN w:val="0"/>
              <w:adjustRightInd w:val="0"/>
              <w:snapToGrid w:val="0"/>
              <w:spacing w:line="360" w:lineRule="auto"/>
              <w:ind w:firstLine="482" w:firstLineChars="200"/>
              <w:jc w:val="both"/>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8、热储能分析</w:t>
            </w:r>
          </w:p>
          <w:p w14:paraId="45062C6F">
            <w:pPr>
              <w:autoSpaceDE w:val="0"/>
              <w:autoSpaceDN w:val="0"/>
              <w:adjustRightInd w:val="0"/>
              <w:snapToGrid w:val="0"/>
              <w:spacing w:line="360" w:lineRule="auto"/>
              <w:ind w:firstLine="480" w:firstLineChars="200"/>
              <w:jc w:val="both"/>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根据《生物质热解燃气质量评价》（NY/T3898-2021），生物质热解燃气（木煤气）一类低位发热量＞14000kJ/Nm</w:t>
            </w:r>
            <w:r>
              <w:rPr>
                <w:rFonts w:hint="eastAsia"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，二类低位发热量＞10000kJ/Nm</w:t>
            </w:r>
            <w:r>
              <w:rPr>
                <w:rFonts w:hint="eastAsia"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，三类低位发热量＞4600kJ/Nm</w:t>
            </w:r>
            <w:r>
              <w:rPr>
                <w:rFonts w:hint="eastAsia"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，本项目按照二类指标进行计算，</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本次取1</w:t>
            </w:r>
            <w:r>
              <w:rPr>
                <w:rFonts w:hint="eastAsia" w:cs="Times New Roman"/>
                <w:b w:val="0"/>
                <w:bCs w:val="0"/>
                <w:color w:val="000000" w:themeColor="text1"/>
                <w:sz w:val="24"/>
                <w:szCs w:val="24"/>
                <w:highlight w:val="none"/>
                <w:lang w:val="en-US" w:eastAsia="zh-CN"/>
                <w14:textFill>
                  <w14:solidFill>
                    <w14:schemeClr w14:val="tx1"/>
                  </w14:solidFill>
                </w14:textFill>
              </w:rPr>
              <w:t>0</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000kJ/Nm</w:t>
            </w:r>
            <w:r>
              <w:rPr>
                <w:rFonts w:hint="default"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，项目年产木煤气</w:t>
            </w:r>
            <w:r>
              <w:rPr>
                <w:rFonts w:hint="eastAsia" w:cs="Times New Roman"/>
                <w:snapToGrid/>
                <w:color w:val="000000" w:themeColor="text1"/>
                <w:kern w:val="2"/>
                <w:sz w:val="24"/>
                <w:szCs w:val="24"/>
                <w:highlight w:val="none"/>
                <w:lang w:val="en-US" w:eastAsia="zh-CN"/>
                <w14:textFill>
                  <w14:solidFill>
                    <w14:schemeClr w14:val="tx1"/>
                  </w14:solidFill>
                </w14:textFill>
              </w:rPr>
              <w:t>3035.52</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t</w:t>
            </w:r>
            <w:r>
              <w:rPr>
                <w:rFonts w:hint="eastAsia" w:cs="Times New Roman"/>
                <w:b w:val="0"/>
                <w:bCs w:val="0"/>
                <w:color w:val="000000" w:themeColor="text1"/>
                <w:sz w:val="24"/>
                <w:szCs w:val="24"/>
                <w:highlight w:val="none"/>
                <w:lang w:val="en-US" w:eastAsia="zh-CN"/>
                <w14:textFill>
                  <w14:solidFill>
                    <w14:schemeClr w14:val="tx1"/>
                  </w14:solidFill>
                </w14:textFill>
              </w:rPr>
              <w:t>，逸散损耗按照0.5%计算，可燃烧的</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木煤气</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为</w:t>
            </w:r>
            <w:r>
              <w:rPr>
                <w:rFonts w:hint="eastAsia" w:cs="Times New Roman"/>
                <w:b w:val="0"/>
                <w:bCs w:val="0"/>
                <w:color w:val="000000" w:themeColor="text1"/>
                <w:sz w:val="24"/>
                <w:szCs w:val="24"/>
                <w:highlight w:val="none"/>
                <w:lang w:val="en-US" w:eastAsia="zh-CN"/>
                <w14:textFill>
                  <w14:solidFill>
                    <w14:schemeClr w14:val="tx1"/>
                  </w14:solidFill>
                </w14:textFill>
              </w:rPr>
              <w:t>3020.3424</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t</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密度取1.3kg/m</w:t>
            </w:r>
            <w:r>
              <w:rPr>
                <w:rFonts w:hint="default"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，木煤气发热量Q木煤气=</w:t>
            </w:r>
            <w:r>
              <w:rPr>
                <w:rFonts w:hint="eastAsia" w:cs="Times New Roman"/>
                <w:b w:val="0"/>
                <w:bCs w:val="0"/>
                <w:color w:val="000000" w:themeColor="text1"/>
                <w:sz w:val="24"/>
                <w:szCs w:val="24"/>
                <w:highlight w:val="none"/>
                <w:lang w:val="en-US" w:eastAsia="zh-CN"/>
                <w14:textFill>
                  <w14:solidFill>
                    <w14:schemeClr w14:val="tx1"/>
                  </w14:solidFill>
                </w14:textFill>
              </w:rPr>
              <w:t>2.32</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×10</w:t>
            </w:r>
            <w:r>
              <w:rPr>
                <w:rFonts w:hint="eastAsia"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10</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kJ/a。</w:t>
            </w:r>
          </w:p>
          <w:p w14:paraId="0C449526">
            <w:pPr>
              <w:autoSpaceDE w:val="0"/>
              <w:autoSpaceDN w:val="0"/>
              <w:adjustRightInd w:val="0"/>
              <w:snapToGrid w:val="0"/>
              <w:spacing w:line="360" w:lineRule="auto"/>
              <w:ind w:firstLine="480" w:firstLineChars="200"/>
              <w:jc w:val="both"/>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储能介质为</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氢氧化钙-氧化钙/水体系</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。外界供热加热固体氢氧化钙（在热储能设备内燃烧</w:t>
            </w:r>
            <w:r>
              <w:rPr>
                <w:rFonts w:hint="eastAsia" w:cs="Times New Roman"/>
                <w:snapToGrid/>
                <w:color w:val="000000" w:themeColor="text1"/>
                <w:kern w:val="2"/>
                <w:sz w:val="24"/>
                <w:szCs w:val="24"/>
                <w:highlight w:val="none"/>
                <w:lang w:val="en-US" w:eastAsia="zh-CN"/>
                <w14:textFill>
                  <w14:solidFill>
                    <w14:schemeClr w14:val="tx1"/>
                  </w14:solidFill>
                </w14:textFill>
              </w:rPr>
              <w:t>，用量为9918.88</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t/a</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），反应正向分解：</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object>
                <v:shape id="_x0000_i1029" o:spt="75" type="#_x0000_t75" style="height:20pt;width:137pt;" o:ole="t" filled="f" o:preferrelative="t" stroked="f" coordsize="21600,21600">
                  <v:path/>
                  <v:fill on="f" focussize="0,0"/>
                  <v:stroke on="f"/>
                  <v:imagedata r:id="rId8" o:title=""/>
                  <o:lock v:ext="edit" aspectratio="t"/>
                  <w10:wrap type="none"/>
                  <w10:anchorlock/>
                </v:shape>
                <o:OLEObject Type="Embed" ProgID="Equation.KSEE3" ShapeID="_x0000_i1029" DrawAspect="Content" ObjectID="_1468075729" r:id="rId13">
                  <o:LockedField>false</o:LockedField>
                </o:OLEObject>
              </w:objec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，每摩尔反应吸收104kJ热量；生石灰（氧化钙）和水重新混合接触，逆向化合反应自发进行：</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object>
                <v:shape id="_x0000_i1030" o:spt="75" type="#_x0000_t75" style="height:20pt;width:136pt;" o:ole="t" filled="f" o:preferrelative="t" stroked="f" coordsize="21600,21600">
                  <v:path/>
                  <v:fill on="f" focussize="0,0"/>
                  <v:stroke on="f"/>
                  <v:imagedata r:id="rId10" o:title=""/>
                  <o:lock v:ext="edit" aspectratio="t"/>
                  <w10:wrap type="none"/>
                  <w10:anchorlock/>
                </v:shape>
                <o:OLEObject Type="Embed" ProgID="Equation.KSEE3" ShapeID="_x0000_i1030" DrawAspect="Content" ObjectID="_1468075730" r:id="rId14">
                  <o:LockedField>false</o:LockedField>
                </o:OLEObject>
              </w:objec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，每摩尔释</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放104kJ热量</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，产出高温热流体用于供暖等；反应产物变回氢氧化钙，可再次加热循环储热</w:t>
            </w:r>
            <w:r>
              <w:rPr>
                <w:rFonts w:hint="eastAsia" w:cs="Times New Roman"/>
                <w:snapToGrid/>
                <w:color w:val="000000" w:themeColor="text1"/>
                <w:kern w:val="2"/>
                <w:sz w:val="24"/>
                <w:szCs w:val="24"/>
                <w:highlight w:val="none"/>
                <w:lang w:val="en-US" w:eastAsia="zh-CN"/>
                <w14:textFill>
                  <w14:solidFill>
                    <w14:schemeClr w14:val="tx1"/>
                  </w14:solidFill>
                </w14:textFill>
              </w:rPr>
              <w:t>，无固废产生。</w:t>
            </w:r>
          </w:p>
          <w:p w14:paraId="371E2000">
            <w:pPr>
              <w:autoSpaceDE w:val="0"/>
              <w:autoSpaceDN w:val="0"/>
              <w:adjustRightInd w:val="0"/>
              <w:snapToGrid w:val="0"/>
              <w:spacing w:line="360" w:lineRule="auto"/>
              <w:ind w:firstLine="480" w:firstLineChars="200"/>
              <w:jc w:val="both"/>
              <w:rPr>
                <w:rFonts w:hint="eastAsia" w:ascii="Times New Roman" w:hAnsi="Times New Roman" w:eastAsia="宋体" w:cs="Times New Roman"/>
                <w:i w:val="0"/>
                <w:iCs w:val="0"/>
                <w:caps w:val="0"/>
                <w:color w:val="000000" w:themeColor="text1"/>
                <w:spacing w:val="0"/>
                <w:sz w:val="24"/>
                <w:szCs w:val="24"/>
                <w:shd w:val="clear" w:fill="FFFFFF"/>
                <w:lang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根据设备厂家提供信息，热风炉内</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热量</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与</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储能介质间的转化效率</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约为</w:t>
            </w:r>
            <w:r>
              <w:rPr>
                <w:rFonts w:hint="eastAsia" w:cs="Times New Roman"/>
                <w:snapToGrid/>
                <w:color w:val="000000" w:themeColor="text1"/>
                <w:kern w:val="2"/>
                <w:sz w:val="24"/>
                <w:szCs w:val="24"/>
                <w:highlight w:val="none"/>
                <w:lang w:val="en-US" w:eastAsia="zh-CN"/>
                <w14:textFill>
                  <w14:solidFill>
                    <w14:schemeClr w14:val="tx1"/>
                  </w14:solidFill>
                </w14:textFill>
              </w:rPr>
              <w:t>6</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0%，则生产生石灰（氧化钙）为</w:t>
            </w:r>
            <w:r>
              <w:rPr>
                <w:rFonts w:hint="eastAsia" w:cs="Times New Roman"/>
                <w:snapToGrid/>
                <w:color w:val="000000" w:themeColor="text1"/>
                <w:kern w:val="2"/>
                <w:sz w:val="24"/>
                <w:szCs w:val="24"/>
                <w:highlight w:val="none"/>
                <w:lang w:val="en-US" w:eastAsia="zh-CN"/>
                <w14:textFill>
                  <w14:solidFill>
                    <w14:schemeClr w14:val="tx1"/>
                  </w14:solidFill>
                </w14:textFill>
              </w:rPr>
              <w:t>7506.18</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t/a，吸收并储存</w:t>
            </w:r>
            <w:r>
              <w:rPr>
                <w:rFonts w:hint="eastAsia" w:cs="Times New Roman"/>
                <w:snapToGrid/>
                <w:color w:val="000000" w:themeColor="text1"/>
                <w:kern w:val="2"/>
                <w:sz w:val="24"/>
                <w:szCs w:val="24"/>
                <w:highlight w:val="none"/>
                <w:lang w:val="en-US" w:eastAsia="zh-CN"/>
                <w14:textFill>
                  <w14:solidFill>
                    <w14:schemeClr w14:val="tx1"/>
                  </w14:solidFill>
                </w14:textFill>
              </w:rPr>
              <w:t>的</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热量为</w:t>
            </w:r>
            <w:r>
              <w:rPr>
                <w:rFonts w:hint="eastAsia" w:cs="Times New Roman"/>
                <w:snapToGrid/>
                <w:color w:val="000000" w:themeColor="text1"/>
                <w:kern w:val="2"/>
                <w:sz w:val="24"/>
                <w:szCs w:val="24"/>
                <w:highlight w:val="none"/>
                <w:lang w:val="en-US" w:eastAsia="zh-CN"/>
                <w14:textFill>
                  <w14:solidFill>
                    <w14:schemeClr w14:val="tx1"/>
                  </w14:solidFill>
                </w14:textFill>
              </w:rPr>
              <w:t>1.39</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×10</w:t>
            </w:r>
            <w:r>
              <w:rPr>
                <w:rFonts w:hint="eastAsia" w:cs="Times New Roman"/>
                <w:b w:val="0"/>
                <w:bCs w:val="0"/>
                <w:color w:val="000000" w:themeColor="text1"/>
                <w:sz w:val="24"/>
                <w:szCs w:val="24"/>
                <w:highlight w:val="none"/>
                <w:vertAlign w:val="superscript"/>
                <w:lang w:val="en-US" w:eastAsia="zh-CN"/>
                <w14:textFill>
                  <w14:solidFill>
                    <w14:schemeClr w14:val="tx1"/>
                  </w14:solidFill>
                </w14:textFill>
              </w:rPr>
              <w:t>10</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kJ/a</w:t>
            </w:r>
            <w:r>
              <w:rPr>
                <w:rFonts w:hint="eastAsia" w:ascii="Times New Roman" w:hAnsi="Times New Roman" w:eastAsia="宋体" w:cs="Times New Roman"/>
                <w:i w:val="0"/>
                <w:iCs w:val="0"/>
                <w:caps w:val="0"/>
                <w:color w:val="000000" w:themeColor="text1"/>
                <w:spacing w:val="0"/>
                <w:sz w:val="24"/>
                <w:szCs w:val="24"/>
                <w:shd w:val="clear" w:fill="FFFFFF"/>
                <w:lang w:eastAsia="zh-CN"/>
                <w14:textFill>
                  <w14:solidFill>
                    <w14:schemeClr w14:val="tx1"/>
                  </w14:solidFill>
                </w14:textFill>
              </w:rPr>
              <w:t>。</w:t>
            </w:r>
          </w:p>
          <w:p w14:paraId="116B2ABD">
            <w:pPr>
              <w:autoSpaceDE w:val="0"/>
              <w:autoSpaceDN w:val="0"/>
              <w:adjustRightInd w:val="0"/>
              <w:snapToGrid w:val="0"/>
              <w:spacing w:line="360" w:lineRule="auto"/>
              <w:ind w:firstLine="482" w:firstLineChars="200"/>
              <w:jc w:val="both"/>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9</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、劳动定员及工作制度</w:t>
            </w:r>
          </w:p>
          <w:p w14:paraId="2799C8D7">
            <w:pPr>
              <w:keepNext w:val="0"/>
              <w:keepLines w:val="0"/>
              <w:pageBreakBefore w:val="0"/>
              <w:widowControl w:val="0"/>
              <w:kinsoku/>
              <w:wordWrap/>
              <w:overflowPunct/>
              <w:topLinePunct w:val="0"/>
              <w:autoSpaceDE/>
              <w:autoSpaceDN/>
              <w:bidi w:val="0"/>
              <w:adjustRightInd w:val="0"/>
              <w:snapToGrid w:val="0"/>
              <w:spacing w:line="360" w:lineRule="auto"/>
              <w:ind w:leftChars="0" w:firstLine="482"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劳动定员：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项目总劳动定员为</w:t>
            </w:r>
            <w:r>
              <w:rPr>
                <w:rFonts w:hint="eastAsia" w:cs="Times New Roman"/>
                <w:color w:val="000000" w:themeColor="text1"/>
                <w:sz w:val="24"/>
                <w:szCs w:val="24"/>
                <w:highlight w:val="none"/>
                <w:lang w:val="en-US" w:eastAsia="zh-CN"/>
                <w14:textFill>
                  <w14:solidFill>
                    <w14:schemeClr w14:val="tx1"/>
                  </w14:solidFill>
                </w14:textFill>
              </w:rPr>
              <w:t>12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p>
          <w:p w14:paraId="037F78CD">
            <w:pPr>
              <w:keepNext w:val="0"/>
              <w:keepLines w:val="0"/>
              <w:pageBreakBefore w:val="0"/>
              <w:widowControl w:val="0"/>
              <w:kinsoku/>
              <w:wordWrap/>
              <w:overflowPunct/>
              <w:topLinePunct w:val="0"/>
              <w:autoSpaceDE/>
              <w:autoSpaceDN/>
              <w:bidi w:val="0"/>
              <w:adjustRightInd w:val="0"/>
              <w:snapToGrid w:val="0"/>
              <w:spacing w:line="360" w:lineRule="auto"/>
              <w:ind w:leftChars="0" w:firstLine="482"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工作制度：</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每天工作</w:t>
            </w:r>
            <w:r>
              <w:rPr>
                <w:rFonts w:hint="eastAsia" w:cs="Times New Roman"/>
                <w:color w:val="000000" w:themeColor="text1"/>
                <w:sz w:val="24"/>
                <w:szCs w:val="24"/>
                <w:highlight w:val="none"/>
                <w:lang w:val="en-US" w:eastAsia="zh-CN"/>
                <w14:textFill>
                  <w14:solidFill>
                    <w14:schemeClr w14:val="tx1"/>
                  </w14:solidFill>
                </w14:textFill>
              </w:rPr>
              <w:t>24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小时，</w:t>
            </w:r>
            <w:r>
              <w:rPr>
                <w:rFonts w:hint="eastAsia" w:cs="Times New Roman"/>
                <w:color w:val="000000" w:themeColor="text1"/>
                <w:sz w:val="24"/>
                <w:szCs w:val="24"/>
                <w:highlight w:val="none"/>
                <w:lang w:val="en-US" w:eastAsia="zh-CN"/>
                <w14:textFill>
                  <w14:solidFill>
                    <w14:schemeClr w14:val="tx1"/>
                  </w14:solidFill>
                </w14:textFill>
              </w:rPr>
              <w:t>三</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班制，年工作天</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数</w:t>
            </w:r>
            <w:r>
              <w:rPr>
                <w:rFonts w:hint="eastAsia" w:cs="Times New Roman"/>
                <w:bCs/>
                <w:color w:val="000000" w:themeColor="text1"/>
                <w:sz w:val="24"/>
                <w:szCs w:val="24"/>
                <w:highlight w:val="none"/>
                <w:lang w:val="en-US" w:eastAsia="zh-CN"/>
                <w14:textFill>
                  <w14:solidFill>
                    <w14:schemeClr w14:val="tx1"/>
                  </w14:solidFill>
                </w14:textFill>
              </w:rPr>
              <w:t>300</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天</w:t>
            </w:r>
            <w:r>
              <w:rPr>
                <w:rFonts w:hint="eastAsia" w:cs="Times New Roman"/>
                <w:bCs/>
                <w:color w:val="000000" w:themeColor="text1"/>
                <w:sz w:val="24"/>
                <w:szCs w:val="24"/>
                <w:highlight w:val="none"/>
                <w:lang w:val="en-US" w:eastAsia="zh-CN"/>
                <w14:textFill>
                  <w14:solidFill>
                    <w14:schemeClr w14:val="tx1"/>
                  </w14:solidFill>
                </w14:textFill>
              </w:rPr>
              <w:t>（8月及9月份不生产）</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w:t>
            </w:r>
            <w:r>
              <w:rPr>
                <w:rFonts w:hint="eastAsia" w:cs="Times New Roman"/>
                <w:bCs/>
                <w:color w:val="000000" w:themeColor="text1"/>
                <w:sz w:val="24"/>
                <w:szCs w:val="24"/>
                <w:highlight w:val="none"/>
                <w:lang w:val="en-US" w:eastAsia="zh-CN"/>
                <w14:textFill>
                  <w14:solidFill>
                    <w14:schemeClr w14:val="tx1"/>
                  </w14:solidFill>
                </w14:textFill>
              </w:rPr>
              <w:t>不</w:t>
            </w:r>
            <w:r>
              <w:rPr>
                <w:rFonts w:hint="eastAsia" w:ascii="Times New Roman" w:hAnsi="Times New Roman"/>
                <w:bCs/>
                <w:color w:val="000000" w:themeColor="text1"/>
                <w:sz w:val="24"/>
                <w:szCs w:val="24"/>
                <w:highlight w:val="none"/>
                <w:lang w:eastAsia="zh-CN"/>
                <w14:textFill>
                  <w14:solidFill>
                    <w14:schemeClr w14:val="tx1"/>
                  </w14:solidFill>
                </w14:textFill>
              </w:rPr>
              <w:t>提供食宿</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451F3097">
            <w:pPr>
              <w:autoSpaceDE w:val="0"/>
              <w:autoSpaceDN w:val="0"/>
              <w:adjustRightInd w:val="0"/>
              <w:snapToGrid w:val="0"/>
              <w:spacing w:line="360" w:lineRule="auto"/>
              <w:ind w:firstLine="482" w:firstLineChars="200"/>
              <w:jc w:val="both"/>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10</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公用工程</w:t>
            </w:r>
          </w:p>
          <w:p w14:paraId="250D934F">
            <w:pPr>
              <w:keepNext w:val="0"/>
              <w:keepLines w:val="0"/>
              <w:pageBreakBefore w:val="0"/>
              <w:widowControl w:val="0"/>
              <w:kinsoku/>
              <w:wordWrap/>
              <w:overflowPunct/>
              <w:topLinePunct w:val="0"/>
              <w:autoSpaceDE/>
              <w:autoSpaceDN/>
              <w:bidi w:val="0"/>
              <w:adjustRightInd w:val="0"/>
              <w:snapToGrid w:val="0"/>
              <w:spacing w:line="360" w:lineRule="auto"/>
              <w:ind w:leftChars="0" w:firstLine="482"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.1供排水</w:t>
            </w:r>
          </w:p>
          <w:p w14:paraId="16DA03D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本项目的供水由</w:t>
            </w:r>
            <w:r>
              <w:rPr>
                <w:rFonts w:hint="default" w:ascii="Times New Roman" w:hAnsi="Times New Roman" w:eastAsia="宋体" w:cs="Times New Roman"/>
                <w:color w:val="000000" w:themeColor="text1"/>
                <w:sz w:val="24"/>
                <w:szCs w:val="24"/>
                <w14:textFill>
                  <w14:solidFill>
                    <w14:schemeClr w14:val="tx1"/>
                  </w14:solidFill>
                </w14:textFill>
              </w:rPr>
              <w:t>呼图壁县大丰镇红柳</w:t>
            </w:r>
            <w:r>
              <w:rPr>
                <w:rFonts w:hint="eastAsia" w:cs="Times New Roman"/>
                <w:color w:val="000000" w:themeColor="text1"/>
                <w:sz w:val="24"/>
                <w:szCs w:val="24"/>
                <w:lang w:val="en-US" w:eastAsia="zh-CN"/>
                <w14:textFill>
                  <w14:solidFill>
                    <w14:schemeClr w14:val="tx1"/>
                  </w14:solidFill>
                </w14:textFill>
              </w:rPr>
              <w:t>塘</w:t>
            </w:r>
            <w:r>
              <w:rPr>
                <w:rFonts w:hint="default" w:ascii="Times New Roman" w:hAnsi="Times New Roman" w:eastAsia="宋体" w:cs="Times New Roman"/>
                <w:color w:val="000000" w:themeColor="text1"/>
                <w:sz w:val="24"/>
                <w:szCs w:val="24"/>
                <w14:textFill>
                  <w14:solidFill>
                    <w14:schemeClr w14:val="tx1"/>
                  </w14:solidFill>
                </w14:textFill>
              </w:rPr>
              <w:t>村</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自来水管网供给，可满足本项目用水需求。</w:t>
            </w:r>
          </w:p>
          <w:p w14:paraId="6FE6C3C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（1）给水</w:t>
            </w:r>
          </w:p>
          <w:p w14:paraId="6F69329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①生活用水</w:t>
            </w:r>
          </w:p>
          <w:p w14:paraId="50FAB6E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本项目劳动定员</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12</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人，</w:t>
            </w:r>
            <w:r>
              <w:rPr>
                <w:rFonts w:hint="eastAsia" w:cs="Times New Roman"/>
                <w:bCs/>
                <w:color w:val="000000" w:themeColor="text1"/>
                <w:sz w:val="24"/>
                <w:szCs w:val="24"/>
                <w:highlight w:val="none"/>
                <w:lang w:val="en-US" w:eastAsia="zh-CN"/>
                <w14:textFill>
                  <w14:solidFill>
                    <w14:schemeClr w14:val="tx1"/>
                  </w14:solidFill>
                </w14:textFill>
              </w:rPr>
              <w:t>不</w:t>
            </w:r>
            <w:r>
              <w:rPr>
                <w:rFonts w:hint="eastAsia" w:ascii="Times New Roman" w:hAnsi="Times New Roman"/>
                <w:bCs/>
                <w:color w:val="000000" w:themeColor="text1"/>
                <w:sz w:val="24"/>
                <w:szCs w:val="24"/>
                <w:highlight w:val="none"/>
                <w:lang w:eastAsia="zh-CN"/>
                <w14:textFill>
                  <w14:solidFill>
                    <w14:schemeClr w14:val="tx1"/>
                  </w14:solidFill>
                </w14:textFill>
              </w:rPr>
              <w:t>提供食宿</w:t>
            </w:r>
            <w:r>
              <w:rPr>
                <w:rFonts w:hint="eastAsia"/>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根据</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《新疆维吾尔自治区工业和生活用水定额》（新政办发〔2007〕105号）</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，职工盥洗用水量按每人</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80</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L/d计算，则生活用水量为</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0.96</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/d（</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288</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/a）。</w:t>
            </w:r>
          </w:p>
          <w:p w14:paraId="5BCA881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pP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②冷却用水</w:t>
            </w:r>
          </w:p>
          <w:p w14:paraId="4529DE1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pP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a.</w:t>
            </w:r>
            <w:r>
              <w:rPr>
                <w:rFonts w:hint="eastAsia" w:cs="Times New Roman"/>
                <w:b w:val="0"/>
                <w:bCs/>
                <w:color w:val="000000" w:themeColor="text1"/>
                <w:kern w:val="0"/>
                <w:sz w:val="24"/>
                <w:szCs w:val="24"/>
                <w:highlight w:val="none"/>
                <w:vertAlign w:val="baseline"/>
                <w:lang w:val="en-US" w:eastAsia="zh-CN" w:bidi="ar"/>
                <w14:textFill>
                  <w14:solidFill>
                    <w14:schemeClr w14:val="tx1"/>
                  </w14:solidFill>
                </w14:textFill>
              </w:rPr>
              <w:t>炭块</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冷却用水</w:t>
            </w:r>
          </w:p>
          <w:p w14:paraId="3056EC20">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炭化</w:t>
            </w:r>
            <w:r>
              <w:rPr>
                <w:rFonts w:hint="eastAsia" w:ascii="Times New Roman" w:hAnsi="Times New Roman" w:cs="Times New Roman"/>
                <w:color w:val="000000" w:themeColor="text1"/>
                <w:kern w:val="0"/>
                <w:sz w:val="24"/>
                <w:szCs w:val="24"/>
                <w:highlight w:val="none"/>
                <w:lang w:val="en-US" w:eastAsia="zh-CN" w:bidi="ar"/>
                <w14:textFill>
                  <w14:solidFill>
                    <w14:schemeClr w14:val="tx1"/>
                  </w14:solidFill>
                </w14:textFill>
              </w:rPr>
              <w:t>后的炭块在炉内采用洒水冷却，根据建设单位提供信息，4台炭化炉每次约用0.8</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，每天冷却2次，即1.6</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/d（</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480</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/a）</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冷却水</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自然蒸发消耗，无废水产生。</w:t>
            </w:r>
          </w:p>
          <w:p w14:paraId="11AA0CA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b.粗木煤气冷却用水</w:t>
            </w:r>
          </w:p>
          <w:p w14:paraId="313609F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炭化产生的粗木煤气采用水冷却法收集木醋液和木焦油，冷却水与木煤气通过密闭管道进行间接换热，气相与冷却水相互接触</w:t>
            </w:r>
            <w:r>
              <w:rPr>
                <w:rFonts w:hint="eastAsia" w:cs="Times New Roman"/>
                <w:b w:val="0"/>
                <w:bCs/>
                <w:color w:val="000000" w:themeColor="text1"/>
                <w:kern w:val="0"/>
                <w:sz w:val="24"/>
                <w:szCs w:val="24"/>
                <w:highlight w:val="none"/>
                <w:lang w:val="en-US" w:eastAsia="zh-CN" w:bidi="ar-SA"/>
                <w14:textFill>
                  <w14:solidFill>
                    <w14:schemeClr w14:val="tx1"/>
                  </w14:solidFill>
                </w14:textFill>
              </w:rPr>
              <w:t>，另外，4个炭化炉个设置4个循环水箱，</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循环水量为7</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/h。循环过程中，因设备运行温度</w:t>
            </w:r>
            <w:r>
              <w:rPr>
                <w:rFonts w:hint="eastAsia" w:cs="Times New Roman"/>
                <w:b w:val="0"/>
                <w:bCs/>
                <w:color w:val="000000" w:themeColor="text1"/>
                <w:kern w:val="0"/>
                <w:sz w:val="24"/>
                <w:szCs w:val="24"/>
                <w:highlight w:val="none"/>
                <w:lang w:val="en-US" w:eastAsia="zh-CN" w:bidi="ar-SA"/>
                <w14:textFill>
                  <w14:solidFill>
                    <w14:schemeClr w14:val="tx1"/>
                  </w14:solidFill>
                </w14:textFill>
              </w:rPr>
              <w:t>、液体肥车间内反应釜蒸馏及</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新疆地区干燥气候影响，冷却水部分</w:t>
            </w:r>
            <w:r>
              <w:rPr>
                <w:rFonts w:hint="eastAsia" w:cs="Times New Roman"/>
                <w:b w:val="0"/>
                <w:bCs/>
                <w:color w:val="000000" w:themeColor="text1"/>
                <w:kern w:val="0"/>
                <w:sz w:val="24"/>
                <w:szCs w:val="24"/>
                <w:highlight w:val="none"/>
                <w:lang w:val="en-US" w:eastAsia="zh-CN" w:bidi="ar-SA"/>
                <w14:textFill>
                  <w14:solidFill>
                    <w14:schemeClr w14:val="tx1"/>
                  </w14:solidFill>
                </w14:textFill>
              </w:rPr>
              <w:t>（60%）</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以水蒸气形式自然蒸发损耗，需定期补充新鲜水，补充量为1.68</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/d（504</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/a）</w:t>
            </w:r>
            <w:r>
              <w:rPr>
                <w:rFonts w:hint="eastAsia" w:cs="Times New Roman"/>
                <w:b w:val="0"/>
                <w:bCs/>
                <w:color w:val="000000" w:themeColor="text1"/>
                <w:kern w:val="0"/>
                <w:sz w:val="24"/>
                <w:szCs w:val="24"/>
                <w:highlight w:val="none"/>
                <w:lang w:val="en-US" w:eastAsia="zh-CN" w:bidi="ar-SA"/>
                <w14:textFill>
                  <w14:solidFill>
                    <w14:schemeClr w14:val="tx1"/>
                  </w14:solidFill>
                </w14:textFill>
              </w:rPr>
              <w:t>，</w:t>
            </w:r>
          </w:p>
          <w:p w14:paraId="770F9764">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Times New Roman" w:hAnsi="Times New Roman" w:eastAsia="宋体" w:cs="Times New Roman"/>
                <w:b w:val="0"/>
                <w:bCs/>
                <w:color w:val="000000" w:themeColor="text1"/>
                <w:sz w:val="24"/>
                <w:lang w:val="en-US" w:eastAsia="zh-CN"/>
                <w14:textFill>
                  <w14:solidFill>
                    <w14:schemeClr w14:val="tx1"/>
                  </w14:solidFill>
                </w14:textFill>
              </w:rPr>
            </w:pPr>
            <w:r>
              <w:rPr>
                <w:rFonts w:hint="eastAsia" w:cs="Times New Roman"/>
                <w:b w:val="0"/>
                <w:bCs/>
                <w:color w:val="000000" w:themeColor="text1"/>
                <w:kern w:val="0"/>
                <w:sz w:val="24"/>
                <w:szCs w:val="24"/>
                <w:highlight w:val="none"/>
                <w:lang w:val="en-US" w:eastAsia="zh-CN" w:bidi="ar-SA"/>
                <w14:textFill>
                  <w14:solidFill>
                    <w14:schemeClr w14:val="tx1"/>
                  </w14:solidFill>
                </w14:textFill>
              </w:rPr>
              <w:t>剩余（40%，201.6</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/a</w:t>
            </w:r>
            <w:r>
              <w:rPr>
                <w:rFonts w:hint="eastAsia" w:cs="Times New Roman"/>
                <w:b w:val="0"/>
                <w:bCs/>
                <w:color w:val="000000" w:themeColor="text1"/>
                <w:kern w:val="0"/>
                <w:sz w:val="24"/>
                <w:szCs w:val="24"/>
                <w:highlight w:val="none"/>
                <w:lang w:val="en-US" w:eastAsia="zh-CN" w:bidi="ar-SA"/>
                <w14:textFill>
                  <w14:solidFill>
                    <w14:schemeClr w14:val="tx1"/>
                  </w14:solidFill>
                </w14:textFill>
              </w:rPr>
              <w:t>）循环水进入</w:t>
            </w:r>
            <w:r>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木醋液</w:t>
            </w:r>
            <w:r>
              <w:rPr>
                <w:rFonts w:hint="eastAsia" w:cs="Times New Roman"/>
                <w:b w:val="0"/>
                <w:bCs/>
                <w:color w:val="000000" w:themeColor="text1"/>
                <w:ker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无</w:t>
            </w:r>
            <w:r>
              <w:rPr>
                <w:rFonts w:hint="eastAsia" w:cs="Times New Roman"/>
                <w:b w:val="0"/>
                <w:bCs/>
                <w:color w:val="000000" w:themeColor="text1"/>
                <w:sz w:val="24"/>
                <w:lang w:val="en-US" w:eastAsia="zh-CN"/>
                <w14:textFill>
                  <w14:solidFill>
                    <w14:schemeClr w14:val="tx1"/>
                  </w14:solidFill>
                </w14:textFill>
              </w:rPr>
              <w:t>其他形式</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废水</w:t>
            </w:r>
            <w:r>
              <w:rPr>
                <w:rFonts w:hint="eastAsia" w:cs="Times New Roman"/>
                <w:b w:val="0"/>
                <w:bCs/>
                <w:color w:val="000000" w:themeColor="text1"/>
                <w:sz w:val="24"/>
                <w:lang w:val="en-US" w:eastAsia="zh-CN"/>
                <w14:textFill>
                  <w14:solidFill>
                    <w14:schemeClr w14:val="tx1"/>
                  </w14:solidFill>
                </w14:textFill>
              </w:rPr>
              <w:t>外排</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w:t>
            </w:r>
          </w:p>
          <w:p w14:paraId="2703BF7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③清洗罐用水</w:t>
            </w:r>
          </w:p>
          <w:p w14:paraId="5C382883">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textAlignment w:val="auto"/>
              <w:rPr>
                <w:rFonts w:hint="default" w:ascii="Times New Roman" w:hAnsi="Times New Roman" w:eastAsia="宋体" w:cs="Times New Roman"/>
                <w:b w:val="0"/>
                <w:bCs/>
                <w:color w:val="000000" w:themeColor="text1"/>
                <w:sz w:val="24"/>
                <w:lang w:val="en-US" w:eastAsia="zh-CN"/>
                <w14:textFill>
                  <w14:solidFill>
                    <w14:schemeClr w14:val="tx1"/>
                  </w14:solidFill>
                </w14:textFill>
              </w:rPr>
            </w:pPr>
            <w:r>
              <w:rPr>
                <w:rFonts w:hint="eastAsia" w:cs="Times New Roman"/>
                <w:b w:val="0"/>
                <w:bCs/>
                <w:color w:val="000000" w:themeColor="text1"/>
                <w:kern w:val="0"/>
                <w:sz w:val="24"/>
                <w:szCs w:val="24"/>
                <w:highlight w:val="none"/>
                <w:lang w:val="en-US" w:eastAsia="zh-CN" w:bidi="ar-SA"/>
                <w14:textFill>
                  <w14:solidFill>
                    <w14:schemeClr w14:val="tx1"/>
                  </w14:solidFill>
                </w14:textFill>
              </w:rPr>
              <w:t>本项目</w:t>
            </w:r>
            <w:r>
              <w:rPr>
                <w:rFonts w:hint="eastAsia" w:ascii="Times New Roman" w:hAnsi="Times New Roman" w:eastAsia="宋体" w:cs="Times New Roman"/>
                <w:b w:val="0"/>
                <w:bCs/>
                <w:color w:val="000000" w:themeColor="text1"/>
                <w:kern w:val="0"/>
                <w:sz w:val="24"/>
                <w:szCs w:val="24"/>
                <w:highlight w:val="none"/>
                <w:lang w:val="en-US" w:eastAsia="zh-CN" w:bidi="ar-SA"/>
                <w14:textFill>
                  <w14:solidFill>
                    <w14:schemeClr w14:val="tx1"/>
                  </w14:solidFill>
                </w14:textFill>
              </w:rPr>
              <w:t>清洗罐</w:t>
            </w:r>
            <w:r>
              <w:rPr>
                <w:rFonts w:hint="eastAsia" w:cs="Times New Roman"/>
                <w:b w:val="0"/>
                <w:bCs/>
                <w:color w:val="000000" w:themeColor="text1"/>
                <w:kern w:val="0"/>
                <w:sz w:val="24"/>
                <w:szCs w:val="24"/>
                <w:highlight w:val="none"/>
                <w:lang w:val="en-US" w:eastAsia="zh-CN" w:bidi="ar-SA"/>
                <w14:textFill>
                  <w14:solidFill>
                    <w14:schemeClr w14:val="tx1"/>
                  </w14:solidFill>
                </w14:textFill>
              </w:rPr>
              <w:t>主要包括液体肥车间内储罐等，于每年8</w:t>
            </w:r>
            <w:r>
              <w:rPr>
                <w:rFonts w:hint="default" w:ascii="Times New Roman" w:hAnsi="Times New Roman" w:cs="Times New Roman"/>
                <w:b w:val="0"/>
                <w:bCs/>
                <w:color w:val="000000" w:themeColor="text1"/>
                <w:kern w:val="0"/>
                <w:sz w:val="24"/>
                <w:szCs w:val="24"/>
                <w:highlight w:val="none"/>
                <w:lang w:val="en-US" w:eastAsia="zh-CN" w:bidi="ar-SA"/>
                <w14:textFill>
                  <w14:solidFill>
                    <w14:schemeClr w14:val="tx1"/>
                  </w14:solidFill>
                </w14:textFill>
              </w:rPr>
              <w:t>~</w:t>
            </w:r>
            <w:r>
              <w:rPr>
                <w:rFonts w:hint="eastAsia" w:cs="Times New Roman"/>
                <w:b w:val="0"/>
                <w:bCs/>
                <w:color w:val="000000" w:themeColor="text1"/>
                <w:kern w:val="0"/>
                <w:sz w:val="24"/>
                <w:szCs w:val="24"/>
                <w:highlight w:val="none"/>
                <w:lang w:val="en-US" w:eastAsia="zh-CN" w:bidi="ar-SA"/>
                <w14:textFill>
                  <w14:solidFill>
                    <w14:schemeClr w14:val="tx1"/>
                  </w14:solidFill>
                </w14:textFill>
              </w:rPr>
              <w:t>9月停产检修期间开展清洗作业，清洗频次为每年1次，单次清洗用水量约5m</w:t>
            </w:r>
            <w:r>
              <w:rPr>
                <w:rFonts w:hint="eastAsia" w:cs="Times New Roman"/>
                <w:b w:val="0"/>
                <w:bCs/>
                <w:color w:val="000000" w:themeColor="text1"/>
                <w:kern w:val="0"/>
                <w:sz w:val="24"/>
                <w:szCs w:val="24"/>
                <w:highlight w:val="none"/>
                <w:vertAlign w:val="superscript"/>
                <w:lang w:val="en-US" w:eastAsia="zh-CN" w:bidi="ar-SA"/>
                <w14:textFill>
                  <w14:solidFill>
                    <w14:schemeClr w14:val="tx1"/>
                  </w14:solidFill>
                </w14:textFill>
              </w:rPr>
              <w:t>3</w:t>
            </w:r>
            <w:r>
              <w:rPr>
                <w:rFonts w:hint="eastAsia" w:cs="Times New Roman"/>
                <w:b w:val="0"/>
                <w:bCs/>
                <w:color w:val="000000" w:themeColor="text1"/>
                <w:kern w:val="0"/>
                <w:sz w:val="24"/>
                <w:szCs w:val="24"/>
                <w:highlight w:val="none"/>
                <w:lang w:val="en-US" w:eastAsia="zh-CN" w:bidi="ar-SA"/>
                <w14:textFill>
                  <w14:solidFill>
                    <w14:schemeClr w14:val="tx1"/>
                  </w14:solidFill>
                </w14:textFill>
              </w:rPr>
              <w:t>；项目配套自动清洗系统，产生的清洗废水回流至反应釜内回用，无清洗废水外排。</w:t>
            </w:r>
          </w:p>
          <w:p w14:paraId="223054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color w:val="000000" w:themeColor="text1"/>
                <w:sz w:val="24"/>
                <w:lang w:val="en-US" w:eastAsia="zh-CN"/>
                <w14:textFill>
                  <w14:solidFill>
                    <w14:schemeClr w14:val="tx1"/>
                  </w14:solidFill>
                </w14:textFill>
              </w:rPr>
            </w:pPr>
            <w:r>
              <w:rPr>
                <w:rFonts w:hint="eastAsia" w:ascii="宋体" w:hAnsi="宋体" w:eastAsia="宋体" w:cs="宋体"/>
                <w:b w:val="0"/>
                <w:bCs/>
                <w:color w:val="000000" w:themeColor="text1"/>
                <w:sz w:val="24"/>
                <w:lang w:val="en-US" w:eastAsia="zh-CN"/>
                <w14:textFill>
                  <w14:solidFill>
                    <w14:schemeClr w14:val="tx1"/>
                  </w14:solidFill>
                </w14:textFill>
              </w:rPr>
              <w:t>④</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抑尘用水</w:t>
            </w:r>
          </w:p>
          <w:p w14:paraId="18FC57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本项目原材料及产品需用大型车辆运输，厂区车辆运输过程中会产生扬尘。项目营运期需定期对地面进行洒水抑尘，以减轻扬尘对周围环境的影响。</w:t>
            </w:r>
          </w:p>
          <w:p w14:paraId="6356D59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color w:val="000000" w:themeColor="text1"/>
                <w:sz w:val="24"/>
                <w:lang w:val="en-US" w:eastAsia="zh-CN"/>
                <w14:textFill>
                  <w14:solidFill>
                    <w14:schemeClr w14:val="tx1"/>
                  </w14:solidFill>
                </w14:textFill>
              </w:rPr>
            </w:pPr>
            <w:r>
              <w:rPr>
                <w:rFonts w:hint="eastAsia" w:ascii="Times New Roman" w:hAnsi="Times New Roman" w:cs="Times New Roman"/>
                <w:b w:val="0"/>
                <w:bCs/>
                <w:color w:val="000000" w:themeColor="text1"/>
                <w:kern w:val="0"/>
                <w:sz w:val="24"/>
                <w:szCs w:val="24"/>
                <w:highlight w:val="none"/>
                <w:vertAlign w:val="baseline"/>
                <w:lang w:val="en-US" w:eastAsia="zh-CN" w:bidi="ar"/>
                <w14:textFill>
                  <w14:solidFill>
                    <w14:schemeClr w14:val="tx1"/>
                  </w14:solidFill>
                </w14:textFill>
              </w:rPr>
              <w:t>根据《室外给水设计标准》（GB50013-2018），</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洒水降尘用水量按照</w:t>
            </w:r>
            <w:r>
              <w:rPr>
                <w:rFonts w:hint="eastAsia" w:ascii="Times New Roman" w:hAnsi="Times New Roman" w:cs="Times New Roman"/>
                <w:b w:val="0"/>
                <w:bCs/>
                <w:color w:val="000000" w:themeColor="text1"/>
                <w:kern w:val="0"/>
                <w:sz w:val="24"/>
                <w:szCs w:val="24"/>
                <w:highlight w:val="none"/>
                <w:vertAlign w:val="baseline"/>
                <w:lang w:val="en-US" w:eastAsia="zh-CN" w:bidi="ar"/>
                <w14:textFill>
                  <w14:solidFill>
                    <w14:schemeClr w14:val="tx1"/>
                  </w14:solidFill>
                </w14:textFill>
              </w:rPr>
              <w:t>2</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L/m</w:t>
            </w:r>
            <w:r>
              <w:rPr>
                <w:rFonts w:hint="default" w:ascii="Times New Roman" w:hAnsi="Times New Roman" w:eastAsia="宋体" w:cs="Times New Roman"/>
                <w:b w:val="0"/>
                <w:bCs/>
                <w:color w:val="000000" w:themeColor="text1"/>
                <w:kern w:val="0"/>
                <w:sz w:val="24"/>
                <w:szCs w:val="24"/>
                <w:highlight w:val="none"/>
                <w:vertAlign w:val="superscript"/>
                <w:lang w:val="en-US" w:eastAsia="zh-CN" w:bidi="ar"/>
                <w14:textFill>
                  <w14:solidFill>
                    <w14:schemeClr w14:val="tx1"/>
                  </w14:solidFill>
                </w14:textFill>
              </w:rPr>
              <w:t>2</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·d估算</w:t>
            </w:r>
            <w:r>
              <w:rPr>
                <w:rFonts w:hint="eastAsia" w:ascii="Times New Roman" w:hAnsi="Times New Roman" w:cs="Times New Roman"/>
                <w:b w:val="0"/>
                <w:bCs/>
                <w:color w:val="000000" w:themeColor="text1"/>
                <w:kern w:val="0"/>
                <w:sz w:val="24"/>
                <w:szCs w:val="24"/>
                <w:highlight w:val="none"/>
                <w:vertAlign w:val="baseline"/>
                <w:lang w:val="en-US" w:eastAsia="zh-CN" w:bidi="ar"/>
                <w14:textFill>
                  <w14:solidFill>
                    <w14:schemeClr w14:val="tx1"/>
                  </w14:solidFill>
                </w14:textFill>
              </w:rPr>
              <w:t>（</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厂区内道路长度约400m，宽度按照3m计算</w:t>
            </w:r>
            <w:r>
              <w:rPr>
                <w:rFonts w:hint="eastAsia" w:ascii="Times New Roman" w:hAnsi="Times New Roman" w:cs="Times New Roman"/>
                <w:b w:val="0"/>
                <w:bCs/>
                <w:color w:val="000000" w:themeColor="text1"/>
                <w:kern w:val="0"/>
                <w:sz w:val="24"/>
                <w:szCs w:val="24"/>
                <w:highlight w:val="none"/>
                <w:vertAlign w:val="baseline"/>
                <w:lang w:val="en-US" w:eastAsia="zh-CN" w:bidi="ar"/>
                <w14:textFill>
                  <w14:solidFill>
                    <w14:schemeClr w14:val="tx1"/>
                  </w14:solidFill>
                </w14:textFill>
              </w:rPr>
              <w:t>）</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，全年按照180</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d</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计，</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则</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抑尘用水</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量为</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432</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/a</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，洒水抑尘用水自然蒸发消耗，无废水产生。</w:t>
            </w:r>
          </w:p>
          <w:p w14:paraId="3FA77B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b w:val="0"/>
                <w:bCs/>
                <w:color w:val="000000" w:themeColor="text1"/>
                <w:kern w:val="0"/>
                <w:sz w:val="24"/>
                <w:szCs w:val="24"/>
                <w:highlight w:val="none"/>
                <w:vertAlign w:val="baseline"/>
                <w:lang w:val="en-US" w:eastAsia="zh-CN" w:bidi="ar"/>
                <w14:textFill>
                  <w14:solidFill>
                    <w14:schemeClr w14:val="tx1"/>
                  </w14:solidFill>
                </w14:textFill>
              </w:rPr>
              <w:t>⑤</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绿化用水</w:t>
            </w:r>
          </w:p>
          <w:p w14:paraId="16A5A2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pP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本项目厂区内</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绿地面积约</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300</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m</w:t>
            </w:r>
            <w:r>
              <w:rPr>
                <w:rFonts w:hint="eastAsia" w:ascii="Times New Roman" w:hAnsi="Times New Roman" w:eastAsia="宋体" w:cs="Times New Roman"/>
                <w:b w:val="0"/>
                <w:bCs/>
                <w:color w:val="000000" w:themeColor="text1"/>
                <w:sz w:val="24"/>
                <w:vertAlign w:val="superscript"/>
                <w:lang w:val="en-US" w:eastAsia="zh-CN"/>
                <w14:textFill>
                  <w14:solidFill>
                    <w14:schemeClr w14:val="tx1"/>
                  </w14:solidFill>
                </w14:textFill>
              </w:rPr>
              <w:t>2</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，即约</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0.45</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亩，参照《新疆维吾尔自治区工业和生活用水定额》（新政办发〔2007〕105号），北疆天山北坡片区城市绿化（微喷）的用水量为</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6</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00～</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7</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00</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/（亩·a），计算时取</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6</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00</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/（亩·a）。则绿化用水总量为</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270</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/a。</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此部分用水全部被植被吸收，无废水排放。</w:t>
            </w:r>
          </w:p>
          <w:p w14:paraId="4A33F28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（2）排水</w:t>
            </w:r>
          </w:p>
          <w:p w14:paraId="5D30A85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生活污水产生量按照用水量的80%计算，则生活污水排放量为</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0.768</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/d</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（2</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30.4</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/a</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w:t>
            </w:r>
          </w:p>
          <w:p w14:paraId="6110FC8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本项目用、排水情况见表2-</w:t>
            </w:r>
            <w:r>
              <w:rPr>
                <w:rFonts w:hint="eastAsia" w:cs="Times New Roman"/>
                <w:b w:val="0"/>
                <w:bCs/>
                <w:color w:val="000000" w:themeColor="text1"/>
                <w:kern w:val="0"/>
                <w:sz w:val="24"/>
                <w:szCs w:val="24"/>
                <w:highlight w:val="none"/>
                <w:vertAlign w:val="baseline"/>
                <w:lang w:val="en-US" w:eastAsia="zh-CN" w:bidi="ar"/>
                <w14:textFill>
                  <w14:solidFill>
                    <w14:schemeClr w14:val="tx1"/>
                  </w14:solidFill>
                </w14:textFill>
              </w:rPr>
              <w:t>12</w:t>
            </w:r>
            <w:r>
              <w:rPr>
                <w:rFonts w:hint="eastAsia"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w:t>
            </w:r>
            <w:r>
              <w:rPr>
                <w:rFonts w:hint="default" w:ascii="Times New Roman" w:hAnsi="Times New Roman" w:eastAsia="宋体" w:cs="Times New Roman"/>
                <w:b w:val="0"/>
                <w:bCs/>
                <w:color w:val="000000" w:themeColor="text1"/>
                <w:kern w:val="0"/>
                <w:sz w:val="24"/>
                <w:szCs w:val="24"/>
                <w:highlight w:val="none"/>
                <w:vertAlign w:val="baseline"/>
                <w:lang w:val="en-US" w:eastAsia="zh-CN" w:bidi="ar"/>
                <w14:textFill>
                  <w14:solidFill>
                    <w14:schemeClr w14:val="tx1"/>
                  </w14:solidFill>
                </w14:textFill>
              </w:rPr>
              <w:t>水平衡图见图2-1。</w:t>
            </w:r>
          </w:p>
          <w:p w14:paraId="08EDA99C">
            <w:pPr>
              <w:adjustRightInd w:val="0"/>
              <w:snapToGrid w:val="0"/>
              <w:jc w:val="cente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表</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2-</w:t>
            </w:r>
            <w:r>
              <w:rPr>
                <w:rFonts w:hint="eastAsia" w:cs="Times New Roman"/>
                <w:b/>
                <w:color w:val="000000" w:themeColor="text1"/>
                <w:kern w:val="2"/>
                <w:sz w:val="21"/>
                <w:szCs w:val="21"/>
                <w:highlight w:val="none"/>
                <w:lang w:val="en-US" w:eastAsia="zh-CN"/>
                <w14:textFill>
                  <w14:solidFill>
                    <w14:schemeClr w14:val="tx1"/>
                  </w14:solidFill>
                </w14:textFill>
              </w:rPr>
              <w:t>12</w:t>
            </w:r>
            <w:r>
              <w:rPr>
                <w:rFonts w:hint="eastAsia"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kern w:val="2"/>
                <w:sz w:val="21"/>
                <w:szCs w:val="21"/>
                <w:highlight w:val="none"/>
                <w:lang w:val="en-US" w:eastAsia="zh-CN"/>
                <w14:textFill>
                  <w14:solidFill>
                    <w14:schemeClr w14:val="tx1"/>
                  </w14:solidFill>
                </w14:textFill>
              </w:rPr>
              <w:t>给排水情况一览表</w:t>
            </w:r>
          </w:p>
          <w:tbl>
            <w:tblPr>
              <w:tblStyle w:val="29"/>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89"/>
              <w:gridCol w:w="1037"/>
              <w:gridCol w:w="1103"/>
              <w:gridCol w:w="909"/>
              <w:gridCol w:w="1130"/>
              <w:gridCol w:w="935"/>
              <w:gridCol w:w="971"/>
              <w:gridCol w:w="1071"/>
            </w:tblGrid>
            <w:tr w14:paraId="795577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49" w:type="pct"/>
                  <w:gridSpan w:val="2"/>
                  <w:tcBorders>
                    <w:tl2br w:val="nil"/>
                    <w:tr2bl w:val="nil"/>
                  </w:tcBorders>
                  <w:noWrap w:val="0"/>
                  <w:vAlign w:val="center"/>
                </w:tcPr>
                <w:p w14:paraId="699F11F6">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用水单元</w:t>
                  </w:r>
                </w:p>
              </w:tc>
              <w:tc>
                <w:tcPr>
                  <w:tcW w:w="694" w:type="pct"/>
                  <w:tcBorders>
                    <w:tl2br w:val="nil"/>
                    <w:tr2bl w:val="nil"/>
                  </w:tcBorders>
                  <w:noWrap w:val="0"/>
                  <w:vAlign w:val="center"/>
                </w:tcPr>
                <w:p w14:paraId="337DDB61">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用水系数</w:t>
                  </w:r>
                </w:p>
              </w:tc>
              <w:tc>
                <w:tcPr>
                  <w:tcW w:w="572" w:type="pct"/>
                  <w:tcBorders>
                    <w:tl2br w:val="nil"/>
                    <w:tr2bl w:val="nil"/>
                  </w:tcBorders>
                  <w:noWrap w:val="0"/>
                  <w:vAlign w:val="center"/>
                </w:tcPr>
                <w:p w14:paraId="171D9A4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用水</w:t>
                  </w:r>
                </w:p>
                <w:p w14:paraId="421DA7C2">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规模</w:t>
                  </w:r>
                </w:p>
              </w:tc>
              <w:tc>
                <w:tcPr>
                  <w:tcW w:w="711" w:type="pct"/>
                  <w:tcBorders>
                    <w:tl2br w:val="nil"/>
                    <w:tr2bl w:val="nil"/>
                  </w:tcBorders>
                  <w:noWrap w:val="0"/>
                  <w:vAlign w:val="center"/>
                </w:tcPr>
                <w:p w14:paraId="22776CB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用水量（</w:t>
                  </w:r>
                  <w: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m</w:t>
                  </w:r>
                  <w:r>
                    <w:rPr>
                      <w:rFonts w:hint="eastAsia" w:ascii="Times New Roman" w:hAnsi="Times New Roman" w:cs="Times New Roman"/>
                      <w:b/>
                      <w:bCs w:val="0"/>
                      <w:i w:val="0"/>
                      <w:iCs w:val="0"/>
                      <w:snapToGrid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/a</w:t>
                  </w: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588" w:type="pct"/>
                  <w:tcBorders>
                    <w:tl2br w:val="nil"/>
                    <w:tr2bl w:val="nil"/>
                  </w:tcBorders>
                  <w:noWrap w:val="0"/>
                  <w:vAlign w:val="center"/>
                </w:tcPr>
                <w:p w14:paraId="27A9E573">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废水率（</w:t>
                  </w:r>
                  <w: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611" w:type="pct"/>
                  <w:tcBorders>
                    <w:tl2br w:val="nil"/>
                    <w:tr2bl w:val="nil"/>
                  </w:tcBorders>
                  <w:noWrap w:val="0"/>
                  <w:vAlign w:val="center"/>
                </w:tcPr>
                <w:p w14:paraId="1838EAF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废水量（</w:t>
                  </w:r>
                  <w: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m</w:t>
                  </w:r>
                  <w:r>
                    <w:rPr>
                      <w:rFonts w:hint="eastAsia" w:ascii="Times New Roman" w:hAnsi="Times New Roman" w:cs="Times New Roman"/>
                      <w:b/>
                      <w:bCs w:val="0"/>
                      <w:i w:val="0"/>
                      <w:iCs w:val="0"/>
                      <w:snapToGrid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/a</w:t>
                  </w: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674" w:type="pct"/>
                  <w:tcBorders>
                    <w:tl2br w:val="nil"/>
                    <w:tr2bl w:val="nil"/>
                  </w:tcBorders>
                  <w:noWrap w:val="0"/>
                  <w:vAlign w:val="center"/>
                </w:tcPr>
                <w:p w14:paraId="2731B6B2">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备注</w:t>
                  </w:r>
                </w:p>
              </w:tc>
            </w:tr>
            <w:tr w14:paraId="4EC76B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96" w:type="pct"/>
                  <w:tcBorders>
                    <w:tl2br w:val="nil"/>
                    <w:tr2bl w:val="nil"/>
                  </w:tcBorders>
                  <w:noWrap w:val="0"/>
                  <w:vAlign w:val="center"/>
                </w:tcPr>
                <w:p w14:paraId="358BF5F7">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生活</w:t>
                  </w:r>
                </w:p>
                <w:p w14:paraId="466CD38C">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用水</w:t>
                  </w:r>
                </w:p>
              </w:tc>
              <w:tc>
                <w:tcPr>
                  <w:tcW w:w="652" w:type="pct"/>
                  <w:tcBorders>
                    <w:tl2br w:val="nil"/>
                    <w:tr2bl w:val="nil"/>
                  </w:tcBorders>
                  <w:noWrap w:val="0"/>
                  <w:vAlign w:val="center"/>
                </w:tcPr>
                <w:p w14:paraId="7F1472F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办公（职工盥洗）</w:t>
                  </w:r>
                </w:p>
              </w:tc>
              <w:tc>
                <w:tcPr>
                  <w:tcW w:w="694" w:type="pct"/>
                  <w:tcBorders>
                    <w:tl2br w:val="nil"/>
                    <w:tr2bl w:val="nil"/>
                  </w:tcBorders>
                  <w:noWrap w:val="0"/>
                  <w:vAlign w:val="center"/>
                </w:tcPr>
                <w:p w14:paraId="365B280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80</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L/</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（人</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日）</w:t>
                  </w:r>
                </w:p>
              </w:tc>
              <w:tc>
                <w:tcPr>
                  <w:tcW w:w="572" w:type="pct"/>
                  <w:tcBorders>
                    <w:tl2br w:val="nil"/>
                    <w:tr2bl w:val="nil"/>
                  </w:tcBorders>
                  <w:noWrap w:val="0"/>
                  <w:vAlign w:val="center"/>
                </w:tcPr>
                <w:p w14:paraId="48957C6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12</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人，</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3</w:t>
                  </w: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00</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d</w:t>
                  </w:r>
                </w:p>
              </w:tc>
              <w:tc>
                <w:tcPr>
                  <w:tcW w:w="711" w:type="pct"/>
                  <w:tcBorders>
                    <w:tl2br w:val="nil"/>
                    <w:tr2bl w:val="nil"/>
                  </w:tcBorders>
                  <w:noWrap w:val="0"/>
                  <w:vAlign w:val="center"/>
                </w:tcPr>
                <w:p w14:paraId="5B1A071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288</w:t>
                  </w:r>
                </w:p>
              </w:tc>
              <w:tc>
                <w:tcPr>
                  <w:tcW w:w="588" w:type="pct"/>
                  <w:tcBorders>
                    <w:tl2br w:val="nil"/>
                    <w:tr2bl w:val="nil"/>
                  </w:tcBorders>
                  <w:noWrap w:val="0"/>
                  <w:vAlign w:val="center"/>
                </w:tcPr>
                <w:p w14:paraId="221E0DD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80</w:t>
                  </w:r>
                </w:p>
              </w:tc>
              <w:tc>
                <w:tcPr>
                  <w:tcW w:w="611" w:type="pct"/>
                  <w:tcBorders>
                    <w:tl2br w:val="nil"/>
                    <w:tr2bl w:val="nil"/>
                  </w:tcBorders>
                  <w:noWrap w:val="0"/>
                  <w:vAlign w:val="center"/>
                </w:tcPr>
                <w:p w14:paraId="7CBB13E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230.4</w:t>
                  </w:r>
                </w:p>
              </w:tc>
              <w:tc>
                <w:tcPr>
                  <w:tcW w:w="674" w:type="pct"/>
                  <w:tcBorders>
                    <w:tl2br w:val="nil"/>
                    <w:tr2bl w:val="nil"/>
                  </w:tcBorders>
                  <w:noWrap w:val="0"/>
                  <w:vAlign w:val="center"/>
                </w:tcPr>
                <w:p w14:paraId="41B6845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污水排入厂区化粪池</w:t>
                  </w:r>
                </w:p>
              </w:tc>
            </w:tr>
            <w:tr w14:paraId="64992C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96" w:type="pct"/>
                  <w:vMerge w:val="restart"/>
                  <w:tcBorders>
                    <w:tl2br w:val="nil"/>
                    <w:tr2bl w:val="nil"/>
                  </w:tcBorders>
                  <w:noWrap w:val="0"/>
                  <w:vAlign w:val="center"/>
                </w:tcPr>
                <w:p w14:paraId="25F5BB24">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冷却用水</w:t>
                  </w:r>
                </w:p>
              </w:tc>
              <w:tc>
                <w:tcPr>
                  <w:tcW w:w="652" w:type="pct"/>
                  <w:tcBorders>
                    <w:tl2br w:val="nil"/>
                    <w:tr2bl w:val="nil"/>
                  </w:tcBorders>
                  <w:noWrap w:val="0"/>
                  <w:vAlign w:val="center"/>
                </w:tcPr>
                <w:p w14:paraId="23190661">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炭块</w:t>
                  </w:r>
                </w:p>
                <w:p w14:paraId="4DCA5E4C">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冷却</w:t>
                  </w:r>
                </w:p>
              </w:tc>
              <w:tc>
                <w:tcPr>
                  <w:tcW w:w="694" w:type="pct"/>
                  <w:tcBorders>
                    <w:tl2br w:val="nil"/>
                    <w:tr2bl w:val="nil"/>
                  </w:tcBorders>
                  <w:noWrap w:val="0"/>
                  <w:vAlign w:val="center"/>
                </w:tcPr>
                <w:p w14:paraId="26CB262C">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0.8</w:t>
                  </w:r>
                  <w: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m</w:t>
                  </w:r>
                  <w:r>
                    <w:rPr>
                      <w:rFonts w:hint="default" w:ascii="Times New Roman" w:hAnsi="Times New Roman" w:cs="Times New Roman"/>
                      <w:bCs/>
                      <w:i w:val="0"/>
                      <w:iCs w:val="0"/>
                      <w:snapToGrid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次</w:t>
                  </w:r>
                </w:p>
              </w:tc>
              <w:tc>
                <w:tcPr>
                  <w:tcW w:w="572" w:type="pct"/>
                  <w:tcBorders>
                    <w:tl2br w:val="nil"/>
                    <w:tr2bl w:val="nil"/>
                  </w:tcBorders>
                  <w:noWrap w:val="0"/>
                  <w:vAlign w:val="center"/>
                </w:tcPr>
                <w:p w14:paraId="4435592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711" w:type="pct"/>
                  <w:tcBorders>
                    <w:tl2br w:val="nil"/>
                    <w:tr2bl w:val="nil"/>
                  </w:tcBorders>
                  <w:noWrap w:val="0"/>
                  <w:vAlign w:val="center"/>
                </w:tcPr>
                <w:p w14:paraId="617281F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480</w:t>
                  </w:r>
                </w:p>
              </w:tc>
              <w:tc>
                <w:tcPr>
                  <w:tcW w:w="588" w:type="pct"/>
                  <w:tcBorders>
                    <w:tl2br w:val="nil"/>
                    <w:tr2bl w:val="nil"/>
                  </w:tcBorders>
                  <w:noWrap w:val="0"/>
                  <w:vAlign w:val="center"/>
                </w:tcPr>
                <w:p w14:paraId="7999D158">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11" w:type="pct"/>
                  <w:tcBorders>
                    <w:tl2br w:val="nil"/>
                    <w:tr2bl w:val="nil"/>
                  </w:tcBorders>
                  <w:noWrap w:val="0"/>
                  <w:vAlign w:val="center"/>
                </w:tcPr>
                <w:p w14:paraId="09F42FE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74" w:type="pct"/>
                  <w:tcBorders>
                    <w:tl2br w:val="nil"/>
                    <w:tr2bl w:val="nil"/>
                  </w:tcBorders>
                  <w:noWrap w:val="0"/>
                  <w:vAlign w:val="center"/>
                </w:tcPr>
                <w:p w14:paraId="7DFD1BF8">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全部</w:t>
                  </w:r>
                </w:p>
                <w:p w14:paraId="00B533B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蒸发，无废水</w:t>
                  </w:r>
                </w:p>
              </w:tc>
            </w:tr>
            <w:tr w14:paraId="09BFC9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96" w:type="pct"/>
                  <w:vMerge w:val="continue"/>
                  <w:tcBorders>
                    <w:tl2br w:val="nil"/>
                    <w:tr2bl w:val="nil"/>
                  </w:tcBorders>
                  <w:noWrap w:val="0"/>
                  <w:vAlign w:val="center"/>
                </w:tcPr>
                <w:p w14:paraId="521418A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652" w:type="pct"/>
                  <w:tcBorders>
                    <w:tl2br w:val="nil"/>
                    <w:tr2bl w:val="nil"/>
                  </w:tcBorders>
                  <w:noWrap w:val="0"/>
                  <w:vAlign w:val="center"/>
                </w:tcPr>
                <w:p w14:paraId="730241F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木煤气</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冷凝</w:t>
                  </w:r>
                </w:p>
              </w:tc>
              <w:tc>
                <w:tcPr>
                  <w:tcW w:w="694" w:type="pct"/>
                  <w:tcBorders>
                    <w:tl2br w:val="nil"/>
                    <w:tr2bl w:val="nil"/>
                  </w:tcBorders>
                  <w:noWrap w:val="0"/>
                  <w:vAlign w:val="center"/>
                </w:tcPr>
                <w:p w14:paraId="43DBE9B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补水按照循环水1%</w:t>
                  </w:r>
                </w:p>
              </w:tc>
              <w:tc>
                <w:tcPr>
                  <w:tcW w:w="572" w:type="pct"/>
                  <w:tcBorders>
                    <w:tl2br w:val="nil"/>
                    <w:tr2bl w:val="nil"/>
                  </w:tcBorders>
                  <w:noWrap w:val="0"/>
                  <w:vAlign w:val="center"/>
                </w:tcPr>
                <w:p w14:paraId="425352D4">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711" w:type="pct"/>
                  <w:tcBorders>
                    <w:tl2br w:val="nil"/>
                    <w:tr2bl w:val="nil"/>
                  </w:tcBorders>
                  <w:noWrap w:val="0"/>
                  <w:vAlign w:val="center"/>
                </w:tcPr>
                <w:p w14:paraId="2E6A3203">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504</w:t>
                  </w:r>
                </w:p>
              </w:tc>
              <w:tc>
                <w:tcPr>
                  <w:tcW w:w="588" w:type="pct"/>
                  <w:tcBorders>
                    <w:tl2br w:val="nil"/>
                    <w:tr2bl w:val="nil"/>
                  </w:tcBorders>
                  <w:noWrap w:val="0"/>
                  <w:vAlign w:val="center"/>
                </w:tcPr>
                <w:p w14:paraId="65679CE6">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11" w:type="pct"/>
                  <w:tcBorders>
                    <w:tl2br w:val="nil"/>
                    <w:tr2bl w:val="nil"/>
                  </w:tcBorders>
                  <w:noWrap w:val="0"/>
                  <w:vAlign w:val="center"/>
                </w:tcPr>
                <w:p w14:paraId="0146F65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74" w:type="pct"/>
                  <w:tcBorders>
                    <w:tl2br w:val="nil"/>
                    <w:tr2bl w:val="nil"/>
                  </w:tcBorders>
                  <w:noWrap w:val="0"/>
                  <w:vAlign w:val="center"/>
                </w:tcPr>
                <w:p w14:paraId="5D88A64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部分</w:t>
                  </w:r>
                </w:p>
                <w:p w14:paraId="3BD2A8F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蒸发，</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部分进入木醋液，</w:t>
                  </w: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无废水</w:t>
                  </w:r>
                </w:p>
              </w:tc>
            </w:tr>
            <w:tr w14:paraId="618D46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96" w:type="pct"/>
                  <w:tcBorders>
                    <w:tl2br w:val="nil"/>
                    <w:tr2bl w:val="nil"/>
                  </w:tcBorders>
                  <w:noWrap w:val="0"/>
                  <w:vAlign w:val="center"/>
                </w:tcPr>
                <w:p w14:paraId="71D0598A">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清洗罐用水</w:t>
                  </w:r>
                </w:p>
              </w:tc>
              <w:tc>
                <w:tcPr>
                  <w:tcW w:w="652" w:type="pct"/>
                  <w:tcBorders>
                    <w:tl2br w:val="nil"/>
                    <w:tr2bl w:val="nil"/>
                  </w:tcBorders>
                  <w:noWrap w:val="0"/>
                  <w:vAlign w:val="center"/>
                </w:tcPr>
                <w:p w14:paraId="7A05BB1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液体肥车间</w:t>
                  </w:r>
                </w:p>
              </w:tc>
              <w:tc>
                <w:tcPr>
                  <w:tcW w:w="694" w:type="pct"/>
                  <w:tcBorders>
                    <w:tl2br w:val="nil"/>
                    <w:tr2bl w:val="nil"/>
                  </w:tcBorders>
                  <w:noWrap w:val="0"/>
                  <w:vAlign w:val="center"/>
                </w:tcPr>
                <w:p w14:paraId="596E8441">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 w:val="0"/>
                      <w:bCs/>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5</w:t>
                  </w:r>
                  <w: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m</w:t>
                  </w:r>
                  <w:r>
                    <w:rPr>
                      <w:rFonts w:hint="default" w:ascii="Times New Roman" w:hAnsi="Times New Roman" w:cs="Times New Roman"/>
                      <w:bCs/>
                      <w:i w:val="0"/>
                      <w:iCs w:val="0"/>
                      <w:snapToGrid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次</w:t>
                  </w:r>
                </w:p>
              </w:tc>
              <w:tc>
                <w:tcPr>
                  <w:tcW w:w="572" w:type="pct"/>
                  <w:tcBorders>
                    <w:tl2br w:val="nil"/>
                    <w:tr2bl w:val="nil"/>
                  </w:tcBorders>
                  <w:noWrap w:val="0"/>
                  <w:vAlign w:val="center"/>
                </w:tcPr>
                <w:p w14:paraId="417BACD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711" w:type="pct"/>
                  <w:tcBorders>
                    <w:tl2br w:val="nil"/>
                    <w:tr2bl w:val="nil"/>
                  </w:tcBorders>
                  <w:noWrap w:val="0"/>
                  <w:vAlign w:val="center"/>
                </w:tcPr>
                <w:p w14:paraId="47A71A78">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5</w:t>
                  </w:r>
                </w:p>
              </w:tc>
              <w:tc>
                <w:tcPr>
                  <w:tcW w:w="588" w:type="pct"/>
                  <w:tcBorders>
                    <w:tl2br w:val="nil"/>
                    <w:tr2bl w:val="nil"/>
                  </w:tcBorders>
                  <w:noWrap w:val="0"/>
                  <w:vAlign w:val="center"/>
                </w:tcPr>
                <w:p w14:paraId="0740F47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11" w:type="pct"/>
                  <w:tcBorders>
                    <w:tl2br w:val="nil"/>
                    <w:tr2bl w:val="nil"/>
                  </w:tcBorders>
                  <w:noWrap w:val="0"/>
                  <w:vAlign w:val="center"/>
                </w:tcPr>
                <w:p w14:paraId="5F57D834">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74" w:type="pct"/>
                  <w:tcBorders>
                    <w:tl2br w:val="nil"/>
                    <w:tr2bl w:val="nil"/>
                  </w:tcBorders>
                  <w:noWrap w:val="0"/>
                  <w:vAlign w:val="center"/>
                </w:tcPr>
                <w:p w14:paraId="42A09323">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回用生产线</w:t>
                  </w:r>
                </w:p>
              </w:tc>
            </w:tr>
            <w:tr w14:paraId="00B5B7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96" w:type="pct"/>
                  <w:tcBorders>
                    <w:tl2br w:val="nil"/>
                    <w:tr2bl w:val="nil"/>
                  </w:tcBorders>
                  <w:noWrap w:val="0"/>
                  <w:vAlign w:val="center"/>
                </w:tcPr>
                <w:p w14:paraId="5990A1F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抑尘用水</w:t>
                  </w:r>
                </w:p>
              </w:tc>
              <w:tc>
                <w:tcPr>
                  <w:tcW w:w="652" w:type="pct"/>
                  <w:tcBorders>
                    <w:tl2br w:val="nil"/>
                    <w:tr2bl w:val="nil"/>
                  </w:tcBorders>
                  <w:noWrap w:val="0"/>
                  <w:vAlign w:val="center"/>
                </w:tcPr>
                <w:p w14:paraId="4BB6DB92">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厂区</w:t>
                  </w:r>
                </w:p>
                <w:p w14:paraId="775F128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路面</w:t>
                  </w:r>
                </w:p>
              </w:tc>
              <w:tc>
                <w:tcPr>
                  <w:tcW w:w="694" w:type="pct"/>
                  <w:tcBorders>
                    <w:tl2br w:val="nil"/>
                    <w:tr2bl w:val="nil"/>
                  </w:tcBorders>
                  <w:noWrap w:val="0"/>
                  <w:vAlign w:val="center"/>
                </w:tcPr>
                <w:p w14:paraId="1E09AC4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 w:val="0"/>
                      <w:bCs/>
                      <w:color w:val="000000" w:themeColor="text1"/>
                      <w:kern w:val="0"/>
                      <w:sz w:val="21"/>
                      <w:szCs w:val="21"/>
                      <w:highlight w:val="none"/>
                      <w:vertAlign w:val="baseline"/>
                      <w:lang w:val="en-US" w:eastAsia="zh-CN" w:bidi="ar"/>
                      <w14:textFill>
                        <w14:solidFill>
                          <w14:schemeClr w14:val="tx1"/>
                        </w14:solidFill>
                      </w14:textFill>
                    </w:rPr>
                    <w:t>2</w:t>
                  </w:r>
                  <w:r>
                    <w:rPr>
                      <w:rFonts w:hint="default" w:ascii="Times New Roman" w:hAnsi="Times New Roman" w:eastAsia="宋体" w:cs="Times New Roman"/>
                      <w:b w:val="0"/>
                      <w:bCs/>
                      <w:color w:val="000000" w:themeColor="text1"/>
                      <w:kern w:val="0"/>
                      <w:sz w:val="21"/>
                      <w:szCs w:val="21"/>
                      <w:highlight w:val="none"/>
                      <w:vertAlign w:val="baseline"/>
                      <w:lang w:val="en-US" w:eastAsia="zh-CN" w:bidi="ar"/>
                      <w14:textFill>
                        <w14:solidFill>
                          <w14:schemeClr w14:val="tx1"/>
                        </w14:solidFill>
                      </w14:textFill>
                    </w:rPr>
                    <w:t>L/m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
                      <w14:textFill>
                        <w14:solidFill>
                          <w14:schemeClr w14:val="tx1"/>
                        </w14:solidFill>
                      </w14:textFill>
                    </w:rPr>
                    <w:t>2</w:t>
                  </w:r>
                  <w:r>
                    <w:rPr>
                      <w:rFonts w:hint="default" w:ascii="Times New Roman" w:hAnsi="Times New Roman" w:eastAsia="宋体" w:cs="Times New Roman"/>
                      <w:b w:val="0"/>
                      <w:bCs/>
                      <w:color w:val="000000" w:themeColor="text1"/>
                      <w:kern w:val="0"/>
                      <w:sz w:val="21"/>
                      <w:szCs w:val="21"/>
                      <w:highlight w:val="none"/>
                      <w:vertAlign w:val="baseline"/>
                      <w:lang w:val="en-US" w:eastAsia="zh-CN" w:bidi="ar"/>
                      <w14:textFill>
                        <w14:solidFill>
                          <w14:schemeClr w14:val="tx1"/>
                        </w14:solidFill>
                      </w14:textFill>
                    </w:rPr>
                    <w:t>·d</w:t>
                  </w:r>
                </w:p>
              </w:tc>
              <w:tc>
                <w:tcPr>
                  <w:tcW w:w="572" w:type="pct"/>
                  <w:tcBorders>
                    <w:tl2br w:val="nil"/>
                    <w:tr2bl w:val="nil"/>
                  </w:tcBorders>
                  <w:noWrap w:val="0"/>
                  <w:vAlign w:val="center"/>
                </w:tcPr>
                <w:p w14:paraId="32B0C77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1200m</w:t>
                  </w:r>
                  <w:r>
                    <w:rPr>
                      <w:rFonts w:hint="eastAsia" w:ascii="Times New Roman" w:hAnsi="Times New Roman" w:cs="Times New Roman"/>
                      <w:bCs/>
                      <w:i w:val="0"/>
                      <w:iCs w:val="0"/>
                      <w:snapToGrid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eastAsia" w:ascii="Times New Roman" w:hAnsi="Times New Roman" w:cs="Times New Roman"/>
                      <w:bCs/>
                      <w:i w:val="0"/>
                      <w:iCs w:val="0"/>
                      <w:snapToGrid w:val="0"/>
                      <w:color w:val="000000" w:themeColor="text1"/>
                      <w:kern w:val="0"/>
                      <w:sz w:val="21"/>
                      <w:szCs w:val="21"/>
                      <w:highlight w:val="none"/>
                      <w:u w:val="none"/>
                      <w:vertAlign w:val="baseline"/>
                      <w:lang w:val="en-US" w:eastAsia="zh-CN" w:bidi="ar"/>
                      <w14:textFill>
                        <w14:solidFill>
                          <w14:schemeClr w14:val="tx1"/>
                        </w14:solidFill>
                      </w14:textFill>
                    </w:rPr>
                    <w:t>，180d</w:t>
                  </w:r>
                </w:p>
              </w:tc>
              <w:tc>
                <w:tcPr>
                  <w:tcW w:w="711" w:type="pct"/>
                  <w:tcBorders>
                    <w:tl2br w:val="nil"/>
                    <w:tr2bl w:val="nil"/>
                  </w:tcBorders>
                  <w:noWrap w:val="0"/>
                  <w:vAlign w:val="center"/>
                </w:tcPr>
                <w:p w14:paraId="1FE13EB3">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432</w:t>
                  </w:r>
                </w:p>
              </w:tc>
              <w:tc>
                <w:tcPr>
                  <w:tcW w:w="588" w:type="pct"/>
                  <w:tcBorders>
                    <w:tl2br w:val="nil"/>
                    <w:tr2bl w:val="nil"/>
                  </w:tcBorders>
                  <w:noWrap w:val="0"/>
                  <w:vAlign w:val="center"/>
                </w:tcPr>
                <w:p w14:paraId="5657EA5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11" w:type="pct"/>
                  <w:tcBorders>
                    <w:tl2br w:val="nil"/>
                    <w:tr2bl w:val="nil"/>
                  </w:tcBorders>
                  <w:noWrap w:val="0"/>
                  <w:vAlign w:val="center"/>
                </w:tcPr>
                <w:p w14:paraId="37375FE7">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74" w:type="pct"/>
                  <w:tcBorders>
                    <w:tl2br w:val="nil"/>
                    <w:tr2bl w:val="nil"/>
                  </w:tcBorders>
                  <w:noWrap w:val="0"/>
                  <w:vAlign w:val="center"/>
                </w:tcPr>
                <w:p w14:paraId="60388222">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全部</w:t>
                  </w:r>
                </w:p>
                <w:p w14:paraId="0C7C177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蒸发，无废水</w:t>
                  </w:r>
                </w:p>
              </w:tc>
            </w:tr>
            <w:tr w14:paraId="79E5CB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96" w:type="pct"/>
                  <w:tcBorders>
                    <w:tl2br w:val="nil"/>
                    <w:tr2bl w:val="nil"/>
                  </w:tcBorders>
                  <w:noWrap w:val="0"/>
                  <w:vAlign w:val="center"/>
                </w:tcPr>
                <w:p w14:paraId="564D1DF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绿化用水</w:t>
                  </w:r>
                </w:p>
              </w:tc>
              <w:tc>
                <w:tcPr>
                  <w:tcW w:w="652" w:type="pct"/>
                  <w:tcBorders>
                    <w:tl2br w:val="nil"/>
                    <w:tr2bl w:val="nil"/>
                  </w:tcBorders>
                  <w:noWrap w:val="0"/>
                  <w:vAlign w:val="center"/>
                </w:tcPr>
                <w:p w14:paraId="20DDC471">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厂区</w:t>
                  </w:r>
                </w:p>
                <w:p w14:paraId="34DE7B7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绿地</w:t>
                  </w:r>
                </w:p>
              </w:tc>
              <w:tc>
                <w:tcPr>
                  <w:tcW w:w="694" w:type="pct"/>
                  <w:tcBorders>
                    <w:tl2br w:val="nil"/>
                    <w:tr2bl w:val="nil"/>
                  </w:tcBorders>
                  <w:noWrap w:val="0"/>
                  <w:vAlign w:val="center"/>
                </w:tcPr>
                <w:p w14:paraId="0BD610F1">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vertAlign w:val="baseline"/>
                      <w:lang w:val="en-US" w:eastAsia="zh-CN" w:bidi="ar"/>
                      <w14:textFill>
                        <w14:solidFill>
                          <w14:schemeClr w14:val="tx1"/>
                        </w14:solidFill>
                      </w14:textFill>
                    </w:rPr>
                    <w:t>6</w:t>
                  </w:r>
                  <w:r>
                    <w:rPr>
                      <w:rFonts w:hint="default" w:ascii="Times New Roman" w:hAnsi="Times New Roman" w:eastAsia="宋体" w:cs="Times New Roman"/>
                      <w:b w:val="0"/>
                      <w:bCs/>
                      <w:color w:val="000000" w:themeColor="text1"/>
                      <w:kern w:val="0"/>
                      <w:sz w:val="21"/>
                      <w:szCs w:val="21"/>
                      <w:highlight w:val="none"/>
                      <w:vertAlign w:val="baseline"/>
                      <w:lang w:val="en-US" w:eastAsia="zh-CN" w:bidi="ar"/>
                      <w14:textFill>
                        <w14:solidFill>
                          <w14:schemeClr w14:val="tx1"/>
                        </w14:solidFill>
                      </w14:textFill>
                    </w:rPr>
                    <w:t>00</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1"/>
                      <w:szCs w:val="21"/>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vertAlign w:val="baseline"/>
                      <w:lang w:val="en-US" w:eastAsia="zh-CN" w:bidi="ar"/>
                      <w14:textFill>
                        <w14:solidFill>
                          <w14:schemeClr w14:val="tx1"/>
                        </w14:solidFill>
                      </w14:textFill>
                    </w:rPr>
                    <w:t>/（亩·a）</w:t>
                  </w:r>
                </w:p>
              </w:tc>
              <w:tc>
                <w:tcPr>
                  <w:tcW w:w="572" w:type="pct"/>
                  <w:tcBorders>
                    <w:tl2br w:val="nil"/>
                    <w:tr2bl w:val="nil"/>
                  </w:tcBorders>
                  <w:noWrap w:val="0"/>
                  <w:vAlign w:val="center"/>
                </w:tcPr>
                <w:p w14:paraId="75D80696">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0.45亩</w:t>
                  </w:r>
                </w:p>
              </w:tc>
              <w:tc>
                <w:tcPr>
                  <w:tcW w:w="711" w:type="pct"/>
                  <w:tcBorders>
                    <w:tl2br w:val="nil"/>
                    <w:tr2bl w:val="nil"/>
                  </w:tcBorders>
                  <w:noWrap w:val="0"/>
                  <w:vAlign w:val="center"/>
                </w:tcPr>
                <w:p w14:paraId="6750ACD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270</w:t>
                  </w:r>
                </w:p>
              </w:tc>
              <w:tc>
                <w:tcPr>
                  <w:tcW w:w="588" w:type="pct"/>
                  <w:tcBorders>
                    <w:tl2br w:val="nil"/>
                    <w:tr2bl w:val="nil"/>
                  </w:tcBorders>
                  <w:noWrap w:val="0"/>
                  <w:vAlign w:val="center"/>
                </w:tcPr>
                <w:p w14:paraId="2C84E78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11" w:type="pct"/>
                  <w:tcBorders>
                    <w:tl2br w:val="nil"/>
                    <w:tr2bl w:val="nil"/>
                  </w:tcBorders>
                  <w:noWrap w:val="0"/>
                  <w:vAlign w:val="center"/>
                </w:tcPr>
                <w:p w14:paraId="329AD65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0</w:t>
                  </w:r>
                </w:p>
              </w:tc>
              <w:tc>
                <w:tcPr>
                  <w:tcW w:w="674" w:type="pct"/>
                  <w:tcBorders>
                    <w:tl2br w:val="nil"/>
                    <w:tr2bl w:val="nil"/>
                  </w:tcBorders>
                  <w:noWrap w:val="0"/>
                  <w:vAlign w:val="center"/>
                </w:tcPr>
                <w:p w14:paraId="0D7243F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全部</w:t>
                  </w:r>
                </w:p>
                <w:p w14:paraId="2BE68F68">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蒸发，无废水</w:t>
                  </w:r>
                </w:p>
              </w:tc>
            </w:tr>
            <w:tr w14:paraId="3879E7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415" w:type="pct"/>
                  <w:gridSpan w:val="4"/>
                  <w:tcBorders>
                    <w:tl2br w:val="nil"/>
                    <w:tr2bl w:val="nil"/>
                  </w:tcBorders>
                  <w:noWrap w:val="0"/>
                  <w:vAlign w:val="center"/>
                </w:tcPr>
                <w:p w14:paraId="0E4BDB69">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合计</w:t>
                  </w:r>
                </w:p>
              </w:tc>
              <w:tc>
                <w:tcPr>
                  <w:tcW w:w="711" w:type="pct"/>
                  <w:tcBorders>
                    <w:tl2br w:val="nil"/>
                    <w:tr2bl w:val="nil"/>
                  </w:tcBorders>
                  <w:noWrap w:val="0"/>
                  <w:vAlign w:val="center"/>
                </w:tcPr>
                <w:p w14:paraId="375586C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1979</w:t>
                  </w:r>
                </w:p>
              </w:tc>
              <w:tc>
                <w:tcPr>
                  <w:tcW w:w="588" w:type="pct"/>
                  <w:tcBorders>
                    <w:tl2br w:val="nil"/>
                    <w:tr2bl w:val="nil"/>
                  </w:tcBorders>
                  <w:noWrap w:val="0"/>
                  <w:vAlign w:val="center"/>
                </w:tcPr>
                <w:p w14:paraId="75A8EFC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611" w:type="pct"/>
                  <w:tcBorders>
                    <w:tl2br w:val="nil"/>
                    <w:tr2bl w:val="nil"/>
                  </w:tcBorders>
                  <w:noWrap w:val="0"/>
                  <w:vAlign w:val="center"/>
                </w:tcPr>
                <w:p w14:paraId="17B218A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230.4</w:t>
                  </w:r>
                </w:p>
              </w:tc>
              <w:tc>
                <w:tcPr>
                  <w:tcW w:w="674" w:type="pct"/>
                  <w:tcBorders>
                    <w:tl2br w:val="nil"/>
                    <w:tr2bl w:val="nil"/>
                  </w:tcBorders>
                  <w:noWrap w:val="0"/>
                  <w:vAlign w:val="center"/>
                </w:tcPr>
                <w:p w14:paraId="7BE7AF9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用水均为新鲜水</w:t>
                  </w:r>
                </w:p>
              </w:tc>
            </w:tr>
          </w:tbl>
          <w:p w14:paraId="15233F91">
            <w:pPr>
              <w:rPr>
                <w:rFonts w:ascii="Times New Roman" w:hAnsi="Times New Roman"/>
                <w:b/>
                <w:color w:val="000000" w:themeColor="text1"/>
                <w:kern w:val="24"/>
                <w:highlight w:val="none"/>
                <w:lang w:bidi="ar"/>
                <w14:textFill>
                  <w14:solidFill>
                    <w14:schemeClr w14:val="tx1"/>
                  </w14:solidFill>
                </w14:textFill>
              </w:rPr>
            </w:pPr>
            <w:r>
              <w:rPr>
                <w:color w:val="000000" w:themeColor="text1"/>
                <w:sz w:val="24"/>
                <w:highlight w:val="none"/>
                <w14:textFill>
                  <w14:solidFill>
                    <w14:schemeClr w14:val="tx1"/>
                  </w14:solidFill>
                </w14:textFill>
              </w:rPr>
              <mc:AlternateContent>
                <mc:Choice Requires="wps">
                  <w:drawing>
                    <wp:anchor distT="0" distB="0" distL="114300" distR="114300" simplePos="0" relativeHeight="251746304" behindDoc="0" locked="0" layoutInCell="1" allowOverlap="1">
                      <wp:simplePos x="0" y="0"/>
                      <wp:positionH relativeFrom="column">
                        <wp:posOffset>2631440</wp:posOffset>
                      </wp:positionH>
                      <wp:positionV relativeFrom="paragraph">
                        <wp:posOffset>3077210</wp:posOffset>
                      </wp:positionV>
                      <wp:extent cx="765175" cy="28702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765175" cy="287020"/>
                              </a:xfrm>
                              <a:prstGeom prst="rect">
                                <a:avLst/>
                              </a:prstGeom>
                              <a:noFill/>
                              <a:ln>
                                <a:noFill/>
                              </a:ln>
                            </wps:spPr>
                            <wps:txbx>
                              <w:txbxContent>
                                <w:p w14:paraId="472D0709">
                                  <w:pPr>
                                    <w:jc w:val="center"/>
                                    <w:rPr>
                                      <w:rFonts w:hint="default" w:eastAsia="宋体"/>
                                      <w:lang w:val="en-US" w:eastAsia="zh-CN"/>
                                    </w:rPr>
                                  </w:pPr>
                                  <w:r>
                                    <w:rPr>
                                      <w:rFonts w:hint="eastAsia"/>
                                      <w:lang w:val="en-US" w:eastAsia="zh-CN"/>
                                    </w:rPr>
                                    <w:t>回用生产</w:t>
                                  </w:r>
                                </w:p>
                              </w:txbxContent>
                            </wps:txbx>
                            <wps:bodyPr upright="1"/>
                          </wps:wsp>
                        </a:graphicData>
                      </a:graphic>
                    </wp:anchor>
                  </w:drawing>
                </mc:Choice>
                <mc:Fallback>
                  <w:pict>
                    <v:shape id="_x0000_s1026" o:spid="_x0000_s1026" o:spt="202" type="#_x0000_t202" style="position:absolute;left:0pt;margin-left:207.2pt;margin-top:242.3pt;height:22.6pt;width:60.25pt;z-index:251746304;mso-width-relative:page;mso-height-relative:page;" filled="f" stroked="f" coordsize="21600,21600" o:gfxdata="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EdN8lLX&#10;AAAACwEAAA8AAAAAAAAAAQAgAAAAIgAAAGRycy9kb3ducmV2LnhtbFBLAQIUABQAAAAIAIdO4kBm&#10;D2OKrwEAAE8DAAAOAAAAAAAAAAEAIAAAACYBAABkcnMvZTJvRG9jLnhtbFBLBQYAAAAABgAGAFkB&#10;AABHBQAAAAA=&#10;">
                      <v:fill on="f" focussize="0,0"/>
                      <v:stroke on="f"/>
                      <v:imagedata o:title=""/>
                      <o:lock v:ext="edit" aspectratio="f"/>
                      <v:textbox>
                        <w:txbxContent>
                          <w:p w14:paraId="472D0709">
                            <w:pPr>
                              <w:jc w:val="center"/>
                              <w:rPr>
                                <w:rFonts w:hint="default" w:eastAsia="宋体"/>
                                <w:lang w:val="en-US" w:eastAsia="zh-CN"/>
                              </w:rPr>
                            </w:pPr>
                            <w:r>
                              <w:rPr>
                                <w:rFonts w:hint="eastAsia"/>
                                <w:lang w:val="en-US" w:eastAsia="zh-CN"/>
                              </w:rPr>
                              <w:t>回用生产</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45280" behindDoc="0" locked="0" layoutInCell="1" allowOverlap="1">
                      <wp:simplePos x="0" y="0"/>
                      <wp:positionH relativeFrom="column">
                        <wp:posOffset>3326765</wp:posOffset>
                      </wp:positionH>
                      <wp:positionV relativeFrom="paragraph">
                        <wp:posOffset>3214370</wp:posOffset>
                      </wp:positionV>
                      <wp:extent cx="550545" cy="196850"/>
                      <wp:effectExtent l="4445" t="5080" r="16510" b="7620"/>
                      <wp:wrapNone/>
                      <wp:docPr id="69" name="文本框 69"/>
                      <wp:cNvGraphicFramePr/>
                      <a:graphic xmlns:a="http://schemas.openxmlformats.org/drawingml/2006/main">
                        <a:graphicData uri="http://schemas.microsoft.com/office/word/2010/wordprocessingShape">
                          <wps:wsp>
                            <wps:cNvSpPr txBox="1"/>
                            <wps:spPr>
                              <a:xfrm>
                                <a:off x="0" y="0"/>
                                <a:ext cx="550545" cy="196850"/>
                              </a:xfrm>
                              <a:prstGeom prst="rect">
                                <a:avLst/>
                              </a:prstGeom>
                              <a:noFill/>
                              <a:ln w="9525" cap="flat" cmpd="sng">
                                <a:solidFill>
                                  <a:srgbClr val="000000"/>
                                </a:solidFill>
                                <a:prstDash val="solid"/>
                                <a:miter/>
                                <a:headEnd type="none" w="med" len="med"/>
                                <a:tailEnd type="none" w="med" len="med"/>
                              </a:ln>
                            </wps:spPr>
                            <wps:txbx>
                              <w:txbxContent>
                                <w:p w14:paraId="0CC967D0">
                                  <w:pPr>
                                    <w:jc w:val="center"/>
                                    <w:rPr>
                                      <w:rFonts w:hint="default" w:eastAsia="宋体"/>
                                      <w:lang w:val="en-US" w:eastAsia="zh-CN"/>
                                    </w:rPr>
                                  </w:pPr>
                                  <w:r>
                                    <w:rPr>
                                      <w:rFonts w:hint="eastAsia"/>
                                      <w:lang w:val="en-US" w:eastAsia="zh-CN"/>
                                    </w:rPr>
                                    <w:t>反应釜</w:t>
                                  </w:r>
                                </w:p>
                              </w:txbxContent>
                            </wps:txbx>
                            <wps:bodyPr lIns="18000" tIns="7200" rIns="18000" bIns="7200" upright="1"/>
                          </wps:wsp>
                        </a:graphicData>
                      </a:graphic>
                    </wp:anchor>
                  </w:drawing>
                </mc:Choice>
                <mc:Fallback>
                  <w:pict>
                    <v:shape id="_x0000_s1026" o:spid="_x0000_s1026" o:spt="202" type="#_x0000_t202" style="position:absolute;left:0pt;margin-left:261.95pt;margin-top:253.1pt;height:15.5pt;width:43.35pt;z-index:251745280;mso-width-relative:page;mso-height-relative:page;" filled="f" stroked="t" coordsize="21600,21600" o:gfxdata="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0K4zl2QAA&#10;AAsBAAAPAAAAAAAAAAEAIAAAACIAAABkcnMvZG93bnJldi54bWxQSwECFAAUAAAACACHTuJAuoH3&#10;IB0CAABABAAADgAAAAAAAAABACAAAAAoAQAAZHJzL2Uyb0RvYy54bWxQSwUGAAAAAAYABgBZAQAA&#10;twUAAAAA&#10;">
                      <v:fill on="f" focussize="0,0"/>
                      <v:stroke color="#000000" joinstyle="miter"/>
                      <v:imagedata o:title=""/>
                      <o:lock v:ext="edit" aspectratio="f"/>
                      <v:textbox inset="0.5mm,0.2mm,0.5mm,0.2mm">
                        <w:txbxContent>
                          <w:p w14:paraId="0CC967D0">
                            <w:pPr>
                              <w:jc w:val="center"/>
                              <w:rPr>
                                <w:rFonts w:hint="default" w:eastAsia="宋体"/>
                                <w:lang w:val="en-US" w:eastAsia="zh-CN"/>
                              </w:rPr>
                            </w:pPr>
                            <w:r>
                              <w:rPr>
                                <w:rFonts w:hint="eastAsia"/>
                                <w:lang w:val="en-US" w:eastAsia="zh-CN"/>
                              </w:rPr>
                              <w:t>反应釜</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44256" behindDoc="0" locked="0" layoutInCell="1" allowOverlap="1">
                      <wp:simplePos x="0" y="0"/>
                      <wp:positionH relativeFrom="column">
                        <wp:posOffset>2707005</wp:posOffset>
                      </wp:positionH>
                      <wp:positionV relativeFrom="paragraph">
                        <wp:posOffset>3312795</wp:posOffset>
                      </wp:positionV>
                      <wp:extent cx="618490" cy="3810"/>
                      <wp:effectExtent l="0" t="45720" r="10160" b="64770"/>
                      <wp:wrapNone/>
                      <wp:docPr id="68" name="直接连接符 68"/>
                      <wp:cNvGraphicFramePr/>
                      <a:graphic xmlns:a="http://schemas.openxmlformats.org/drawingml/2006/main">
                        <a:graphicData uri="http://schemas.microsoft.com/office/word/2010/wordprocessingShape">
                          <wps:wsp>
                            <wps:cNvCnPr/>
                            <wps:spPr>
                              <a:xfrm>
                                <a:off x="0" y="0"/>
                                <a:ext cx="618490" cy="381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margin-left:213.15pt;margin-top:260.85pt;height:0.3pt;width:48.7pt;z-index:251744256;mso-width-relative:page;mso-height-relative:page;" filled="f" stroked="t" coordsize="21600,21600" o:gfxdata="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TnNKC2gAAAAsBAAAPAAAAAAAAAAEAIAAAACIAAABk&#10;cnMvZG93bnJldi54bWxQSwECFAAUAAAACACHTuJA4qWS0AQCAADzAwAADgAAAAAAAAABACAAAAAp&#10;AQAAZHJzL2Uyb0RvYy54bWxQSwUGAAAAAAYABgBZAQAAnwU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5344" behindDoc="0" locked="0" layoutInCell="1" allowOverlap="1">
                      <wp:simplePos x="0" y="0"/>
                      <wp:positionH relativeFrom="column">
                        <wp:posOffset>2800985</wp:posOffset>
                      </wp:positionH>
                      <wp:positionV relativeFrom="paragraph">
                        <wp:posOffset>4834890</wp:posOffset>
                      </wp:positionV>
                      <wp:extent cx="2272665" cy="189865"/>
                      <wp:effectExtent l="4445" t="4445" r="8890" b="15240"/>
                      <wp:wrapNone/>
                      <wp:docPr id="39" name="文本框 39"/>
                      <wp:cNvGraphicFramePr/>
                      <a:graphic xmlns:a="http://schemas.openxmlformats.org/drawingml/2006/main">
                        <a:graphicData uri="http://schemas.microsoft.com/office/word/2010/wordprocessingShape">
                          <wps:wsp>
                            <wps:cNvSpPr txBox="1"/>
                            <wps:spPr>
                              <a:xfrm>
                                <a:off x="0" y="0"/>
                                <a:ext cx="2272665" cy="189865"/>
                              </a:xfrm>
                              <a:prstGeom prst="rect">
                                <a:avLst/>
                              </a:prstGeom>
                              <a:noFill/>
                              <a:ln w="9525" cap="flat" cmpd="sng">
                                <a:solidFill>
                                  <a:srgbClr val="000000"/>
                                </a:solidFill>
                                <a:prstDash val="solid"/>
                                <a:miter/>
                                <a:headEnd type="none" w="med" len="med"/>
                                <a:tailEnd type="none" w="med" len="med"/>
                              </a:ln>
                            </wps:spPr>
                            <wps:txbx>
                              <w:txbxContent>
                                <w:p w14:paraId="2373541F">
                                  <w:pPr>
                                    <w:jc w:val="center"/>
                                    <w:rPr>
                                      <w:rFonts w:hint="default" w:eastAsia="宋体"/>
                                      <w:color w:val="auto"/>
                                      <w:sz w:val="21"/>
                                      <w:szCs w:val="21"/>
                                      <w:lang w:val="en-US" w:eastAsia="zh-CN"/>
                                    </w:rPr>
                                  </w:pPr>
                                  <w:r>
                                    <w:rPr>
                                      <w:rFonts w:hint="default" w:eastAsia="宋体"/>
                                      <w:color w:val="auto"/>
                                      <w:lang w:val="en-US" w:eastAsia="zh-CN"/>
                                    </w:rPr>
                                    <w:t>呼图壁县工业园区化工园污水处理厂</w:t>
                                  </w:r>
                                </w:p>
                              </w:txbxContent>
                            </wps:txbx>
                            <wps:bodyPr lIns="18000" tIns="7200" rIns="18000" bIns="7200" upright="1"/>
                          </wps:wsp>
                        </a:graphicData>
                      </a:graphic>
                    </wp:anchor>
                  </w:drawing>
                </mc:Choice>
                <mc:Fallback>
                  <w:pict>
                    <v:shape id="_x0000_s1026" o:spid="_x0000_s1026" o:spt="202" type="#_x0000_t202" style="position:absolute;left:0pt;margin-left:220.55pt;margin-top:380.7pt;height:14.95pt;width:178.95pt;z-index:251705344;mso-width-relative:page;mso-height-relative:page;" filled="f" stroked="t" coordsize="21600,21600" o:gfxdata="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dQ5YZNoA&#10;AAALAQAADwAAAAAAAAABACAAAAAiAAAAZHJzL2Rvd25yZXYueG1sUEsBAhQAFAAAAAgAh07iQB07&#10;Ca0dAgAAQQQAAA4AAAAAAAAAAQAgAAAAKQEAAGRycy9lMm9Eb2MueG1sUEsFBgAAAAAGAAYAWQEA&#10;ALgFAAAAAA==&#10;">
                      <v:fill on="f" focussize="0,0"/>
                      <v:stroke color="#000000" joinstyle="miter"/>
                      <v:imagedata o:title=""/>
                      <o:lock v:ext="edit" aspectratio="f"/>
                      <v:textbox inset="0.5mm,0.2mm,0.5mm,0.2mm">
                        <w:txbxContent>
                          <w:p w14:paraId="2373541F">
                            <w:pPr>
                              <w:jc w:val="center"/>
                              <w:rPr>
                                <w:rFonts w:hint="default" w:eastAsia="宋体"/>
                                <w:color w:val="auto"/>
                                <w:sz w:val="21"/>
                                <w:szCs w:val="21"/>
                                <w:lang w:val="en-US" w:eastAsia="zh-CN"/>
                              </w:rPr>
                            </w:pPr>
                            <w:r>
                              <w:rPr>
                                <w:rFonts w:hint="default" w:eastAsia="宋体"/>
                                <w:color w:val="auto"/>
                                <w:lang w:val="en-US" w:eastAsia="zh-CN"/>
                              </w:rPr>
                              <w:t>呼图壁县工业园区化工园污水处理厂</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2272" behindDoc="0" locked="0" layoutInCell="1" allowOverlap="1">
                      <wp:simplePos x="0" y="0"/>
                      <wp:positionH relativeFrom="column">
                        <wp:posOffset>4234815</wp:posOffset>
                      </wp:positionH>
                      <wp:positionV relativeFrom="paragraph">
                        <wp:posOffset>4394835</wp:posOffset>
                      </wp:positionV>
                      <wp:extent cx="546100" cy="233045"/>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546100" cy="233045"/>
                              </a:xfrm>
                              <a:prstGeom prst="rect">
                                <a:avLst/>
                              </a:prstGeom>
                              <a:noFill/>
                              <a:ln>
                                <a:noFill/>
                              </a:ln>
                            </wps:spPr>
                            <wps:txbx>
                              <w:txbxContent>
                                <w:p w14:paraId="59812156">
                                  <w:pPr>
                                    <w:jc w:val="center"/>
                                    <w:rPr>
                                      <w:rFonts w:hint="default" w:eastAsia="宋体"/>
                                      <w:lang w:val="en-US" w:eastAsia="zh-CN"/>
                                    </w:rPr>
                                  </w:pPr>
                                  <w:r>
                                    <w:rPr>
                                      <w:rFonts w:hint="eastAsia"/>
                                      <w:lang w:val="en-US" w:eastAsia="zh-CN"/>
                                    </w:rPr>
                                    <w:t>230.4</w:t>
                                  </w:r>
                                </w:p>
                              </w:txbxContent>
                            </wps:txbx>
                            <wps:bodyPr upright="1"/>
                          </wps:wsp>
                        </a:graphicData>
                      </a:graphic>
                    </wp:anchor>
                  </w:drawing>
                </mc:Choice>
                <mc:Fallback>
                  <w:pict>
                    <v:shape id="_x0000_s1026" o:spid="_x0000_s1026" o:spt="202" type="#_x0000_t202" style="position:absolute;left:0pt;margin-left:333.45pt;margin-top:346.05pt;height:18.35pt;width:43pt;z-index:251702272;mso-width-relative:page;mso-height-relative:page;" filled="f" stroked="f" coordsize="21600,21600" o:gfxdata="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AX6zM1wAA&#10;AAsBAAAPAAAAAAAAAAEAIAAAACIAAABkcnMvZG93bnJldi54bWxQSwECFAAUAAAACACHTuJAwEc7&#10;2a0BAABPAwAADgAAAAAAAAABACAAAAAmAQAAZHJzL2Uyb0RvYy54bWxQSwUGAAAAAAYABgBZAQAA&#10;RQUAAAAA&#10;">
                      <v:fill on="f" focussize="0,0"/>
                      <v:stroke on="f"/>
                      <v:imagedata o:title=""/>
                      <o:lock v:ext="edit" aspectratio="f"/>
                      <v:textbox>
                        <w:txbxContent>
                          <w:p w14:paraId="59812156">
                            <w:pPr>
                              <w:jc w:val="center"/>
                              <w:rPr>
                                <w:rFonts w:hint="default" w:eastAsia="宋体"/>
                                <w:lang w:val="en-US" w:eastAsia="zh-CN"/>
                              </w:rPr>
                            </w:pPr>
                            <w:r>
                              <w:rPr>
                                <w:rFonts w:hint="eastAsia"/>
                                <w:lang w:val="en-US" w:eastAsia="zh-CN"/>
                              </w:rPr>
                              <w:t>230.4</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6368" behindDoc="0" locked="0" layoutInCell="1" allowOverlap="1">
                      <wp:simplePos x="0" y="0"/>
                      <wp:positionH relativeFrom="column">
                        <wp:posOffset>4325620</wp:posOffset>
                      </wp:positionH>
                      <wp:positionV relativeFrom="paragraph">
                        <wp:posOffset>4267835</wp:posOffset>
                      </wp:positionV>
                      <wp:extent cx="4445" cy="559435"/>
                      <wp:effectExtent l="48260" t="0" r="61595" b="12065"/>
                      <wp:wrapNone/>
                      <wp:docPr id="41" name="直接连接符 41"/>
                      <wp:cNvGraphicFramePr/>
                      <a:graphic xmlns:a="http://schemas.openxmlformats.org/drawingml/2006/main">
                        <a:graphicData uri="http://schemas.microsoft.com/office/word/2010/wordprocessingShape">
                          <wps:wsp>
                            <wps:cNvCnPr/>
                            <wps:spPr>
                              <a:xfrm flipH="1">
                                <a:off x="0" y="0"/>
                                <a:ext cx="4445" cy="5594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340.6pt;margin-top:336.05pt;height:44.05pt;width:0.35pt;z-index:251706368;mso-width-relative:page;mso-height-relative:page;" filled="f" stroked="t" coordsize="21600,21600" o:gfxdata="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0VLRQ2AAAAAsBAAAPAAAAAAAAAAEAIAAAACIAAABkcnMv&#10;ZG93bnJldi54bWxQSwECFAAUAAAACACHTuJA04uZxAMCAADzAwAADgAAAAAAAAABACAAAAAnAQAA&#10;ZHJzL2Uyb0RvYy54bWxQSwUGAAAAAAYABgBZAQAAnAU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0464" behindDoc="0" locked="0" layoutInCell="1" allowOverlap="1">
                      <wp:simplePos x="0" y="0"/>
                      <wp:positionH relativeFrom="column">
                        <wp:posOffset>3462655</wp:posOffset>
                      </wp:positionH>
                      <wp:positionV relativeFrom="paragraph">
                        <wp:posOffset>3954780</wp:posOffset>
                      </wp:positionV>
                      <wp:extent cx="546100" cy="224155"/>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546100" cy="224155"/>
                              </a:xfrm>
                              <a:prstGeom prst="rect">
                                <a:avLst/>
                              </a:prstGeom>
                              <a:noFill/>
                              <a:ln>
                                <a:noFill/>
                              </a:ln>
                            </wps:spPr>
                            <wps:txbx>
                              <w:txbxContent>
                                <w:p w14:paraId="3B1E3917">
                                  <w:pPr>
                                    <w:jc w:val="center"/>
                                    <w:rPr>
                                      <w:rFonts w:hint="default" w:eastAsia="宋体"/>
                                      <w:lang w:val="en-US" w:eastAsia="zh-CN"/>
                                    </w:rPr>
                                  </w:pPr>
                                  <w:r>
                                    <w:rPr>
                                      <w:rFonts w:hint="eastAsia"/>
                                      <w:lang w:val="en-US" w:eastAsia="zh-CN"/>
                                    </w:rPr>
                                    <w:t>230.4</w:t>
                                  </w:r>
                                </w:p>
                              </w:txbxContent>
                            </wps:txbx>
                            <wps:bodyPr upright="1"/>
                          </wps:wsp>
                        </a:graphicData>
                      </a:graphic>
                    </wp:anchor>
                  </w:drawing>
                </mc:Choice>
                <mc:Fallback>
                  <w:pict>
                    <v:shape id="_x0000_s1026" o:spid="_x0000_s1026" o:spt="202" type="#_x0000_t202" style="position:absolute;left:0pt;margin-left:272.65pt;margin-top:311.4pt;height:17.65pt;width:43pt;z-index:251710464;mso-width-relative:page;mso-height-relative:page;" filled="f" stroked="f" coordsize="21600,21600" o:gfxdata="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JReE+vZ&#10;AAAACwEAAA8AAAAAAAAAAQAgAAAAIgAAAGRycy9kb3ducmV2LnhtbFBLAQIUABQAAAAIAIdO4kDa&#10;7biArQEAAE8DAAAOAAAAAAAAAAEAIAAAACgBAABkcnMvZTJvRG9jLnhtbFBLBQYAAAAABgAGAFkB&#10;AABHBQAAAAA=&#10;">
                      <v:fill on="f" focussize="0,0"/>
                      <v:stroke on="f"/>
                      <v:imagedata o:title=""/>
                      <o:lock v:ext="edit" aspectratio="f"/>
                      <v:textbox>
                        <w:txbxContent>
                          <w:p w14:paraId="3B1E3917">
                            <w:pPr>
                              <w:jc w:val="center"/>
                              <w:rPr>
                                <w:rFonts w:hint="default" w:eastAsia="宋体"/>
                                <w:lang w:val="en-US" w:eastAsia="zh-CN"/>
                              </w:rPr>
                            </w:pPr>
                            <w:r>
                              <w:rPr>
                                <w:rFonts w:hint="eastAsia"/>
                                <w:lang w:val="en-US" w:eastAsia="zh-CN"/>
                              </w:rPr>
                              <w:t>230.4</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1488" behindDoc="0" locked="0" layoutInCell="1" allowOverlap="1">
                      <wp:simplePos x="0" y="0"/>
                      <wp:positionH relativeFrom="column">
                        <wp:posOffset>2349500</wp:posOffset>
                      </wp:positionH>
                      <wp:positionV relativeFrom="paragraph">
                        <wp:posOffset>3953510</wp:posOffset>
                      </wp:positionV>
                      <wp:extent cx="546100" cy="28702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546100" cy="287020"/>
                              </a:xfrm>
                              <a:prstGeom prst="rect">
                                <a:avLst/>
                              </a:prstGeom>
                              <a:noFill/>
                              <a:ln>
                                <a:noFill/>
                              </a:ln>
                            </wps:spPr>
                            <wps:txbx>
                              <w:txbxContent>
                                <w:p w14:paraId="279F9062">
                                  <w:pPr>
                                    <w:jc w:val="center"/>
                                    <w:rPr>
                                      <w:rFonts w:hint="default" w:eastAsia="宋体"/>
                                      <w:lang w:val="en-US" w:eastAsia="zh-CN"/>
                                    </w:rPr>
                                  </w:pPr>
                                  <w:r>
                                    <w:rPr>
                                      <w:rFonts w:hint="eastAsia"/>
                                      <w:lang w:val="en-US" w:eastAsia="zh-CN"/>
                                    </w:rPr>
                                    <w:t>230.4</w:t>
                                  </w:r>
                                </w:p>
                              </w:txbxContent>
                            </wps:txbx>
                            <wps:bodyPr upright="1"/>
                          </wps:wsp>
                        </a:graphicData>
                      </a:graphic>
                    </wp:anchor>
                  </w:drawing>
                </mc:Choice>
                <mc:Fallback>
                  <w:pict>
                    <v:shape id="_x0000_s1026" o:spid="_x0000_s1026" o:spt="202" type="#_x0000_t202" style="position:absolute;left:0pt;margin-left:185pt;margin-top:311.3pt;height:22.6pt;width:43pt;z-index:251711488;mso-width-relative:page;mso-height-relative:page;" filled="f" stroked="f" coordsize="21600,21600" o:gfxdata="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tCDWetgA&#10;AAALAQAADwAAAAAAAAABACAAAAAiAAAAZHJzL2Rvd25yZXYueG1sUEsBAhQAFAAAAAgAh07iQF9/&#10;YSCtAQAATwMAAA4AAAAAAAAAAQAgAAAAJwEAAGRycy9lMm9Eb2MueG1sUEsFBgAAAAAGAAYAWQEA&#10;AEYFAAAAAA==&#10;">
                      <v:fill on="f" focussize="0,0"/>
                      <v:stroke on="f"/>
                      <v:imagedata o:title=""/>
                      <o:lock v:ext="edit" aspectratio="f"/>
                      <v:textbox>
                        <w:txbxContent>
                          <w:p w14:paraId="279F9062">
                            <w:pPr>
                              <w:jc w:val="center"/>
                              <w:rPr>
                                <w:rFonts w:hint="default" w:eastAsia="宋体"/>
                                <w:lang w:val="en-US" w:eastAsia="zh-CN"/>
                              </w:rPr>
                            </w:pPr>
                            <w:r>
                              <w:rPr>
                                <w:rFonts w:hint="eastAsia"/>
                                <w:lang w:val="en-US" w:eastAsia="zh-CN"/>
                              </w:rPr>
                              <w:t>230.4</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8416" behindDoc="0" locked="0" layoutInCell="1" allowOverlap="1">
                      <wp:simplePos x="0" y="0"/>
                      <wp:positionH relativeFrom="column">
                        <wp:posOffset>3989705</wp:posOffset>
                      </wp:positionH>
                      <wp:positionV relativeFrom="paragraph">
                        <wp:posOffset>4063365</wp:posOffset>
                      </wp:positionV>
                      <wp:extent cx="652145" cy="206375"/>
                      <wp:effectExtent l="4445" t="4445" r="10160" b="17780"/>
                      <wp:wrapNone/>
                      <wp:docPr id="37" name="文本框 37"/>
                      <wp:cNvGraphicFramePr/>
                      <a:graphic xmlns:a="http://schemas.openxmlformats.org/drawingml/2006/main">
                        <a:graphicData uri="http://schemas.microsoft.com/office/word/2010/wordprocessingShape">
                          <wps:wsp>
                            <wps:cNvSpPr txBox="1"/>
                            <wps:spPr>
                              <a:xfrm>
                                <a:off x="0" y="0"/>
                                <a:ext cx="652145" cy="206375"/>
                              </a:xfrm>
                              <a:prstGeom prst="rect">
                                <a:avLst/>
                              </a:prstGeom>
                              <a:noFill/>
                              <a:ln w="9525" cap="flat" cmpd="sng">
                                <a:solidFill>
                                  <a:srgbClr val="000000"/>
                                </a:solidFill>
                                <a:prstDash val="solid"/>
                                <a:miter/>
                                <a:headEnd type="none" w="med" len="med"/>
                                <a:tailEnd type="none" w="med" len="med"/>
                              </a:ln>
                            </wps:spPr>
                            <wps:txbx>
                              <w:txbxContent>
                                <w:p w14:paraId="0C63F830">
                                  <w:pPr>
                                    <w:jc w:val="center"/>
                                    <w:rPr>
                                      <w:rFonts w:hint="default" w:eastAsia="宋体"/>
                                      <w:b w:val="0"/>
                                      <w:bCs w:val="0"/>
                                      <w:lang w:val="en-US" w:eastAsia="zh-CN"/>
                                    </w:rPr>
                                  </w:pPr>
                                  <w:r>
                                    <w:rPr>
                                      <w:rFonts w:hint="eastAsia" w:eastAsia="宋体"/>
                                      <w:b w:val="0"/>
                                      <w:bCs w:val="0"/>
                                      <w:lang w:val="en-US" w:eastAsia="zh-CN"/>
                                    </w:rPr>
                                    <w:t>吸污车</w:t>
                                  </w:r>
                                </w:p>
                              </w:txbxContent>
                            </wps:txbx>
                            <wps:bodyPr lIns="18000" tIns="7200" rIns="18000" bIns="7200" upright="1"/>
                          </wps:wsp>
                        </a:graphicData>
                      </a:graphic>
                    </wp:anchor>
                  </w:drawing>
                </mc:Choice>
                <mc:Fallback>
                  <w:pict>
                    <v:shape id="_x0000_s1026" o:spid="_x0000_s1026" o:spt="202" type="#_x0000_t202" style="position:absolute;left:0pt;margin-left:314.15pt;margin-top:319.95pt;height:16.25pt;width:51.35pt;z-index:251708416;mso-width-relative:page;mso-height-relative:page;" filled="f" stroked="t" coordsize="21600,21600" o:gfxdata="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JDGg3b&#10;AAAACwEAAA8AAAAAAAAAAQAgAAAAIgAAAGRycy9kb3ducmV2LnhtbFBLAQIUABQAAAAIAIdO4kDW&#10;RUjOHQIAAEAEAAAOAAAAAAAAAAEAIAAAACoBAABkcnMvZTJvRG9jLnhtbFBLBQYAAAAABgAGAFkB&#10;AAC5BQAAAAA=&#10;">
                      <v:fill on="f" focussize="0,0"/>
                      <v:stroke color="#000000" joinstyle="miter"/>
                      <v:imagedata o:title=""/>
                      <o:lock v:ext="edit" aspectratio="f"/>
                      <v:textbox inset="0.5mm,0.2mm,0.5mm,0.2mm">
                        <w:txbxContent>
                          <w:p w14:paraId="0C63F830">
                            <w:pPr>
                              <w:jc w:val="center"/>
                              <w:rPr>
                                <w:rFonts w:hint="default" w:eastAsia="宋体"/>
                                <w:b w:val="0"/>
                                <w:bCs w:val="0"/>
                                <w:lang w:val="en-US" w:eastAsia="zh-CN"/>
                              </w:rPr>
                            </w:pPr>
                            <w:r>
                              <w:rPr>
                                <w:rFonts w:hint="eastAsia" w:eastAsia="宋体"/>
                                <w:b w:val="0"/>
                                <w:bCs w:val="0"/>
                                <w:lang w:val="en-US" w:eastAsia="zh-CN"/>
                              </w:rPr>
                              <w:t>吸污车</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9440" behindDoc="0" locked="0" layoutInCell="1" allowOverlap="1">
                      <wp:simplePos x="0" y="0"/>
                      <wp:positionH relativeFrom="column">
                        <wp:posOffset>3531870</wp:posOffset>
                      </wp:positionH>
                      <wp:positionV relativeFrom="paragraph">
                        <wp:posOffset>4156710</wp:posOffset>
                      </wp:positionV>
                      <wp:extent cx="457200" cy="5715"/>
                      <wp:effectExtent l="0" t="48260" r="0" b="60325"/>
                      <wp:wrapNone/>
                      <wp:docPr id="26" name="直接连接符 26"/>
                      <wp:cNvGraphicFramePr/>
                      <a:graphic xmlns:a="http://schemas.openxmlformats.org/drawingml/2006/main">
                        <a:graphicData uri="http://schemas.microsoft.com/office/word/2010/wordprocessingShape">
                          <wps:wsp>
                            <wps:cNvCnPr/>
                            <wps:spPr>
                              <a:xfrm flipV="1">
                                <a:off x="0" y="0"/>
                                <a:ext cx="457200" cy="5715"/>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flip:y;margin-left:278.1pt;margin-top:327.3pt;height:0.45pt;width:36pt;z-index:251709440;mso-width-relative:page;mso-height-relative:page;" filled="f" stroked="t" coordsize="21600,21600" o:gfxdata="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vC1J/YAAAACwEAAA8AAAAAAAAAAQAgAAAAIgAA&#10;AGRycy9kb3ducmV2LnhtbFBLAQIUABQAAAAIAIdO4kADBBMjCAIAAP0DAAAOAAAAAAAAAAEAIAAA&#10;ACcBAABkcnMvZTJvRG9jLnhtbFBLBQYAAAAABgAGAFkBAAChBQ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4320" behindDoc="0" locked="0" layoutInCell="1" allowOverlap="1">
                      <wp:simplePos x="0" y="0"/>
                      <wp:positionH relativeFrom="column">
                        <wp:posOffset>2875915</wp:posOffset>
                      </wp:positionH>
                      <wp:positionV relativeFrom="paragraph">
                        <wp:posOffset>4050665</wp:posOffset>
                      </wp:positionV>
                      <wp:extent cx="652145" cy="219075"/>
                      <wp:effectExtent l="4445" t="5080" r="10160" b="4445"/>
                      <wp:wrapNone/>
                      <wp:docPr id="27" name="文本框 27"/>
                      <wp:cNvGraphicFramePr/>
                      <a:graphic xmlns:a="http://schemas.openxmlformats.org/drawingml/2006/main">
                        <a:graphicData uri="http://schemas.microsoft.com/office/word/2010/wordprocessingShape">
                          <wps:wsp>
                            <wps:cNvSpPr txBox="1"/>
                            <wps:spPr>
                              <a:xfrm>
                                <a:off x="0" y="0"/>
                                <a:ext cx="652145" cy="219075"/>
                              </a:xfrm>
                              <a:prstGeom prst="rect">
                                <a:avLst/>
                              </a:prstGeom>
                              <a:noFill/>
                              <a:ln w="9525" cap="flat" cmpd="sng">
                                <a:solidFill>
                                  <a:srgbClr val="000000"/>
                                </a:solidFill>
                                <a:prstDash val="solid"/>
                                <a:miter/>
                                <a:headEnd type="none" w="med" len="med"/>
                                <a:tailEnd type="none" w="med" len="med"/>
                              </a:ln>
                            </wps:spPr>
                            <wps:txbx>
                              <w:txbxContent>
                                <w:p w14:paraId="3476FB69">
                                  <w:pPr>
                                    <w:jc w:val="center"/>
                                    <w:rPr>
                                      <w:rFonts w:hint="default" w:eastAsia="宋体"/>
                                      <w:lang w:val="en-US" w:eastAsia="zh-CN"/>
                                    </w:rPr>
                                  </w:pPr>
                                  <w:r>
                                    <w:rPr>
                                      <w:rFonts w:hint="eastAsia" w:eastAsia="宋体"/>
                                      <w:lang w:val="en-US" w:eastAsia="zh-CN"/>
                                    </w:rPr>
                                    <w:t>化粪池</w:t>
                                  </w:r>
                                </w:p>
                              </w:txbxContent>
                            </wps:txbx>
                            <wps:bodyPr lIns="18000" tIns="7200" rIns="18000" bIns="7200" upright="1"/>
                          </wps:wsp>
                        </a:graphicData>
                      </a:graphic>
                    </wp:anchor>
                  </w:drawing>
                </mc:Choice>
                <mc:Fallback>
                  <w:pict>
                    <v:shape id="_x0000_s1026" o:spid="_x0000_s1026" o:spt="202" type="#_x0000_t202" style="position:absolute;left:0pt;margin-left:226.45pt;margin-top:318.95pt;height:17.25pt;width:51.35pt;z-index:251704320;mso-width-relative:page;mso-height-relative:page;" filled="f" stroked="t" coordsize="21600,21600" o:gfxdata="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SDbFCtsA&#10;AAALAQAADwAAAAAAAAABACAAAAAiAAAAZHJzL2Rvd25yZXYueG1sUEsBAhQAFAAAAAgAh07iQCI3&#10;jBgcAgAAQAQAAA4AAAAAAAAAAQAgAAAAKgEAAGRycy9lMm9Eb2MueG1sUEsFBgAAAAAGAAYAWQEA&#10;ALgFAAAAAA==&#10;">
                      <v:fill on="f" focussize="0,0"/>
                      <v:stroke color="#000000" joinstyle="miter"/>
                      <v:imagedata o:title=""/>
                      <o:lock v:ext="edit" aspectratio="f"/>
                      <v:textbox inset="0.5mm,0.2mm,0.5mm,0.2mm">
                        <w:txbxContent>
                          <w:p w14:paraId="3476FB69">
                            <w:pPr>
                              <w:jc w:val="center"/>
                              <w:rPr>
                                <w:rFonts w:hint="default" w:eastAsia="宋体"/>
                                <w:lang w:val="en-US" w:eastAsia="zh-CN"/>
                              </w:rPr>
                            </w:pPr>
                            <w:r>
                              <w:rPr>
                                <w:rFonts w:hint="eastAsia" w:eastAsia="宋体"/>
                                <w:lang w:val="en-US" w:eastAsia="zh-CN"/>
                              </w:rPr>
                              <w:t>化粪池</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1248" behindDoc="0" locked="0" layoutInCell="1" allowOverlap="1">
                      <wp:simplePos x="0" y="0"/>
                      <wp:positionH relativeFrom="column">
                        <wp:posOffset>2417445</wp:posOffset>
                      </wp:positionH>
                      <wp:positionV relativeFrom="paragraph">
                        <wp:posOffset>4157345</wp:posOffset>
                      </wp:positionV>
                      <wp:extent cx="457200" cy="5715"/>
                      <wp:effectExtent l="0" t="48260" r="0" b="60325"/>
                      <wp:wrapNone/>
                      <wp:docPr id="11" name="直接连接符 11"/>
                      <wp:cNvGraphicFramePr/>
                      <a:graphic xmlns:a="http://schemas.openxmlformats.org/drawingml/2006/main">
                        <a:graphicData uri="http://schemas.microsoft.com/office/word/2010/wordprocessingShape">
                          <wps:wsp>
                            <wps:cNvCnPr/>
                            <wps:spPr>
                              <a:xfrm flipV="1">
                                <a:off x="0" y="0"/>
                                <a:ext cx="457200" cy="5715"/>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flip:y;margin-left:190.35pt;margin-top:327.35pt;height:0.45pt;width:36pt;z-index:251701248;mso-width-relative:page;mso-height-relative:page;" filled="f" stroked="t" coordsize="21600,21600" o:gfxdata="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BKbeTZAAAACwEAAA8AAAAAAAAAAQAgAAAAIgAA&#10;AGRycy9kb3ducmV2LnhtbFBLAQIUABQAAAAIAIdO4kAZN8MLBwIAAP0DAAAOAAAAAAAAAAEAIAAA&#10;ACgBAABkcnMvZTJvRG9jLnhtbFBLBQYAAAAABgAGAFkBAAChBQ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3056" behindDoc="0" locked="0" layoutInCell="1" allowOverlap="1">
                      <wp:simplePos x="0" y="0"/>
                      <wp:positionH relativeFrom="column">
                        <wp:posOffset>2133600</wp:posOffset>
                      </wp:positionH>
                      <wp:positionV relativeFrom="paragraph">
                        <wp:posOffset>3705860</wp:posOffset>
                      </wp:positionV>
                      <wp:extent cx="718185" cy="28702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718185" cy="287020"/>
                              </a:xfrm>
                              <a:prstGeom prst="rect">
                                <a:avLst/>
                              </a:prstGeom>
                              <a:noFill/>
                              <a:ln>
                                <a:noFill/>
                              </a:ln>
                            </wps:spPr>
                            <wps:txbx>
                              <w:txbxContent>
                                <w:p w14:paraId="6FF68CC9">
                                  <w:pPr>
                                    <w:keepNext w:val="0"/>
                                    <w:keepLines w:val="0"/>
                                    <w:pageBreakBefore w:val="0"/>
                                    <w:widowControl w:val="0"/>
                                    <w:kinsoku/>
                                    <w:wordWrap/>
                                    <w:overflowPunct/>
                                    <w:topLinePunct w:val="0"/>
                                    <w:bidi w:val="0"/>
                                    <w:adjustRightInd w:val="0"/>
                                    <w:snapToGrid w:val="0"/>
                                    <w:ind w:firstLine="0" w:firstLineChars="0"/>
                                    <w:jc w:val="both"/>
                                    <w:textAlignment w:val="auto"/>
                                    <w:rPr>
                                      <w:rFonts w:hint="default" w:eastAsia="宋体"/>
                                      <w:lang w:val="en-US" w:eastAsia="zh-CN"/>
                                    </w:rPr>
                                  </w:pPr>
                                  <w:r>
                                    <w:rPr>
                                      <w:rFonts w:hint="eastAsia"/>
                                    </w:rPr>
                                    <w:t>消耗</w:t>
                                  </w:r>
                                  <w:r>
                                    <w:rPr>
                                      <w:rFonts w:hint="eastAsia"/>
                                      <w:lang w:val="en-US" w:eastAsia="zh-CN"/>
                                    </w:rPr>
                                    <w:t>57.6</w:t>
                                  </w:r>
                                </w:p>
                              </w:txbxContent>
                            </wps:txbx>
                            <wps:bodyPr upright="1"/>
                          </wps:wsp>
                        </a:graphicData>
                      </a:graphic>
                    </wp:anchor>
                  </w:drawing>
                </mc:Choice>
                <mc:Fallback>
                  <w:pict>
                    <v:shape id="_x0000_s1026" o:spid="_x0000_s1026" o:spt="202" type="#_x0000_t202" style="position:absolute;left:0pt;margin-left:168pt;margin-top:291.8pt;height:22.6pt;width:56.55pt;z-index:251693056;mso-width-relative:page;mso-height-relative:page;" filled="f" stroked="f" coordsize="21600,21600" o:gfxdata="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4BYIM&#10;2QAAAAsBAAAPAAAAAAAAAAEAIAAAACIAAABkcnMvZG93bnJldi54bWxQSwECFAAUAAAACACHTuJA&#10;Rw/Mhq4BAABPAwAADgAAAAAAAAABACAAAAAoAQAAZHJzL2Uyb0RvYy54bWxQSwUGAAAAAAYABgBZ&#10;AQAASAUAAAAA&#10;">
                      <v:fill on="f" focussize="0,0"/>
                      <v:stroke on="f"/>
                      <v:imagedata o:title=""/>
                      <o:lock v:ext="edit" aspectratio="f"/>
                      <v:textbox>
                        <w:txbxContent>
                          <w:p w14:paraId="6FF68CC9">
                            <w:pPr>
                              <w:keepNext w:val="0"/>
                              <w:keepLines w:val="0"/>
                              <w:pageBreakBefore w:val="0"/>
                              <w:widowControl w:val="0"/>
                              <w:kinsoku/>
                              <w:wordWrap/>
                              <w:overflowPunct/>
                              <w:topLinePunct w:val="0"/>
                              <w:bidi w:val="0"/>
                              <w:adjustRightInd w:val="0"/>
                              <w:snapToGrid w:val="0"/>
                              <w:ind w:firstLine="0" w:firstLineChars="0"/>
                              <w:jc w:val="both"/>
                              <w:textAlignment w:val="auto"/>
                              <w:rPr>
                                <w:rFonts w:hint="default" w:eastAsia="宋体"/>
                                <w:lang w:val="en-US" w:eastAsia="zh-CN"/>
                              </w:rPr>
                            </w:pPr>
                            <w:r>
                              <w:rPr>
                                <w:rFonts w:hint="eastAsia"/>
                              </w:rPr>
                              <w:t>消耗</w:t>
                            </w:r>
                            <w:r>
                              <w:rPr>
                                <w:rFonts w:hint="eastAsia"/>
                                <w:lang w:val="en-US" w:eastAsia="zh-CN"/>
                              </w:rPr>
                              <w:t>57.6</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3296" behindDoc="0" locked="0" layoutInCell="1" allowOverlap="1">
                      <wp:simplePos x="0" y="0"/>
                      <wp:positionH relativeFrom="column">
                        <wp:posOffset>2013585</wp:posOffset>
                      </wp:positionH>
                      <wp:positionV relativeFrom="paragraph">
                        <wp:posOffset>3872865</wp:posOffset>
                      </wp:positionV>
                      <wp:extent cx="232410" cy="176530"/>
                      <wp:effectExtent l="3175" t="0" r="12065" b="13970"/>
                      <wp:wrapNone/>
                      <wp:docPr id="16" name="直接箭头连接符 16"/>
                      <wp:cNvGraphicFramePr/>
                      <a:graphic xmlns:a="http://schemas.openxmlformats.org/drawingml/2006/main">
                        <a:graphicData uri="http://schemas.microsoft.com/office/word/2010/wordprocessingShape">
                          <wps:wsp>
                            <wps:cNvCnPr/>
                            <wps:spPr>
                              <a:xfrm flipV="1">
                                <a:off x="0" y="0"/>
                                <a:ext cx="232410" cy="176530"/>
                              </a:xfrm>
                              <a:prstGeom prst="straightConnector1">
                                <a:avLst/>
                              </a:prstGeom>
                              <a:ln w="9525" cap="flat" cmpd="sng">
                                <a:solidFill>
                                  <a:srgbClr val="000000"/>
                                </a:solidFill>
                                <a:prstDash val="dash"/>
                                <a:round/>
                                <a:headEnd type="none" w="med" len="med"/>
                                <a:tailEnd type="arrow" w="med" len="med"/>
                              </a:ln>
                            </wps:spPr>
                            <wps:bodyPr/>
                          </wps:wsp>
                        </a:graphicData>
                      </a:graphic>
                    </wp:anchor>
                  </w:drawing>
                </mc:Choice>
                <mc:Fallback>
                  <w:pict>
                    <v:shape id="_x0000_s1026" o:spid="_x0000_s1026" o:spt="32" type="#_x0000_t32" style="position:absolute;left:0pt;flip:y;margin-left:158.55pt;margin-top:304.95pt;height:13.9pt;width:18.3pt;z-index:251703296;mso-width-relative:page;mso-height-relative:page;" filled="f" stroked="t" coordsize="21600,21600" o:gfxdata="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DzIYXZAAAACwEAAA8A&#10;AAAAAAAAAQAgAAAAIgAAAGRycy9kb3ducmV2LnhtbFBLAQIUABQAAAAIAIdO4kAAwHWUFgIAAAYE&#10;AAAOAAAAAAAAAAEAIAAAACgBAABkcnMvZTJvRG9jLnhtbFBLBQYAAAAABgAGAFkBAACwBQAAAAA=&#10;">
                      <v:fill on="f" focussize="0,0"/>
                      <v:stroke color="#000000" joinstyle="round" dashstyle="dash" endarrow="open"/>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0224" behindDoc="0" locked="0" layoutInCell="1" allowOverlap="1">
                      <wp:simplePos x="0" y="0"/>
                      <wp:positionH relativeFrom="column">
                        <wp:posOffset>1656080</wp:posOffset>
                      </wp:positionH>
                      <wp:positionV relativeFrom="paragraph">
                        <wp:posOffset>4055745</wp:posOffset>
                      </wp:positionV>
                      <wp:extent cx="751840" cy="196850"/>
                      <wp:effectExtent l="4445" t="4445" r="5715" b="8255"/>
                      <wp:wrapNone/>
                      <wp:docPr id="38" name="文本框 38"/>
                      <wp:cNvGraphicFramePr/>
                      <a:graphic xmlns:a="http://schemas.openxmlformats.org/drawingml/2006/main">
                        <a:graphicData uri="http://schemas.microsoft.com/office/word/2010/wordprocessingShape">
                          <wps:wsp>
                            <wps:cNvSpPr txBox="1"/>
                            <wps:spPr>
                              <a:xfrm>
                                <a:off x="0" y="0"/>
                                <a:ext cx="751840" cy="196850"/>
                              </a:xfrm>
                              <a:prstGeom prst="rect">
                                <a:avLst/>
                              </a:prstGeom>
                              <a:noFill/>
                              <a:ln w="9525" cap="flat" cmpd="sng">
                                <a:solidFill>
                                  <a:srgbClr val="000000"/>
                                </a:solidFill>
                                <a:prstDash val="solid"/>
                                <a:miter/>
                                <a:headEnd type="none" w="med" len="med"/>
                                <a:tailEnd type="none" w="med" len="med"/>
                              </a:ln>
                            </wps:spPr>
                            <wps:txbx>
                              <w:txbxContent>
                                <w:p w14:paraId="7788EBA2">
                                  <w:pPr>
                                    <w:jc w:val="center"/>
                                    <w:rPr>
                                      <w:rFonts w:hint="eastAsia"/>
                                    </w:rPr>
                                  </w:pPr>
                                  <w:r>
                                    <w:rPr>
                                      <w:rFonts w:hint="eastAsia"/>
                                    </w:rPr>
                                    <w:t>生活用水</w:t>
                                  </w:r>
                                </w:p>
                                <w:p w14:paraId="7FD61CE8">
                                  <w:pPr>
                                    <w:jc w:val="center"/>
                                    <w:rPr>
                                      <w:rFonts w:hint="eastAsia"/>
                                    </w:rPr>
                                  </w:pPr>
                                </w:p>
                              </w:txbxContent>
                            </wps:txbx>
                            <wps:bodyPr lIns="18000" tIns="7200" rIns="18000" bIns="7200" upright="1"/>
                          </wps:wsp>
                        </a:graphicData>
                      </a:graphic>
                    </wp:anchor>
                  </w:drawing>
                </mc:Choice>
                <mc:Fallback>
                  <w:pict>
                    <v:shape id="_x0000_s1026" o:spid="_x0000_s1026" o:spt="202" type="#_x0000_t202" style="position:absolute;left:0pt;margin-left:130.4pt;margin-top:319.35pt;height:15.5pt;width:59.2pt;z-index:251700224;mso-width-relative:page;mso-height-relative:page;" filled="f" stroked="t" coordsize="21600,21600" o:gfxdata="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fNSRLb&#10;AAAACwEAAA8AAAAAAAAAAQAgAAAAIgAAAGRycy9kb3ducmV2LnhtbFBLAQIUABQAAAAIAIdO4kB/&#10;0c0LHQIAAEAEAAAOAAAAAAAAAAEAIAAAACoBAABkcnMvZTJvRG9jLnhtbFBLBQYAAAAABgAGAFkB&#10;AAC5BQAAAAA=&#10;">
                      <v:fill on="f" focussize="0,0"/>
                      <v:stroke color="#000000" joinstyle="miter"/>
                      <v:imagedata o:title=""/>
                      <o:lock v:ext="edit" aspectratio="f"/>
                      <v:textbox inset="0.5mm,0.2mm,0.5mm,0.2mm">
                        <w:txbxContent>
                          <w:p w14:paraId="7788EBA2">
                            <w:pPr>
                              <w:jc w:val="center"/>
                              <w:rPr>
                                <w:rFonts w:hint="eastAsia"/>
                              </w:rPr>
                            </w:pPr>
                            <w:r>
                              <w:rPr>
                                <w:rFonts w:hint="eastAsia"/>
                              </w:rPr>
                              <w:t>生活用水</w:t>
                            </w:r>
                          </w:p>
                          <w:p w14:paraId="7FD61CE8">
                            <w:pPr>
                              <w:jc w:val="center"/>
                              <w:rPr>
                                <w:rFonts w:hint="eastAsia"/>
                              </w:rPr>
                            </w:pP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6064" behindDoc="0" locked="0" layoutInCell="1" allowOverlap="1">
                      <wp:simplePos x="0" y="0"/>
                      <wp:positionH relativeFrom="column">
                        <wp:posOffset>980440</wp:posOffset>
                      </wp:positionH>
                      <wp:positionV relativeFrom="paragraph">
                        <wp:posOffset>3942080</wp:posOffset>
                      </wp:positionV>
                      <wp:extent cx="669925" cy="233045"/>
                      <wp:effectExtent l="0" t="0" r="0" b="0"/>
                      <wp:wrapNone/>
                      <wp:docPr id="115" name="文本框 115"/>
                      <wp:cNvGraphicFramePr/>
                      <a:graphic xmlns:a="http://schemas.openxmlformats.org/drawingml/2006/main">
                        <a:graphicData uri="http://schemas.microsoft.com/office/word/2010/wordprocessingShape">
                          <wps:wsp>
                            <wps:cNvSpPr txBox="1"/>
                            <wps:spPr>
                              <a:xfrm>
                                <a:off x="0" y="0"/>
                                <a:ext cx="669925" cy="233045"/>
                              </a:xfrm>
                              <a:prstGeom prst="rect">
                                <a:avLst/>
                              </a:prstGeom>
                              <a:noFill/>
                              <a:ln>
                                <a:noFill/>
                              </a:ln>
                            </wps:spPr>
                            <wps:txbx>
                              <w:txbxContent>
                                <w:p w14:paraId="77F79F2B">
                                  <w:pPr>
                                    <w:jc w:val="center"/>
                                    <w:rPr>
                                      <w:rFonts w:hint="default" w:eastAsia="宋体"/>
                                      <w:color w:val="000000"/>
                                      <w:lang w:val="en-US" w:eastAsia="zh-CN"/>
                                    </w:rPr>
                                  </w:pPr>
                                  <w:r>
                                    <w:rPr>
                                      <w:rFonts w:hint="eastAsia"/>
                                      <w:color w:val="000000"/>
                                      <w:lang w:val="en-US" w:eastAsia="zh-CN"/>
                                    </w:rPr>
                                    <w:t>288</w:t>
                                  </w:r>
                                </w:p>
                              </w:txbxContent>
                            </wps:txbx>
                            <wps:bodyPr upright="1"/>
                          </wps:wsp>
                        </a:graphicData>
                      </a:graphic>
                    </wp:anchor>
                  </w:drawing>
                </mc:Choice>
                <mc:Fallback>
                  <w:pict>
                    <v:shape id="_x0000_s1026" o:spid="_x0000_s1026" o:spt="202" type="#_x0000_t202" style="position:absolute;left:0pt;margin-left:77.2pt;margin-top:310.4pt;height:18.35pt;width:52.75pt;z-index:251736064;mso-width-relative:page;mso-height-relative:page;" filled="f" stroked="f" coordsize="21600,21600" o:gfxdata="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Fh1dwzX&#10;AAAACwEAAA8AAAAAAAAAAQAgAAAAIgAAAGRycy9kb3ducmV2LnhtbFBLAQIUABQAAAAIAIdO4kC5&#10;9xpBrwEAAFEDAAAOAAAAAAAAAAEAIAAAACYBAABkcnMvZTJvRG9jLnhtbFBLBQYAAAAABgAGAFkB&#10;AABHBQAAAAA=&#10;">
                      <v:fill on="f" focussize="0,0"/>
                      <v:stroke on="f"/>
                      <v:imagedata o:title=""/>
                      <o:lock v:ext="edit" aspectratio="f"/>
                      <v:textbox>
                        <w:txbxContent>
                          <w:p w14:paraId="77F79F2B">
                            <w:pPr>
                              <w:jc w:val="center"/>
                              <w:rPr>
                                <w:rFonts w:hint="default" w:eastAsia="宋体"/>
                                <w:color w:val="000000"/>
                                <w:lang w:val="en-US" w:eastAsia="zh-CN"/>
                              </w:rPr>
                            </w:pPr>
                            <w:r>
                              <w:rPr>
                                <w:rFonts w:hint="eastAsia"/>
                                <w:color w:val="000000"/>
                                <w:lang w:val="en-US" w:eastAsia="zh-CN"/>
                              </w:rPr>
                              <w:t>288</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5040" behindDoc="0" locked="0" layoutInCell="1" allowOverlap="1">
                      <wp:simplePos x="0" y="0"/>
                      <wp:positionH relativeFrom="column">
                        <wp:posOffset>1038860</wp:posOffset>
                      </wp:positionH>
                      <wp:positionV relativeFrom="paragraph">
                        <wp:posOffset>4156075</wp:posOffset>
                      </wp:positionV>
                      <wp:extent cx="618490" cy="3810"/>
                      <wp:effectExtent l="0" t="45720" r="10160" b="64770"/>
                      <wp:wrapNone/>
                      <wp:docPr id="114" name="直接连接符 114"/>
                      <wp:cNvGraphicFramePr/>
                      <a:graphic xmlns:a="http://schemas.openxmlformats.org/drawingml/2006/main">
                        <a:graphicData uri="http://schemas.microsoft.com/office/word/2010/wordprocessingShape">
                          <wps:wsp>
                            <wps:cNvCnPr/>
                            <wps:spPr>
                              <a:xfrm>
                                <a:off x="0" y="0"/>
                                <a:ext cx="618490" cy="381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margin-left:81.8pt;margin-top:327.25pt;height:0.3pt;width:48.7pt;z-index:251735040;mso-width-relative:page;mso-height-relative:page;" filled="f" stroked="t" coordsize="21600,21600" o:gfxdata="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cVSi3aAAAACwEAAA8AAAAAAAAAAQAgAAAAIgAA&#10;AGRycy9kb3ducmV2LnhtbFBLAQIUABQAAAAIAIdO4kDGclftBgIAAPUDAAAOAAAAAAAAAAEAIAAA&#10;ACkBAABkcnMvZTJvRG9jLnhtbFBLBQYAAAAABgAGAFkBAAChBQ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43232" behindDoc="0" locked="0" layoutInCell="1" allowOverlap="1">
                      <wp:simplePos x="0" y="0"/>
                      <wp:positionH relativeFrom="column">
                        <wp:posOffset>1662430</wp:posOffset>
                      </wp:positionH>
                      <wp:positionV relativeFrom="paragraph">
                        <wp:posOffset>3197225</wp:posOffset>
                      </wp:positionV>
                      <wp:extent cx="1042035" cy="196850"/>
                      <wp:effectExtent l="4445" t="4445" r="20320" b="8255"/>
                      <wp:wrapNone/>
                      <wp:docPr id="31" name="文本框 31"/>
                      <wp:cNvGraphicFramePr/>
                      <a:graphic xmlns:a="http://schemas.openxmlformats.org/drawingml/2006/main">
                        <a:graphicData uri="http://schemas.microsoft.com/office/word/2010/wordprocessingShape">
                          <wps:wsp>
                            <wps:cNvSpPr txBox="1"/>
                            <wps:spPr>
                              <a:xfrm>
                                <a:off x="0" y="0"/>
                                <a:ext cx="1042035" cy="196850"/>
                              </a:xfrm>
                              <a:prstGeom prst="rect">
                                <a:avLst/>
                              </a:prstGeom>
                              <a:noFill/>
                              <a:ln w="9525" cap="flat" cmpd="sng">
                                <a:solidFill>
                                  <a:srgbClr val="000000"/>
                                </a:solidFill>
                                <a:prstDash val="solid"/>
                                <a:miter/>
                                <a:headEnd type="none" w="med" len="med"/>
                                <a:tailEnd type="none" w="med" len="med"/>
                              </a:ln>
                            </wps:spPr>
                            <wps:txbx>
                              <w:txbxContent>
                                <w:p w14:paraId="798B11F9">
                                  <w:pPr>
                                    <w:jc w:val="center"/>
                                    <w:rPr>
                                      <w:rFonts w:hint="default" w:ascii="Times New Roman" w:hAnsi="Times New Roman" w:eastAsia="宋体" w:cs="Times New Roman"/>
                                      <w:color w:val="000000"/>
                                      <w:lang w:val="en-US" w:eastAsia="zh-CN"/>
                                    </w:rPr>
                                  </w:pPr>
                                  <w:r>
                                    <w:rPr>
                                      <w:rFonts w:hint="eastAsia" w:cs="Times New Roman"/>
                                      <w:color w:val="000000"/>
                                      <w:lang w:val="en-US" w:eastAsia="zh-CN"/>
                                    </w:rPr>
                                    <w:t>炭块冷却用水</w:t>
                                  </w:r>
                                </w:p>
                              </w:txbxContent>
                            </wps:txbx>
                            <wps:bodyPr lIns="18000" tIns="7200" rIns="18000" bIns="7200" upright="1"/>
                          </wps:wsp>
                        </a:graphicData>
                      </a:graphic>
                    </wp:anchor>
                  </w:drawing>
                </mc:Choice>
                <mc:Fallback>
                  <w:pict>
                    <v:shape id="_x0000_s1026" o:spid="_x0000_s1026" o:spt="202" type="#_x0000_t202" style="position:absolute;left:0pt;margin-left:130.9pt;margin-top:251.75pt;height:15.5pt;width:82.05pt;z-index:251743232;mso-width-relative:page;mso-height-relative:page;" filled="f" stroked="t" coordsize="21600,21600" o:gfxdata="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lLybH&#10;2wAAAAsBAAAPAAAAAAAAAAEAIAAAACIAAABkcnMvZG93bnJldi54bWxQSwECFAAUAAAACACHTuJA&#10;t8q26B4CAABBBAAADgAAAAAAAAABACAAAAAqAQAAZHJzL2Uyb0RvYy54bWxQSwUGAAAAAAYABgBZ&#10;AQAAugUAAAAA&#10;">
                      <v:fill on="f" focussize="0,0"/>
                      <v:stroke color="#000000" joinstyle="miter"/>
                      <v:imagedata o:title=""/>
                      <o:lock v:ext="edit" aspectratio="f"/>
                      <v:textbox inset="0.5mm,0.2mm,0.5mm,0.2mm">
                        <w:txbxContent>
                          <w:p w14:paraId="798B11F9">
                            <w:pPr>
                              <w:jc w:val="center"/>
                              <w:rPr>
                                <w:rFonts w:hint="default" w:ascii="Times New Roman" w:hAnsi="Times New Roman" w:eastAsia="宋体" w:cs="Times New Roman"/>
                                <w:color w:val="000000"/>
                                <w:lang w:val="en-US" w:eastAsia="zh-CN"/>
                              </w:rPr>
                            </w:pPr>
                            <w:r>
                              <w:rPr>
                                <w:rFonts w:hint="eastAsia" w:cs="Times New Roman"/>
                                <w:color w:val="000000"/>
                                <w:lang w:val="en-US" w:eastAsia="zh-CN"/>
                              </w:rPr>
                              <w:t>炭块冷却用水</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42208" behindDoc="0" locked="0" layoutInCell="1" allowOverlap="1">
                      <wp:simplePos x="0" y="0"/>
                      <wp:positionH relativeFrom="column">
                        <wp:posOffset>993775</wp:posOffset>
                      </wp:positionH>
                      <wp:positionV relativeFrom="paragraph">
                        <wp:posOffset>3076575</wp:posOffset>
                      </wp:positionV>
                      <wp:extent cx="669925" cy="233045"/>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669925" cy="233045"/>
                              </a:xfrm>
                              <a:prstGeom prst="rect">
                                <a:avLst/>
                              </a:prstGeom>
                              <a:noFill/>
                              <a:ln>
                                <a:noFill/>
                              </a:ln>
                            </wps:spPr>
                            <wps:txbx>
                              <w:txbxContent>
                                <w:p w14:paraId="0C7EA8EC">
                                  <w:pPr>
                                    <w:jc w:val="center"/>
                                    <w:rPr>
                                      <w:rFonts w:hint="default" w:eastAsia="宋体"/>
                                      <w:color w:val="000000"/>
                                      <w:lang w:val="en-US" w:eastAsia="zh-CN"/>
                                    </w:rPr>
                                  </w:pPr>
                                  <w:r>
                                    <w:rPr>
                                      <w:rFonts w:hint="eastAsia"/>
                                      <w:color w:val="000000"/>
                                      <w:lang w:val="en-US" w:eastAsia="zh-CN"/>
                                    </w:rPr>
                                    <w:t>5</w:t>
                                  </w:r>
                                </w:p>
                              </w:txbxContent>
                            </wps:txbx>
                            <wps:bodyPr upright="1"/>
                          </wps:wsp>
                        </a:graphicData>
                      </a:graphic>
                    </wp:anchor>
                  </w:drawing>
                </mc:Choice>
                <mc:Fallback>
                  <w:pict>
                    <v:shape id="_x0000_s1026" o:spid="_x0000_s1026" o:spt="202" type="#_x0000_t202" style="position:absolute;left:0pt;margin-left:78.25pt;margin-top:242.25pt;height:18.35pt;width:52.75pt;z-index:251742208;mso-width-relative:page;mso-height-relative:page;" filled="f" stroked="f" coordsize="21600,21600" o:gfxdata="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CcoJRTWAAAA&#10;CwEAAA8AAAAAAAAAAQAgAAAAIgAAAGRycy9kb3ducmV2LnhtbFBLAQIUABQAAAAIAIdO4kCUyB1M&#10;rQEAAE8DAAAOAAAAAAAAAAEAIAAAACUBAABkcnMvZTJvRG9jLnhtbFBLBQYAAAAABgAGAFkBAABE&#10;BQAAAAA=&#10;">
                      <v:fill on="f" focussize="0,0"/>
                      <v:stroke on="f"/>
                      <v:imagedata o:title=""/>
                      <o:lock v:ext="edit" aspectratio="f"/>
                      <v:textbox>
                        <w:txbxContent>
                          <w:p w14:paraId="0C7EA8EC">
                            <w:pPr>
                              <w:jc w:val="center"/>
                              <w:rPr>
                                <w:rFonts w:hint="default" w:eastAsia="宋体"/>
                                <w:color w:val="000000"/>
                                <w:lang w:val="en-US" w:eastAsia="zh-CN"/>
                              </w:rPr>
                            </w:pPr>
                            <w:r>
                              <w:rPr>
                                <w:rFonts w:hint="eastAsia"/>
                                <w:color w:val="000000"/>
                                <w:lang w:val="en-US" w:eastAsia="zh-CN"/>
                              </w:rPr>
                              <w:t>5</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41184" behindDoc="0" locked="0" layoutInCell="1" allowOverlap="1">
                      <wp:simplePos x="0" y="0"/>
                      <wp:positionH relativeFrom="column">
                        <wp:posOffset>1043305</wp:posOffset>
                      </wp:positionH>
                      <wp:positionV relativeFrom="paragraph">
                        <wp:posOffset>3300095</wp:posOffset>
                      </wp:positionV>
                      <wp:extent cx="618490" cy="3810"/>
                      <wp:effectExtent l="0" t="45720" r="10160" b="64770"/>
                      <wp:wrapNone/>
                      <wp:docPr id="7" name="直接连接符 7"/>
                      <wp:cNvGraphicFramePr/>
                      <a:graphic xmlns:a="http://schemas.openxmlformats.org/drawingml/2006/main">
                        <a:graphicData uri="http://schemas.microsoft.com/office/word/2010/wordprocessingShape">
                          <wps:wsp>
                            <wps:cNvCnPr/>
                            <wps:spPr>
                              <a:xfrm>
                                <a:off x="0" y="0"/>
                                <a:ext cx="618490" cy="381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margin-left:82.15pt;margin-top:259.85pt;height:0.3pt;width:48.7pt;z-index:251741184;mso-width-relative:page;mso-height-relative:page;" filled="f" stroked="t" coordsize="21600,21600" o:gfxdata="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LlEPI2wAAAAsBAAAPAAAAAAAAAAEAIAAAACIAAABk&#10;cnMvZG93bnJldi54bWxQSwECFAAUAAAACACHTuJAvDIK4gMCAADxAwAADgAAAAAAAAABACAAAAAq&#10;AQAAZHJzL2Uyb0RvYy54bWxQSwUGAAAAAAYABgBZAQAAnwU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1728" behindDoc="0" locked="0" layoutInCell="1" allowOverlap="1">
                      <wp:simplePos x="0" y="0"/>
                      <wp:positionH relativeFrom="column">
                        <wp:posOffset>2121535</wp:posOffset>
                      </wp:positionH>
                      <wp:positionV relativeFrom="paragraph">
                        <wp:posOffset>807085</wp:posOffset>
                      </wp:positionV>
                      <wp:extent cx="856615" cy="28702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856615" cy="287020"/>
                              </a:xfrm>
                              <a:prstGeom prst="rect">
                                <a:avLst/>
                              </a:prstGeom>
                              <a:noFill/>
                              <a:ln>
                                <a:noFill/>
                              </a:ln>
                            </wps:spPr>
                            <wps:txbx>
                              <w:txbxContent>
                                <w:p w14:paraId="3E8DAB55">
                                  <w:pPr>
                                    <w:jc w:val="center"/>
                                    <w:rPr>
                                      <w:rFonts w:hint="default" w:eastAsia="宋体"/>
                                      <w:lang w:val="en-US" w:eastAsia="zh-CN"/>
                                    </w:rPr>
                                  </w:pPr>
                                  <w:r>
                                    <w:rPr>
                                      <w:rFonts w:hint="eastAsia"/>
                                    </w:rPr>
                                    <w:t>消耗</w:t>
                                  </w:r>
                                  <w:r>
                                    <w:rPr>
                                      <w:rFonts w:hint="eastAsia"/>
                                      <w:lang w:val="en-US" w:eastAsia="zh-CN"/>
                                    </w:rPr>
                                    <w:t>302.4</w:t>
                                  </w:r>
                                </w:p>
                              </w:txbxContent>
                            </wps:txbx>
                            <wps:bodyPr upright="1"/>
                          </wps:wsp>
                        </a:graphicData>
                      </a:graphic>
                    </wp:anchor>
                  </w:drawing>
                </mc:Choice>
                <mc:Fallback>
                  <w:pict>
                    <v:shape id="_x0000_s1026" o:spid="_x0000_s1026" o:spt="202" type="#_x0000_t202" style="position:absolute;left:0pt;margin-left:167.05pt;margin-top:63.55pt;height:22.6pt;width:67.45pt;z-index:251721728;mso-width-relative:page;mso-height-relative:page;" filled="f" stroked="f" coordsize="21600,21600" o:gfxdata="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Jph/22AAA&#10;AAsBAAAPAAAAAAAAAAEAIAAAACIAAABkcnMvZG93bnJldi54bWxQSwECFAAUAAAACACHTuJATAmr&#10;EKwBAABPAwAADgAAAAAAAAABACAAAAAnAQAAZHJzL2Uyb0RvYy54bWxQSwUGAAAAAAYABgBZAQAA&#10;RQUAAAAA&#10;">
                      <v:fill on="f" focussize="0,0"/>
                      <v:stroke on="f"/>
                      <v:imagedata o:title=""/>
                      <o:lock v:ext="edit" aspectratio="f"/>
                      <v:textbox>
                        <w:txbxContent>
                          <w:p w14:paraId="3E8DAB55">
                            <w:pPr>
                              <w:jc w:val="center"/>
                              <w:rPr>
                                <w:rFonts w:hint="default" w:eastAsia="宋体"/>
                                <w:lang w:val="en-US" w:eastAsia="zh-CN"/>
                              </w:rPr>
                            </w:pPr>
                            <w:r>
                              <w:rPr>
                                <w:rFonts w:hint="eastAsia"/>
                              </w:rPr>
                              <w:t>消耗</w:t>
                            </w:r>
                            <w:r>
                              <w:rPr>
                                <w:rFonts w:hint="eastAsia"/>
                                <w:lang w:val="en-US" w:eastAsia="zh-CN"/>
                              </w:rPr>
                              <w:t>302.4</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9136" behindDoc="0" locked="0" layoutInCell="1" allowOverlap="1">
                      <wp:simplePos x="0" y="0"/>
                      <wp:positionH relativeFrom="column">
                        <wp:posOffset>3568700</wp:posOffset>
                      </wp:positionH>
                      <wp:positionV relativeFrom="paragraph">
                        <wp:posOffset>1328420</wp:posOffset>
                      </wp:positionV>
                      <wp:extent cx="520700" cy="198755"/>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520700" cy="198755"/>
                              </a:xfrm>
                              <a:prstGeom prst="rect">
                                <a:avLst/>
                              </a:prstGeom>
                              <a:noFill/>
                              <a:ln>
                                <a:noFill/>
                              </a:ln>
                            </wps:spPr>
                            <wps:txbx>
                              <w:txbxContent>
                                <w:p w14:paraId="3B4F3D70">
                                  <w:pPr>
                                    <w:jc w:val="center"/>
                                    <w:rPr>
                                      <w:rFonts w:hint="default" w:eastAsia="宋体"/>
                                      <w:color w:val="auto"/>
                                      <w:lang w:val="en-US" w:eastAsia="zh-CN"/>
                                    </w:rPr>
                                  </w:pPr>
                                  <w:r>
                                    <w:rPr>
                                      <w:rFonts w:hint="eastAsia"/>
                                      <w:color w:val="auto"/>
                                      <w:lang w:val="en-US" w:eastAsia="zh-CN"/>
                                    </w:rPr>
                                    <w:t>201.6</w:t>
                                  </w:r>
                                </w:p>
                              </w:txbxContent>
                            </wps:txbx>
                            <wps:bodyPr lIns="18000" tIns="7200" rIns="18000" bIns="7200" upright="1"/>
                          </wps:wsp>
                        </a:graphicData>
                      </a:graphic>
                    </wp:anchor>
                  </w:drawing>
                </mc:Choice>
                <mc:Fallback>
                  <w:pict>
                    <v:shape id="_x0000_s1026" o:spid="_x0000_s1026" o:spt="202" type="#_x0000_t202" style="position:absolute;left:0pt;margin-left:281pt;margin-top:104.6pt;height:15.65pt;width:41pt;z-index:251739136;mso-width-relative:page;mso-height-relative:page;" filled="f" stroked="f" coordsize="21600,21600" o:gfxdata="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xc+m9sAAAALAQAADwAAAAAAAAABACAAAAAiAAAAZHJzL2Rvd25y&#10;ZXYueG1sUEsBAhQAFAAAAAgAh07iQB6KwUXCAQAAgQMAAA4AAAAAAAAAAQAgAAAAKgEAAGRycy9l&#10;Mm9Eb2MueG1sUEsFBgAAAAAGAAYAWQEAAF4FAAAAAA==&#10;">
                      <v:fill on="f" focussize="0,0"/>
                      <v:stroke on="f"/>
                      <v:imagedata o:title=""/>
                      <o:lock v:ext="edit" aspectratio="f"/>
                      <v:textbox inset="0.5mm,0.2mm,0.5mm,0.2mm">
                        <w:txbxContent>
                          <w:p w14:paraId="3B4F3D70">
                            <w:pPr>
                              <w:jc w:val="center"/>
                              <w:rPr>
                                <w:rFonts w:hint="default" w:eastAsia="宋体"/>
                                <w:color w:val="auto"/>
                                <w:lang w:val="en-US" w:eastAsia="zh-CN"/>
                              </w:rPr>
                            </w:pPr>
                            <w:r>
                              <w:rPr>
                                <w:rFonts w:hint="eastAsia"/>
                                <w:color w:val="auto"/>
                                <w:lang w:val="en-US" w:eastAsia="zh-CN"/>
                              </w:rPr>
                              <w:t>201.6</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8112" behindDoc="0" locked="0" layoutInCell="1" allowOverlap="1">
                      <wp:simplePos x="0" y="0"/>
                      <wp:positionH relativeFrom="column">
                        <wp:posOffset>4184015</wp:posOffset>
                      </wp:positionH>
                      <wp:positionV relativeFrom="paragraph">
                        <wp:posOffset>1385570</wp:posOffset>
                      </wp:positionV>
                      <wp:extent cx="550545" cy="196850"/>
                      <wp:effectExtent l="4445" t="5080" r="16510" b="7620"/>
                      <wp:wrapNone/>
                      <wp:docPr id="82" name="文本框 82"/>
                      <wp:cNvGraphicFramePr/>
                      <a:graphic xmlns:a="http://schemas.openxmlformats.org/drawingml/2006/main">
                        <a:graphicData uri="http://schemas.microsoft.com/office/word/2010/wordprocessingShape">
                          <wps:wsp>
                            <wps:cNvSpPr txBox="1"/>
                            <wps:spPr>
                              <a:xfrm>
                                <a:off x="0" y="0"/>
                                <a:ext cx="550545" cy="196850"/>
                              </a:xfrm>
                              <a:prstGeom prst="rect">
                                <a:avLst/>
                              </a:prstGeom>
                              <a:noFill/>
                              <a:ln w="9525" cap="flat" cmpd="sng">
                                <a:solidFill>
                                  <a:srgbClr val="000000"/>
                                </a:solidFill>
                                <a:prstDash val="solid"/>
                                <a:miter/>
                                <a:headEnd type="none" w="med" len="med"/>
                                <a:tailEnd type="none" w="med" len="med"/>
                              </a:ln>
                            </wps:spPr>
                            <wps:txbx>
                              <w:txbxContent>
                                <w:p w14:paraId="781434C9">
                                  <w:pPr>
                                    <w:jc w:val="center"/>
                                    <w:rPr>
                                      <w:rFonts w:hint="eastAsia" w:eastAsia="宋体"/>
                                      <w:lang w:val="en-US" w:eastAsia="zh-CN"/>
                                    </w:rPr>
                                  </w:pPr>
                                  <w:r>
                                    <w:rPr>
                                      <w:rFonts w:hint="eastAsia"/>
                                      <w:lang w:val="en-US" w:eastAsia="zh-CN"/>
                                    </w:rPr>
                                    <w:t>木醋液</w:t>
                                  </w:r>
                                </w:p>
                              </w:txbxContent>
                            </wps:txbx>
                            <wps:bodyPr lIns="18000" tIns="7200" rIns="18000" bIns="7200" upright="1"/>
                          </wps:wsp>
                        </a:graphicData>
                      </a:graphic>
                    </wp:anchor>
                  </w:drawing>
                </mc:Choice>
                <mc:Fallback>
                  <w:pict>
                    <v:shape id="_x0000_s1026" o:spid="_x0000_s1026" o:spt="202" type="#_x0000_t202" style="position:absolute;left:0pt;margin-left:329.45pt;margin-top:109.1pt;height:15.5pt;width:43.35pt;z-index:251738112;mso-width-relative:page;mso-height-relative:page;" filled="f" stroked="t" coordsize="21600,21600" o:gfxdata="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RF0PI9oA&#10;AAALAQAADwAAAAAAAAABACAAAAAiAAAAZHJzL2Rvd25yZXYueG1sUEsBAhQAFAAAAAgAh07iQDJ0&#10;QXQdAgAAQAQAAA4AAAAAAAAAAQAgAAAAKQEAAGRycy9lMm9Eb2MueG1sUEsFBgAAAAAGAAYAWQEA&#10;ALgFAAAAAA==&#10;">
                      <v:fill on="f" focussize="0,0"/>
                      <v:stroke color="#000000" joinstyle="miter"/>
                      <v:imagedata o:title=""/>
                      <o:lock v:ext="edit" aspectratio="f"/>
                      <v:textbox inset="0.5mm,0.2mm,0.5mm,0.2mm">
                        <w:txbxContent>
                          <w:p w14:paraId="781434C9">
                            <w:pPr>
                              <w:jc w:val="center"/>
                              <w:rPr>
                                <w:rFonts w:hint="eastAsia" w:eastAsia="宋体"/>
                                <w:lang w:val="en-US" w:eastAsia="zh-CN"/>
                              </w:rPr>
                            </w:pPr>
                            <w:r>
                              <w:rPr>
                                <w:rFonts w:hint="eastAsia"/>
                                <w:lang w:val="en-US" w:eastAsia="zh-CN"/>
                              </w:rPr>
                              <w:t>木醋液</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7088" behindDoc="0" locked="0" layoutInCell="1" allowOverlap="1">
                      <wp:simplePos x="0" y="0"/>
                      <wp:positionH relativeFrom="column">
                        <wp:posOffset>3060700</wp:posOffset>
                      </wp:positionH>
                      <wp:positionV relativeFrom="paragraph">
                        <wp:posOffset>1497330</wp:posOffset>
                      </wp:positionV>
                      <wp:extent cx="1117600" cy="3810"/>
                      <wp:effectExtent l="0" t="45720" r="6350" b="64770"/>
                      <wp:wrapNone/>
                      <wp:docPr id="81" name="直接连接符 81"/>
                      <wp:cNvGraphicFramePr/>
                      <a:graphic xmlns:a="http://schemas.openxmlformats.org/drawingml/2006/main">
                        <a:graphicData uri="http://schemas.microsoft.com/office/word/2010/wordprocessingShape">
                          <wps:wsp>
                            <wps:cNvCnPr/>
                            <wps:spPr>
                              <a:xfrm>
                                <a:off x="0" y="0"/>
                                <a:ext cx="1117600" cy="381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41pt;margin-top:117.9pt;height:0.3pt;width:88pt;z-index:251737088;mso-width-relative:page;mso-height-relative:page;" filled="f" stroked="t" coordsize="21600,21600" o:gfxdata="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5HMXYdoAAAALAQAADwAAAAAAAAABACAAAAAiAAAAZHJzL2Rv&#10;d25yZXYueG1sUEsBAhQAFAAAAAgAh07iQOHVOIf/AQAA6gMAAA4AAAAAAAAAAQAgAAAAKQEAAGRy&#10;cy9lMm9Eb2MueG1sUEsFBgAAAAAGAAYAWQEAAJoFA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2992" behindDoc="0" locked="0" layoutInCell="1" allowOverlap="1">
                      <wp:simplePos x="0" y="0"/>
                      <wp:positionH relativeFrom="column">
                        <wp:posOffset>2265680</wp:posOffset>
                      </wp:positionH>
                      <wp:positionV relativeFrom="paragraph">
                        <wp:posOffset>2034540</wp:posOffset>
                      </wp:positionV>
                      <wp:extent cx="795655" cy="24892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795655" cy="248920"/>
                              </a:xfrm>
                              <a:prstGeom prst="rect">
                                <a:avLst/>
                              </a:prstGeom>
                              <a:noFill/>
                              <a:ln>
                                <a:noFill/>
                              </a:ln>
                            </wps:spPr>
                            <wps:txbx>
                              <w:txbxContent>
                                <w:p w14:paraId="59FE6E75">
                                  <w:pPr>
                                    <w:keepNext w:val="0"/>
                                    <w:keepLines w:val="0"/>
                                    <w:pageBreakBefore w:val="0"/>
                                    <w:widowControl w:val="0"/>
                                    <w:kinsoku/>
                                    <w:wordWrap/>
                                    <w:overflowPunct/>
                                    <w:topLinePunct w:val="0"/>
                                    <w:bidi w:val="0"/>
                                    <w:adjustRightInd w:val="0"/>
                                    <w:snapToGrid w:val="0"/>
                                    <w:ind w:firstLine="0" w:firstLineChars="0"/>
                                    <w:jc w:val="both"/>
                                    <w:textAlignment w:val="auto"/>
                                    <w:rPr>
                                      <w:rFonts w:hint="default" w:eastAsia="宋体"/>
                                      <w:color w:val="000000"/>
                                      <w:lang w:val="en-US" w:eastAsia="zh-CN"/>
                                    </w:rPr>
                                  </w:pPr>
                                  <w:r>
                                    <w:rPr>
                                      <w:rFonts w:hint="eastAsia" w:ascii="Times New Roman" w:hAnsi="Times New Roman" w:eastAsia="宋体" w:cs="Times New Roman"/>
                                      <w:color w:val="000000"/>
                                      <w:lang w:val="en-US" w:eastAsia="zh-CN"/>
                                    </w:rPr>
                                    <w:t>消耗</w:t>
                                  </w:r>
                                  <w:r>
                                    <w:rPr>
                                      <w:rFonts w:hint="eastAsia" w:cs="Times New Roman"/>
                                      <w:color w:val="000000"/>
                                      <w:lang w:val="en-US" w:eastAsia="zh-CN"/>
                                    </w:rPr>
                                    <w:t>480</w:t>
                                  </w:r>
                                </w:p>
                              </w:txbxContent>
                            </wps:txbx>
                            <wps:bodyPr upright="1"/>
                          </wps:wsp>
                        </a:graphicData>
                      </a:graphic>
                    </wp:anchor>
                  </w:drawing>
                </mc:Choice>
                <mc:Fallback>
                  <w:pict>
                    <v:shape id="_x0000_s1026" o:spid="_x0000_s1026" o:spt="202" type="#_x0000_t202" style="position:absolute;left:0pt;margin-left:178.4pt;margin-top:160.2pt;height:19.6pt;width:62.65pt;z-index:251732992;mso-width-relative:page;mso-height-relative:page;" filled="f" stroked="f" coordsize="21600,21600" o:gfxdata="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c1hSe&#10;2AAAAAsBAAAPAAAAAAAAAAEAIAAAACIAAABkcnMvZG93bnJldi54bWxQSwECFAAUAAAACACHTuJA&#10;De07RK8BAABPAwAADgAAAAAAAAABACAAAAAnAQAAZHJzL2Uyb0RvYy54bWxQSwUGAAAAAAYABgBZ&#10;AQAASAUAAAAA&#10;">
                      <v:fill on="f" focussize="0,0"/>
                      <v:stroke on="f"/>
                      <v:imagedata o:title=""/>
                      <o:lock v:ext="edit" aspectratio="f"/>
                      <v:textbox>
                        <w:txbxContent>
                          <w:p w14:paraId="59FE6E75">
                            <w:pPr>
                              <w:keepNext w:val="0"/>
                              <w:keepLines w:val="0"/>
                              <w:pageBreakBefore w:val="0"/>
                              <w:widowControl w:val="0"/>
                              <w:kinsoku/>
                              <w:wordWrap/>
                              <w:overflowPunct/>
                              <w:topLinePunct w:val="0"/>
                              <w:bidi w:val="0"/>
                              <w:adjustRightInd w:val="0"/>
                              <w:snapToGrid w:val="0"/>
                              <w:ind w:firstLine="0" w:firstLineChars="0"/>
                              <w:jc w:val="both"/>
                              <w:textAlignment w:val="auto"/>
                              <w:rPr>
                                <w:rFonts w:hint="default" w:eastAsia="宋体"/>
                                <w:color w:val="000000"/>
                                <w:lang w:val="en-US" w:eastAsia="zh-CN"/>
                              </w:rPr>
                            </w:pPr>
                            <w:r>
                              <w:rPr>
                                <w:rFonts w:hint="eastAsia" w:ascii="Times New Roman" w:hAnsi="Times New Roman" w:eastAsia="宋体" w:cs="Times New Roman"/>
                                <w:color w:val="000000"/>
                                <w:lang w:val="en-US" w:eastAsia="zh-CN"/>
                              </w:rPr>
                              <w:t>消耗</w:t>
                            </w:r>
                            <w:r>
                              <w:rPr>
                                <w:rFonts w:hint="eastAsia" w:cs="Times New Roman"/>
                                <w:color w:val="000000"/>
                                <w:lang w:val="en-US" w:eastAsia="zh-CN"/>
                              </w:rPr>
                              <w:t>480</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3536" behindDoc="0" locked="0" layoutInCell="1" allowOverlap="1">
                      <wp:simplePos x="0" y="0"/>
                      <wp:positionH relativeFrom="column">
                        <wp:posOffset>1131570</wp:posOffset>
                      </wp:positionH>
                      <wp:positionV relativeFrom="paragraph">
                        <wp:posOffset>1725930</wp:posOffset>
                      </wp:positionV>
                      <wp:extent cx="543560" cy="222250"/>
                      <wp:effectExtent l="0" t="0" r="0" b="0"/>
                      <wp:wrapNone/>
                      <wp:docPr id="6" name="文本框 6"/>
                      <wp:cNvGraphicFramePr/>
                      <a:graphic xmlns:a="http://schemas.openxmlformats.org/drawingml/2006/main">
                        <a:graphicData uri="http://schemas.microsoft.com/office/word/2010/wordprocessingShape">
                          <wps:wsp>
                            <wps:cNvSpPr txBox="1"/>
                            <wps:spPr>
                              <a:xfrm>
                                <a:off x="0" y="0"/>
                                <a:ext cx="543560" cy="222250"/>
                              </a:xfrm>
                              <a:prstGeom prst="rect">
                                <a:avLst/>
                              </a:prstGeom>
                              <a:noFill/>
                              <a:ln>
                                <a:noFill/>
                              </a:ln>
                            </wps:spPr>
                            <wps:txbx>
                              <w:txbxContent>
                                <w:p w14:paraId="121E7496">
                                  <w:pPr>
                                    <w:jc w:val="center"/>
                                    <w:rPr>
                                      <w:rFonts w:hint="default" w:eastAsia="宋体"/>
                                      <w:lang w:val="en-US" w:eastAsia="zh-CN"/>
                                    </w:rPr>
                                  </w:pPr>
                                  <w:r>
                                    <w:rPr>
                                      <w:rFonts w:hint="eastAsia"/>
                                      <w:lang w:val="en-US" w:eastAsia="zh-CN"/>
                                    </w:rPr>
                                    <w:t>432</w:t>
                                  </w:r>
                                </w:p>
                              </w:txbxContent>
                            </wps:txbx>
                            <wps:bodyPr upright="1"/>
                          </wps:wsp>
                        </a:graphicData>
                      </a:graphic>
                    </wp:anchor>
                  </w:drawing>
                </mc:Choice>
                <mc:Fallback>
                  <w:pict>
                    <v:shape id="_x0000_s1026" o:spid="_x0000_s1026" o:spt="202" type="#_x0000_t202" style="position:absolute;left:0pt;margin-left:89.1pt;margin-top:135.9pt;height:17.5pt;width:42.8pt;z-index:251713536;mso-width-relative:page;mso-height-relative:page;" filled="f" stroked="f" coordsize="21600,21600" o:gfxdata="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tmabZNcAAAAL&#10;AQAADwAAAAAAAAABACAAAAAiAAAAZHJzL2Rvd25yZXYueG1sUEsBAhQAFAAAAAgAh07iQOQWlMer&#10;AQAATQMAAA4AAAAAAAAAAQAgAAAAJgEAAGRycy9lMm9Eb2MueG1sUEsFBgAAAAAGAAYAWQEAAEMF&#10;AAAAAA==&#10;">
                      <v:fill on="f" focussize="0,0"/>
                      <v:stroke on="f"/>
                      <v:imagedata o:title=""/>
                      <o:lock v:ext="edit" aspectratio="f"/>
                      <v:textbox>
                        <w:txbxContent>
                          <w:p w14:paraId="121E7496">
                            <w:pPr>
                              <w:jc w:val="center"/>
                              <w:rPr>
                                <w:rFonts w:hint="default" w:eastAsia="宋体"/>
                                <w:lang w:val="en-US" w:eastAsia="zh-CN"/>
                              </w:rPr>
                            </w:pPr>
                            <w:r>
                              <w:rPr>
                                <w:rFonts w:hint="eastAsia"/>
                                <w:lang w:val="en-US" w:eastAsia="zh-CN"/>
                              </w:rPr>
                              <w:t>432</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7152" behindDoc="0" locked="0" layoutInCell="1" allowOverlap="1">
                      <wp:simplePos x="0" y="0"/>
                      <wp:positionH relativeFrom="column">
                        <wp:posOffset>1959610</wp:posOffset>
                      </wp:positionH>
                      <wp:positionV relativeFrom="paragraph">
                        <wp:posOffset>100965</wp:posOffset>
                      </wp:positionV>
                      <wp:extent cx="1074420" cy="28702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074420" cy="287020"/>
                              </a:xfrm>
                              <a:prstGeom prst="rect">
                                <a:avLst/>
                              </a:prstGeom>
                              <a:noFill/>
                              <a:ln>
                                <a:noFill/>
                              </a:ln>
                            </wps:spPr>
                            <wps:txbx>
                              <w:txbxContent>
                                <w:p w14:paraId="793B5000">
                                  <w:pPr>
                                    <w:jc w:val="center"/>
                                    <w:rPr>
                                      <w:rFonts w:hint="default" w:eastAsia="宋体"/>
                                      <w:lang w:val="en-US" w:eastAsia="zh-CN"/>
                                    </w:rPr>
                                  </w:pPr>
                                  <w:r>
                                    <w:rPr>
                                      <w:rFonts w:hint="eastAsia"/>
                                    </w:rPr>
                                    <w:t>消耗</w:t>
                                  </w:r>
                                  <w:r>
                                    <w:rPr>
                                      <w:rFonts w:hint="eastAsia"/>
                                      <w:lang w:val="en-US" w:eastAsia="zh-CN"/>
                                    </w:rPr>
                                    <w:t>270</w:t>
                                  </w:r>
                                </w:p>
                              </w:txbxContent>
                            </wps:txbx>
                            <wps:bodyPr upright="1"/>
                          </wps:wsp>
                        </a:graphicData>
                      </a:graphic>
                    </wp:anchor>
                  </w:drawing>
                </mc:Choice>
                <mc:Fallback>
                  <w:pict>
                    <v:shape id="_x0000_s1026" o:spid="_x0000_s1026" o:spt="202" type="#_x0000_t202" style="position:absolute;left:0pt;margin-left:154.3pt;margin-top:7.95pt;height:22.6pt;width:84.6pt;z-index:251697152;mso-width-relative:page;mso-height-relative:page;" filled="f" stroked="f" coordsize="21600,21600" o:gfxdata="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WYev/NcAAAAJ&#10;AQAADwAAAAAAAAABACAAAAAiAAAAZHJzL2Rvd25yZXYueG1sUEsBAhQAFAAAAAgAh07iQA0wSiKr&#10;AQAATgMAAA4AAAAAAAAAAQAgAAAAJgEAAGRycy9lMm9Eb2MueG1sUEsFBgAAAAAGAAYAWQEAAEMF&#10;AAAAAA==&#10;">
                      <v:fill on="f" focussize="0,0"/>
                      <v:stroke on="f"/>
                      <v:imagedata o:title=""/>
                      <o:lock v:ext="edit" aspectratio="f"/>
                      <v:textbox>
                        <w:txbxContent>
                          <w:p w14:paraId="793B5000">
                            <w:pPr>
                              <w:jc w:val="center"/>
                              <w:rPr>
                                <w:rFonts w:hint="default" w:eastAsia="宋体"/>
                                <w:lang w:val="en-US" w:eastAsia="zh-CN"/>
                              </w:rPr>
                            </w:pPr>
                            <w:r>
                              <w:rPr>
                                <w:rFonts w:hint="eastAsia"/>
                              </w:rPr>
                              <w:t>消耗</w:t>
                            </w:r>
                            <w:r>
                              <w:rPr>
                                <w:rFonts w:hint="eastAsia"/>
                                <w:lang w:val="en-US" w:eastAsia="zh-CN"/>
                              </w:rPr>
                              <w:t>270</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9200" behindDoc="0" locked="0" layoutInCell="1" allowOverlap="1">
                      <wp:simplePos x="0" y="0"/>
                      <wp:positionH relativeFrom="column">
                        <wp:posOffset>351155</wp:posOffset>
                      </wp:positionH>
                      <wp:positionV relativeFrom="paragraph">
                        <wp:posOffset>1541780</wp:posOffset>
                      </wp:positionV>
                      <wp:extent cx="790575" cy="39624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790575" cy="396240"/>
                              </a:xfrm>
                              <a:prstGeom prst="rect">
                                <a:avLst/>
                              </a:prstGeom>
                              <a:noFill/>
                              <a:ln>
                                <a:noFill/>
                              </a:ln>
                            </wps:spPr>
                            <wps:txbx>
                              <w:txbxContent>
                                <w:p w14:paraId="6F72A80B">
                                  <w:pPr>
                                    <w:jc w:val="center"/>
                                    <w:rPr>
                                      <w:rFonts w:hint="eastAsia"/>
                                      <w:color w:val="000000"/>
                                    </w:rPr>
                                  </w:pPr>
                                  <w:r>
                                    <w:rPr>
                                      <w:rFonts w:hint="eastAsia"/>
                                      <w:color w:val="000000"/>
                                    </w:rPr>
                                    <w:t>新鲜水</w:t>
                                  </w:r>
                                </w:p>
                                <w:p w14:paraId="03D5A0E9">
                                  <w:pPr>
                                    <w:jc w:val="center"/>
                                    <w:rPr>
                                      <w:rFonts w:hint="default" w:eastAsia="宋体"/>
                                      <w:color w:val="auto"/>
                                      <w:lang w:val="en-US" w:eastAsia="zh-CN"/>
                                    </w:rPr>
                                  </w:pPr>
                                  <w:r>
                                    <w:rPr>
                                      <w:rFonts w:hint="eastAsia"/>
                                      <w:color w:val="auto"/>
                                      <w:lang w:val="en-US" w:eastAsia="zh-CN"/>
                                    </w:rPr>
                                    <w:t>1979</w:t>
                                  </w:r>
                                </w:p>
                              </w:txbxContent>
                            </wps:txbx>
                            <wps:bodyPr upright="1"/>
                          </wps:wsp>
                        </a:graphicData>
                      </a:graphic>
                    </wp:anchor>
                  </w:drawing>
                </mc:Choice>
                <mc:Fallback>
                  <w:pict>
                    <v:shape id="_x0000_s1026" o:spid="_x0000_s1026" o:spt="202" type="#_x0000_t202" style="position:absolute;left:0pt;margin-left:27.65pt;margin-top:121.4pt;height:31.2pt;width:62.25pt;z-index:251699200;mso-width-relative:page;mso-height-relative:page;" filled="f" stroked="f" coordsize="21600,21600" o:gfxdata="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PP6dTHX&#10;AAAACgEAAA8AAAAAAAAAAQAgAAAAIgAAAGRycy9kb3ducmV2LnhtbFBLAQIUABQAAAAIAIdO4kDr&#10;eZ+PrwEAAE8DAAAOAAAAAAAAAAEAIAAAACYBAABkcnMvZTJvRG9jLnhtbFBLBQYAAAAABgAGAFkB&#10;AABHBQAAAAA=&#10;">
                      <v:fill on="f" focussize="0,0"/>
                      <v:stroke on="f"/>
                      <v:imagedata o:title=""/>
                      <o:lock v:ext="edit" aspectratio="f"/>
                      <v:textbox>
                        <w:txbxContent>
                          <w:p w14:paraId="6F72A80B">
                            <w:pPr>
                              <w:jc w:val="center"/>
                              <w:rPr>
                                <w:rFonts w:hint="eastAsia"/>
                                <w:color w:val="000000"/>
                              </w:rPr>
                            </w:pPr>
                            <w:r>
                              <w:rPr>
                                <w:rFonts w:hint="eastAsia"/>
                                <w:color w:val="000000"/>
                              </w:rPr>
                              <w:t>新鲜水</w:t>
                            </w:r>
                          </w:p>
                          <w:p w14:paraId="03D5A0E9">
                            <w:pPr>
                              <w:jc w:val="center"/>
                              <w:rPr>
                                <w:rFonts w:hint="default" w:eastAsia="宋体"/>
                                <w:color w:val="auto"/>
                                <w:lang w:val="en-US" w:eastAsia="zh-CN"/>
                              </w:rPr>
                            </w:pPr>
                            <w:r>
                              <w:rPr>
                                <w:rFonts w:hint="eastAsia"/>
                                <w:color w:val="auto"/>
                                <w:lang w:val="en-US" w:eastAsia="zh-CN"/>
                              </w:rPr>
                              <w:t>1979</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6128" behindDoc="0" locked="0" layoutInCell="1" allowOverlap="1">
                      <wp:simplePos x="0" y="0"/>
                      <wp:positionH relativeFrom="column">
                        <wp:posOffset>488950</wp:posOffset>
                      </wp:positionH>
                      <wp:positionV relativeFrom="paragraph">
                        <wp:posOffset>1906270</wp:posOffset>
                      </wp:positionV>
                      <wp:extent cx="562610" cy="7620"/>
                      <wp:effectExtent l="0" t="48260" r="8890" b="58420"/>
                      <wp:wrapNone/>
                      <wp:docPr id="60" name="直接连接符 60"/>
                      <wp:cNvGraphicFramePr/>
                      <a:graphic xmlns:a="http://schemas.openxmlformats.org/drawingml/2006/main">
                        <a:graphicData uri="http://schemas.microsoft.com/office/word/2010/wordprocessingShape">
                          <wps:wsp>
                            <wps:cNvCnPr/>
                            <wps:spPr>
                              <a:xfrm flipV="1">
                                <a:off x="0" y="0"/>
                                <a:ext cx="562610" cy="762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flip:y;margin-left:38.5pt;margin-top:150.1pt;height:0.6pt;width:44.3pt;z-index:251696128;mso-width-relative:page;mso-height-relative:page;" filled="f" stroked="t" coordsize="21600,21600" o:gfxdata="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DVYblNgAAAAKAQAADwAAAAAAAAABACAAAAAi&#10;AAAAZHJzL2Rvd25yZXYueG1sUEsBAhQAFAAAAAgAh07iQP4jTf0KAgAA/QMAAA4AAAAAAAAAAQAg&#10;AAAAJwEAAGRycy9lMm9Eb2MueG1sUEsFBgAAAAAGAAYAWQEAAKMFA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2032" behindDoc="0" locked="0" layoutInCell="1" allowOverlap="1">
                      <wp:simplePos x="0" y="0"/>
                      <wp:positionH relativeFrom="column">
                        <wp:posOffset>1043305</wp:posOffset>
                      </wp:positionH>
                      <wp:positionV relativeFrom="paragraph">
                        <wp:posOffset>640715</wp:posOffset>
                      </wp:positionV>
                      <wp:extent cx="15875" cy="3520440"/>
                      <wp:effectExtent l="4445" t="0" r="17780" b="3810"/>
                      <wp:wrapNone/>
                      <wp:docPr id="32" name="直接箭头连接符 32"/>
                      <wp:cNvGraphicFramePr/>
                      <a:graphic xmlns:a="http://schemas.openxmlformats.org/drawingml/2006/main">
                        <a:graphicData uri="http://schemas.microsoft.com/office/word/2010/wordprocessingShape">
                          <wps:wsp>
                            <wps:cNvCnPr/>
                            <wps:spPr>
                              <a:xfrm flipH="1">
                                <a:off x="0" y="0"/>
                                <a:ext cx="15875" cy="352044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flip:x;margin-left:82.15pt;margin-top:50.45pt;height:277.2pt;width:1.25pt;z-index:251692032;mso-width-relative:page;mso-height-relative:page;" filled="f" stroked="t" coordsize="21600,21600" o:gfxdata="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PAhcd9cAAAALAQAADwAAAAAAAAAB&#10;ACAAAAAiAAAAZHJzL2Rvd25yZXYueG1sUEsBAhQAFAAAAAgAh07iQEUl0NARAgAABgQAAA4AAAAA&#10;AAAAAQAgAAAAJgEAAGRycy9lMm9Eb2MueG1sUEsFBgAAAAAGAAYAWQEAAKkFAAAAAA==&#10;">
                      <v:fill on="f" focussize="0,0"/>
                      <v:stroke color="#000000" joinstyle="round"/>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4080" behindDoc="0" locked="0" layoutInCell="1" allowOverlap="1">
                      <wp:simplePos x="0" y="0"/>
                      <wp:positionH relativeFrom="column">
                        <wp:posOffset>1063625</wp:posOffset>
                      </wp:positionH>
                      <wp:positionV relativeFrom="paragraph">
                        <wp:posOffset>-1334135</wp:posOffset>
                      </wp:positionV>
                      <wp:extent cx="394335" cy="19177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394335" cy="191770"/>
                              </a:xfrm>
                              <a:prstGeom prst="rect">
                                <a:avLst/>
                              </a:prstGeom>
                              <a:noFill/>
                              <a:ln>
                                <a:noFill/>
                              </a:ln>
                            </wps:spPr>
                            <wps:txbx>
                              <w:txbxContent>
                                <w:p w14:paraId="2BD2037D">
                                  <w:pPr>
                                    <w:jc w:val="center"/>
                                    <w:rPr>
                                      <w:rFonts w:hint="default" w:eastAsia="宋体"/>
                                      <w:lang w:val="en-US" w:eastAsia="zh-CN"/>
                                    </w:rPr>
                                  </w:pPr>
                                </w:p>
                              </w:txbxContent>
                            </wps:txbx>
                            <wps:bodyPr lIns="18000" tIns="7200" rIns="18000" bIns="7200" upright="1"/>
                          </wps:wsp>
                        </a:graphicData>
                      </a:graphic>
                    </wp:anchor>
                  </w:drawing>
                </mc:Choice>
                <mc:Fallback>
                  <w:pict>
                    <v:shape id="_x0000_s1026" o:spid="_x0000_s1026" o:spt="202" type="#_x0000_t202" style="position:absolute;left:0pt;margin-left:83.75pt;margin-top:-105.05pt;height:15.1pt;width:31.05pt;z-index:251694080;mso-width-relative:page;mso-height-relative:page;" filled="f" stroked="f" coordsize="21600,21600" o:gfxdata="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1iL0C3AAAAA0BAAAPAAAAAAAAAAEAIAAAACIAAABkcnMv&#10;ZG93bnJldi54bWxQSwECFAAUAAAACACHTuJAUbwaX8YBAACBAwAADgAAAAAAAAABACAAAAArAQAA&#10;ZHJzL2Uyb0RvYy54bWxQSwUGAAAAAAYABgBZAQAAYwUAAAAA&#10;">
                      <v:fill on="f" focussize="0,0"/>
                      <v:stroke on="f"/>
                      <v:imagedata o:title=""/>
                      <o:lock v:ext="edit" aspectratio="f"/>
                      <v:textbox inset="0.5mm,0.2mm,0.5mm,0.2mm">
                        <w:txbxContent>
                          <w:p w14:paraId="2BD2037D">
                            <w:pPr>
                              <w:jc w:val="center"/>
                              <w:rPr>
                                <w:rFonts w:hint="default" w:eastAsia="宋体"/>
                                <w:lang w:val="en-US" w:eastAsia="zh-CN"/>
                              </w:rPr>
                            </w:pP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1968" behindDoc="0" locked="0" layoutInCell="1" allowOverlap="1">
                      <wp:simplePos x="0" y="0"/>
                      <wp:positionH relativeFrom="column">
                        <wp:posOffset>2155190</wp:posOffset>
                      </wp:positionH>
                      <wp:positionV relativeFrom="paragraph">
                        <wp:posOffset>2234565</wp:posOffset>
                      </wp:positionV>
                      <wp:extent cx="232410" cy="176530"/>
                      <wp:effectExtent l="3175" t="0" r="12065" b="13970"/>
                      <wp:wrapNone/>
                      <wp:docPr id="33" name="直接箭头连接符 33"/>
                      <wp:cNvGraphicFramePr/>
                      <a:graphic xmlns:a="http://schemas.openxmlformats.org/drawingml/2006/main">
                        <a:graphicData uri="http://schemas.microsoft.com/office/word/2010/wordprocessingShape">
                          <wps:wsp>
                            <wps:cNvCnPr/>
                            <wps:spPr>
                              <a:xfrm flipV="1">
                                <a:off x="0" y="0"/>
                                <a:ext cx="232410" cy="176530"/>
                              </a:xfrm>
                              <a:prstGeom prst="straightConnector1">
                                <a:avLst/>
                              </a:prstGeom>
                              <a:ln w="9525" cap="flat" cmpd="sng">
                                <a:solidFill>
                                  <a:srgbClr val="000000"/>
                                </a:solidFill>
                                <a:prstDash val="dash"/>
                                <a:round/>
                                <a:headEnd type="none" w="med" len="med"/>
                                <a:tailEnd type="arrow" w="med" len="med"/>
                              </a:ln>
                            </wps:spPr>
                            <wps:bodyPr/>
                          </wps:wsp>
                        </a:graphicData>
                      </a:graphic>
                    </wp:anchor>
                  </w:drawing>
                </mc:Choice>
                <mc:Fallback>
                  <w:pict>
                    <v:shape id="_x0000_s1026" o:spid="_x0000_s1026" o:spt="32" type="#_x0000_t32" style="position:absolute;left:0pt;flip:y;margin-left:169.7pt;margin-top:175.95pt;height:13.9pt;width:18.3pt;z-index:251731968;mso-width-relative:page;mso-height-relative:page;" filled="f" stroked="t" coordsize="21600,21600" o:gfxdata="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u43Am9gAAAALAQAADwAA&#10;AAAAAAABACAAAAAiAAAAZHJzL2Rvd25yZXYueG1sUEsBAhQAFAAAAAgAh07iQHYtV8IWAgAABgQA&#10;AA4AAAAAAAAAAQAgAAAAJwEAAGRycy9lMm9Eb2MueG1sUEsFBgAAAAAGAAYAWQEAAK8FAAAAAA==&#10;">
                      <v:fill on="f" focussize="0,0"/>
                      <v:stroke color="#000000" joinstyle="round" dashstyle="dash" endarrow="open"/>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30944" behindDoc="0" locked="0" layoutInCell="1" allowOverlap="1">
                      <wp:simplePos x="0" y="0"/>
                      <wp:positionH relativeFrom="column">
                        <wp:posOffset>1021080</wp:posOffset>
                      </wp:positionH>
                      <wp:positionV relativeFrom="paragraph">
                        <wp:posOffset>2313940</wp:posOffset>
                      </wp:positionV>
                      <wp:extent cx="669925" cy="233045"/>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669925" cy="233045"/>
                              </a:xfrm>
                              <a:prstGeom prst="rect">
                                <a:avLst/>
                              </a:prstGeom>
                              <a:noFill/>
                              <a:ln>
                                <a:noFill/>
                              </a:ln>
                            </wps:spPr>
                            <wps:txbx>
                              <w:txbxContent>
                                <w:p w14:paraId="59585C8C">
                                  <w:pPr>
                                    <w:jc w:val="center"/>
                                    <w:rPr>
                                      <w:rFonts w:hint="default" w:eastAsia="宋体"/>
                                      <w:color w:val="000000"/>
                                      <w:lang w:val="en-US" w:eastAsia="zh-CN"/>
                                    </w:rPr>
                                  </w:pPr>
                                  <w:r>
                                    <w:rPr>
                                      <w:rFonts w:hint="eastAsia"/>
                                      <w:color w:val="000000"/>
                                      <w:lang w:val="en-US" w:eastAsia="zh-CN"/>
                                    </w:rPr>
                                    <w:t>480</w:t>
                                  </w:r>
                                </w:p>
                              </w:txbxContent>
                            </wps:txbx>
                            <wps:bodyPr upright="1"/>
                          </wps:wsp>
                        </a:graphicData>
                      </a:graphic>
                    </wp:anchor>
                  </w:drawing>
                </mc:Choice>
                <mc:Fallback>
                  <w:pict>
                    <v:shape id="_x0000_s1026" o:spid="_x0000_s1026" o:spt="202" type="#_x0000_t202" style="position:absolute;left:0pt;margin-left:80.4pt;margin-top:182.2pt;height:18.35pt;width:52.75pt;z-index:251730944;mso-width-relative:page;mso-height-relative:page;" filled="f" stroked="f" coordsize="21600,21600" o:gfxdata="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OCfv31wAA&#10;AAsBAAAPAAAAAAAAAAEAIAAAACIAAABkcnMvZG93bnJldi54bWxQSwECFAAUAAAACACHTuJAbl4q&#10;Hq0BAABPAwAADgAAAAAAAAABACAAAAAmAQAAZHJzL2Uyb0RvYy54bWxQSwUGAAAAAAYABgBZAQAA&#10;RQUAAAAA&#10;">
                      <v:fill on="f" focussize="0,0"/>
                      <v:stroke on="f"/>
                      <v:imagedata o:title=""/>
                      <o:lock v:ext="edit" aspectratio="f"/>
                      <v:textbox>
                        <w:txbxContent>
                          <w:p w14:paraId="59585C8C">
                            <w:pPr>
                              <w:jc w:val="center"/>
                              <w:rPr>
                                <w:rFonts w:hint="default" w:eastAsia="宋体"/>
                                <w:color w:val="000000"/>
                                <w:lang w:val="en-US" w:eastAsia="zh-CN"/>
                              </w:rPr>
                            </w:pPr>
                            <w:r>
                              <w:rPr>
                                <w:rFonts w:hint="eastAsia"/>
                                <w:color w:val="000000"/>
                                <w:lang w:val="en-US" w:eastAsia="zh-CN"/>
                              </w:rPr>
                              <w:t>480</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9920" behindDoc="0" locked="0" layoutInCell="1" allowOverlap="1">
                      <wp:simplePos x="0" y="0"/>
                      <wp:positionH relativeFrom="column">
                        <wp:posOffset>1687195</wp:posOffset>
                      </wp:positionH>
                      <wp:positionV relativeFrom="paragraph">
                        <wp:posOffset>2412365</wp:posOffset>
                      </wp:positionV>
                      <wp:extent cx="1042035" cy="196850"/>
                      <wp:effectExtent l="4445" t="4445" r="20320" b="8255"/>
                      <wp:wrapNone/>
                      <wp:docPr id="8" name="文本框 8"/>
                      <wp:cNvGraphicFramePr/>
                      <a:graphic xmlns:a="http://schemas.openxmlformats.org/drawingml/2006/main">
                        <a:graphicData uri="http://schemas.microsoft.com/office/word/2010/wordprocessingShape">
                          <wps:wsp>
                            <wps:cNvSpPr txBox="1"/>
                            <wps:spPr>
                              <a:xfrm>
                                <a:off x="0" y="0"/>
                                <a:ext cx="1042035" cy="196850"/>
                              </a:xfrm>
                              <a:prstGeom prst="rect">
                                <a:avLst/>
                              </a:prstGeom>
                              <a:noFill/>
                              <a:ln w="9525" cap="flat" cmpd="sng">
                                <a:solidFill>
                                  <a:srgbClr val="000000"/>
                                </a:solidFill>
                                <a:prstDash val="solid"/>
                                <a:miter/>
                                <a:headEnd type="none" w="med" len="med"/>
                                <a:tailEnd type="none" w="med" len="med"/>
                              </a:ln>
                            </wps:spPr>
                            <wps:txbx>
                              <w:txbxContent>
                                <w:p w14:paraId="5D3D06DA">
                                  <w:pPr>
                                    <w:jc w:val="center"/>
                                    <w:rPr>
                                      <w:rFonts w:hint="default" w:ascii="Times New Roman" w:hAnsi="Times New Roman" w:eastAsia="宋体" w:cs="Times New Roman"/>
                                      <w:color w:val="000000"/>
                                      <w:lang w:val="en-US" w:eastAsia="zh-CN"/>
                                    </w:rPr>
                                  </w:pPr>
                                  <w:r>
                                    <w:rPr>
                                      <w:rFonts w:hint="eastAsia" w:cs="Times New Roman"/>
                                      <w:color w:val="000000"/>
                                      <w:lang w:val="en-US" w:eastAsia="zh-CN"/>
                                    </w:rPr>
                                    <w:t>炭块冷却用水</w:t>
                                  </w:r>
                                </w:p>
                              </w:txbxContent>
                            </wps:txbx>
                            <wps:bodyPr lIns="18000" tIns="7200" rIns="18000" bIns="7200" upright="1"/>
                          </wps:wsp>
                        </a:graphicData>
                      </a:graphic>
                    </wp:anchor>
                  </w:drawing>
                </mc:Choice>
                <mc:Fallback>
                  <w:pict>
                    <v:shape id="_x0000_s1026" o:spid="_x0000_s1026" o:spt="202" type="#_x0000_t202" style="position:absolute;left:0pt;margin-left:132.85pt;margin-top:189.95pt;height:15.5pt;width:82.05pt;z-index:251729920;mso-width-relative:page;mso-height-relative:page;" filled="f" stroked="t" coordsize="21600,21600" o:gfxdata="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Y32cUtsA&#10;AAALAQAADwAAAAAAAAABACAAAAAiAAAAZHJzL2Rvd25yZXYueG1sUEsBAhQAFAAAAAgAh07iQGLa&#10;24YcAgAAPwQAAA4AAAAAAAAAAQAgAAAAKgEAAGRycy9lMm9Eb2MueG1sUEsFBgAAAAAGAAYAWQEA&#10;ALgFAAAAAA==&#10;">
                      <v:fill on="f" focussize="0,0"/>
                      <v:stroke color="#000000" joinstyle="miter"/>
                      <v:imagedata o:title=""/>
                      <o:lock v:ext="edit" aspectratio="f"/>
                      <v:textbox inset="0.5mm,0.2mm,0.5mm,0.2mm">
                        <w:txbxContent>
                          <w:p w14:paraId="5D3D06DA">
                            <w:pPr>
                              <w:jc w:val="center"/>
                              <w:rPr>
                                <w:rFonts w:hint="default" w:ascii="Times New Roman" w:hAnsi="Times New Roman" w:eastAsia="宋体" w:cs="Times New Roman"/>
                                <w:color w:val="000000"/>
                                <w:lang w:val="en-US" w:eastAsia="zh-CN"/>
                              </w:rPr>
                            </w:pPr>
                            <w:r>
                              <w:rPr>
                                <w:rFonts w:hint="eastAsia" w:cs="Times New Roman"/>
                                <w:color w:val="000000"/>
                                <w:lang w:val="en-US" w:eastAsia="zh-CN"/>
                              </w:rPr>
                              <w:t>炭块冷却用水</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8896" behindDoc="0" locked="0" layoutInCell="1" allowOverlap="1">
                      <wp:simplePos x="0" y="0"/>
                      <wp:positionH relativeFrom="column">
                        <wp:posOffset>1061085</wp:posOffset>
                      </wp:positionH>
                      <wp:positionV relativeFrom="paragraph">
                        <wp:posOffset>2522220</wp:posOffset>
                      </wp:positionV>
                      <wp:extent cx="618490" cy="3810"/>
                      <wp:effectExtent l="0" t="45720" r="10160" b="64770"/>
                      <wp:wrapNone/>
                      <wp:docPr id="5" name="直接连接符 5"/>
                      <wp:cNvGraphicFramePr/>
                      <a:graphic xmlns:a="http://schemas.openxmlformats.org/drawingml/2006/main">
                        <a:graphicData uri="http://schemas.microsoft.com/office/word/2010/wordprocessingShape">
                          <wps:wsp>
                            <wps:cNvCnPr/>
                            <wps:spPr>
                              <a:xfrm>
                                <a:off x="0" y="0"/>
                                <a:ext cx="618490" cy="381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margin-left:83.55pt;margin-top:198.6pt;height:0.3pt;width:48.7pt;z-index:251728896;mso-width-relative:page;mso-height-relative:page;" filled="f" stroked="t" coordsize="21600,21600" o:gfxdata="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SeR1LaAAAACwEAAA8AAAAAAAAAAQAgAAAAIgAAAGRy&#10;cy9kb3ducmV2LnhtbFBLAQIUABQAAAAIAIdO4kC7jvDRAwIAAPEDAAAOAAAAAAAAAAEAIAAAACkB&#10;AABkcnMvZTJvRG9jLnhtbFBLBQYAAAAABgAGAFkBAACeBQ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6848" behindDoc="0" locked="0" layoutInCell="1" allowOverlap="1">
                      <wp:simplePos x="0" y="0"/>
                      <wp:positionH relativeFrom="column">
                        <wp:posOffset>2219960</wp:posOffset>
                      </wp:positionH>
                      <wp:positionV relativeFrom="paragraph">
                        <wp:posOffset>1337945</wp:posOffset>
                      </wp:positionV>
                      <wp:extent cx="675005" cy="198755"/>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675005" cy="198755"/>
                              </a:xfrm>
                              <a:prstGeom prst="rect">
                                <a:avLst/>
                              </a:prstGeom>
                              <a:noFill/>
                              <a:ln>
                                <a:noFill/>
                              </a:ln>
                            </wps:spPr>
                            <wps:txbx>
                              <w:txbxContent>
                                <w:p w14:paraId="2065CFDC">
                                  <w:pPr>
                                    <w:jc w:val="center"/>
                                    <w:rPr>
                                      <w:rFonts w:hint="default" w:eastAsia="宋体"/>
                                      <w:color w:val="auto"/>
                                      <w:lang w:val="en-US" w:eastAsia="zh-CN"/>
                                    </w:rPr>
                                  </w:pPr>
                                  <w:r>
                                    <w:rPr>
                                      <w:rFonts w:hint="eastAsia"/>
                                      <w:color w:val="auto"/>
                                      <w:lang w:val="en-US" w:eastAsia="zh-CN"/>
                                    </w:rPr>
                                    <w:t>1.68</w:t>
                                  </w:r>
                                </w:p>
                              </w:txbxContent>
                            </wps:txbx>
                            <wps:bodyPr lIns="18000" tIns="7200" rIns="18000" bIns="7200" upright="1"/>
                          </wps:wsp>
                        </a:graphicData>
                      </a:graphic>
                    </wp:anchor>
                  </w:drawing>
                </mc:Choice>
                <mc:Fallback>
                  <w:pict>
                    <v:shape id="_x0000_s1026" o:spid="_x0000_s1026" o:spt="202" type="#_x0000_t202" style="position:absolute;left:0pt;margin-left:174.8pt;margin-top:105.35pt;height:15.65pt;width:53.15pt;z-index:251726848;mso-width-relative:page;mso-height-relative:page;" filled="f" stroked="f" coordsize="21600,21600" o:gfxdata="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xfT/I2wAAAAsBAAAPAAAAAAAAAAEAIAAAACIAAABkcnMvZG93&#10;bnJldi54bWxQSwECFAAUAAAACACHTuJAB/Qld8QBAACBAwAADgAAAAAAAAABACAAAAAqAQAAZHJz&#10;L2Uyb0RvYy54bWxQSwUGAAAAAAYABgBZAQAAYAUAAAAA&#10;">
                      <v:fill on="f" focussize="0,0"/>
                      <v:stroke on="f"/>
                      <v:imagedata o:title=""/>
                      <o:lock v:ext="edit" aspectratio="f"/>
                      <v:textbox inset="0.5mm,0.2mm,0.5mm,0.2mm">
                        <w:txbxContent>
                          <w:p w14:paraId="2065CFDC">
                            <w:pPr>
                              <w:jc w:val="center"/>
                              <w:rPr>
                                <w:rFonts w:hint="default" w:eastAsia="宋体"/>
                                <w:color w:val="auto"/>
                                <w:lang w:val="en-US" w:eastAsia="zh-CN"/>
                              </w:rPr>
                            </w:pPr>
                            <w:r>
                              <w:rPr>
                                <w:rFonts w:hint="eastAsia"/>
                                <w:color w:val="auto"/>
                                <w:lang w:val="en-US" w:eastAsia="zh-CN"/>
                              </w:rPr>
                              <w:t>1.68</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8656" behindDoc="0" locked="0" layoutInCell="1" allowOverlap="1">
                      <wp:simplePos x="0" y="0"/>
                      <wp:positionH relativeFrom="column">
                        <wp:posOffset>1073150</wp:posOffset>
                      </wp:positionH>
                      <wp:positionV relativeFrom="paragraph">
                        <wp:posOffset>1022350</wp:posOffset>
                      </wp:positionV>
                      <wp:extent cx="586740" cy="222250"/>
                      <wp:effectExtent l="0" t="0" r="0" b="0"/>
                      <wp:wrapNone/>
                      <wp:docPr id="4" name="文本框 4"/>
                      <wp:cNvGraphicFramePr/>
                      <a:graphic xmlns:a="http://schemas.openxmlformats.org/drawingml/2006/main">
                        <a:graphicData uri="http://schemas.microsoft.com/office/word/2010/wordprocessingShape">
                          <wps:wsp>
                            <wps:cNvSpPr txBox="1"/>
                            <wps:spPr>
                              <a:xfrm>
                                <a:off x="0" y="0"/>
                                <a:ext cx="586740" cy="222250"/>
                              </a:xfrm>
                              <a:prstGeom prst="rect">
                                <a:avLst/>
                              </a:prstGeom>
                              <a:noFill/>
                              <a:ln>
                                <a:noFill/>
                              </a:ln>
                            </wps:spPr>
                            <wps:txbx>
                              <w:txbxContent>
                                <w:p w14:paraId="796E3E9A">
                                  <w:pPr>
                                    <w:jc w:val="center"/>
                                    <w:rPr>
                                      <w:rFonts w:hint="default" w:eastAsia="宋体"/>
                                      <w:lang w:val="en-US" w:eastAsia="zh-CN"/>
                                    </w:rPr>
                                  </w:pPr>
                                  <w:r>
                                    <w:rPr>
                                      <w:rFonts w:hint="eastAsia"/>
                                      <w:lang w:val="en-US" w:eastAsia="zh-CN"/>
                                    </w:rPr>
                                    <w:t>504</w:t>
                                  </w:r>
                                </w:p>
                              </w:txbxContent>
                            </wps:txbx>
                            <wps:bodyPr upright="1"/>
                          </wps:wsp>
                        </a:graphicData>
                      </a:graphic>
                    </wp:anchor>
                  </w:drawing>
                </mc:Choice>
                <mc:Fallback>
                  <w:pict>
                    <v:shape id="_x0000_s1026" o:spid="_x0000_s1026" o:spt="202" type="#_x0000_t202" style="position:absolute;left:0pt;margin-left:84.5pt;margin-top:80.5pt;height:17.5pt;width:46.2pt;z-index:251718656;mso-width-relative:page;mso-height-relative:page;" filled="f" stroked="f" coordsize="21600,21600" o:gfxdata="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PUP0n1QAAAAsB&#10;AAAPAAAAAAAAAAEAIAAAACIAAABkcnMvZG93bnJldi54bWxQSwECFAAUAAAACACHTuJAR5LYcqwB&#10;AABNAwAADgAAAAAAAAABACAAAAAkAQAAZHJzL2Uyb0RvYy54bWxQSwUGAAAAAAYABgBZAQAAQgUA&#10;AAAA&#10;">
                      <v:fill on="f" focussize="0,0"/>
                      <v:stroke on="f"/>
                      <v:imagedata o:title=""/>
                      <o:lock v:ext="edit" aspectratio="f"/>
                      <v:textbox>
                        <w:txbxContent>
                          <w:p w14:paraId="796E3E9A">
                            <w:pPr>
                              <w:jc w:val="center"/>
                              <w:rPr>
                                <w:rFonts w:hint="default" w:eastAsia="宋体"/>
                                <w:lang w:val="en-US" w:eastAsia="zh-CN"/>
                              </w:rPr>
                            </w:pPr>
                            <w:r>
                              <w:rPr>
                                <w:rFonts w:hint="eastAsia"/>
                                <w:lang w:val="en-US" w:eastAsia="zh-CN"/>
                              </w:rPr>
                              <w:t>504</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6608" behindDoc="0" locked="0" layoutInCell="1" allowOverlap="1">
                      <wp:simplePos x="0" y="0"/>
                      <wp:positionH relativeFrom="column">
                        <wp:posOffset>2237105</wp:posOffset>
                      </wp:positionH>
                      <wp:positionV relativeFrom="paragraph">
                        <wp:posOffset>1527175</wp:posOffset>
                      </wp:positionV>
                      <wp:extent cx="781050" cy="28702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781050" cy="287020"/>
                              </a:xfrm>
                              <a:prstGeom prst="rect">
                                <a:avLst/>
                              </a:prstGeom>
                              <a:noFill/>
                              <a:ln>
                                <a:noFill/>
                              </a:ln>
                            </wps:spPr>
                            <wps:txbx>
                              <w:txbxContent>
                                <w:p w14:paraId="75B4FFA8">
                                  <w:pPr>
                                    <w:jc w:val="center"/>
                                    <w:rPr>
                                      <w:rFonts w:hint="default" w:eastAsia="宋体"/>
                                      <w:lang w:val="en-US" w:eastAsia="zh-CN"/>
                                    </w:rPr>
                                  </w:pPr>
                                  <w:r>
                                    <w:rPr>
                                      <w:rFonts w:hint="eastAsia"/>
                                    </w:rPr>
                                    <w:t>消耗</w:t>
                                  </w:r>
                                  <w:r>
                                    <w:rPr>
                                      <w:rFonts w:hint="eastAsia"/>
                                      <w:lang w:val="en-US" w:eastAsia="zh-CN"/>
                                    </w:rPr>
                                    <w:t>432</w:t>
                                  </w:r>
                                </w:p>
                              </w:txbxContent>
                            </wps:txbx>
                            <wps:bodyPr upright="1"/>
                          </wps:wsp>
                        </a:graphicData>
                      </a:graphic>
                    </wp:anchor>
                  </w:drawing>
                </mc:Choice>
                <mc:Fallback>
                  <w:pict>
                    <v:shape id="_x0000_s1026" o:spid="_x0000_s1026" o:spt="202" type="#_x0000_t202" style="position:absolute;left:0pt;margin-left:176.15pt;margin-top:120.25pt;height:22.6pt;width:61.5pt;z-index:251716608;mso-width-relative:page;mso-height-relative:page;" filled="f" stroked="f" coordsize="21600,21600" o:gfxdata="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VyjyvNgA&#10;AAALAQAADwAAAAAAAAABACAAAAAiAAAAZHJzL2Rvd25yZXYueG1sUEsBAhQAFAAAAAgAh07iQAPK&#10;j3CtAQAATwMAAA4AAAAAAAAAAQAgAAAAJwEAAGRycy9lMm9Eb2MueG1sUEsFBgAAAAAGAAYAWQEA&#10;AEYFAAAAAA==&#10;">
                      <v:fill on="f" focussize="0,0"/>
                      <v:stroke on="f"/>
                      <v:imagedata o:title=""/>
                      <o:lock v:ext="edit" aspectratio="f"/>
                      <v:textbox>
                        <w:txbxContent>
                          <w:p w14:paraId="75B4FFA8">
                            <w:pPr>
                              <w:jc w:val="center"/>
                              <w:rPr>
                                <w:rFonts w:hint="default" w:eastAsia="宋体"/>
                                <w:lang w:val="en-US" w:eastAsia="zh-CN"/>
                              </w:rPr>
                            </w:pPr>
                            <w:r>
                              <w:rPr>
                                <w:rFonts w:hint="eastAsia"/>
                              </w:rPr>
                              <w:t>消耗</w:t>
                            </w:r>
                            <w:r>
                              <w:rPr>
                                <w:rFonts w:hint="eastAsia"/>
                                <w:lang w:val="en-US" w:eastAsia="zh-CN"/>
                              </w:rPr>
                              <w:t>432</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8176" behindDoc="0" locked="0" layoutInCell="1" allowOverlap="1">
                      <wp:simplePos x="0" y="0"/>
                      <wp:positionH relativeFrom="column">
                        <wp:posOffset>1096645</wp:posOffset>
                      </wp:positionH>
                      <wp:positionV relativeFrom="paragraph">
                        <wp:posOffset>458470</wp:posOffset>
                      </wp:positionV>
                      <wp:extent cx="588645" cy="16891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588645" cy="168910"/>
                              </a:xfrm>
                              <a:prstGeom prst="rect">
                                <a:avLst/>
                              </a:prstGeom>
                              <a:noFill/>
                              <a:ln>
                                <a:noFill/>
                              </a:ln>
                            </wps:spPr>
                            <wps:txbx>
                              <w:txbxContent>
                                <w:p w14:paraId="3152A0BB">
                                  <w:pPr>
                                    <w:jc w:val="center"/>
                                    <w:rPr>
                                      <w:rFonts w:hint="default" w:eastAsia="宋体"/>
                                      <w:lang w:val="en-US" w:eastAsia="zh-CN"/>
                                    </w:rPr>
                                  </w:pPr>
                                  <w:r>
                                    <w:rPr>
                                      <w:rFonts w:hint="eastAsia"/>
                                      <w:lang w:val="en-US" w:eastAsia="zh-CN"/>
                                    </w:rPr>
                                    <w:t>270</w:t>
                                  </w:r>
                                </w:p>
                              </w:txbxContent>
                            </wps:txbx>
                            <wps:bodyPr lIns="18000" tIns="7200" rIns="18000" bIns="7200" upright="1"/>
                          </wps:wsp>
                        </a:graphicData>
                      </a:graphic>
                    </wp:anchor>
                  </w:drawing>
                </mc:Choice>
                <mc:Fallback>
                  <w:pict>
                    <v:shape id="_x0000_s1026" o:spid="_x0000_s1026" o:spt="202" type="#_x0000_t202" style="position:absolute;left:0pt;margin-left:86.35pt;margin-top:36.1pt;height:13.3pt;width:46.35pt;z-index:251698176;mso-width-relative:page;mso-height-relative:page;" filled="f" stroked="f" coordsize="21600,21600" o:gfxdata="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UpCvbZAAAACQEAAA8AAAAAAAAAAQAgAAAAIgAAAGRycy9kb3du&#10;cmV2LnhtbFBLAQIUABQAAAAIAIdO4kDLlhuVxQEAAIEDAAAOAAAAAAAAAAEAIAAAACgBAABkcnMv&#10;ZTJvRG9jLnhtbFBLBQYAAAAABgAGAFkBAABfBQAAAAA=&#10;">
                      <v:fill on="f" focussize="0,0"/>
                      <v:stroke on="f"/>
                      <v:imagedata o:title=""/>
                      <o:lock v:ext="edit" aspectratio="f"/>
                      <v:textbox inset="0.5mm,0.2mm,0.5mm,0.2mm">
                        <w:txbxContent>
                          <w:p w14:paraId="3152A0BB">
                            <w:pPr>
                              <w:jc w:val="center"/>
                              <w:rPr>
                                <w:rFonts w:hint="default" w:eastAsia="宋体"/>
                                <w:lang w:val="en-US" w:eastAsia="zh-CN"/>
                              </w:rPr>
                            </w:pPr>
                            <w:r>
                              <w:rPr>
                                <w:rFonts w:hint="eastAsia"/>
                                <w:lang w:val="en-US" w:eastAsia="zh-CN"/>
                              </w:rPr>
                              <w:t>270</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5104" behindDoc="0" locked="0" layoutInCell="1" allowOverlap="1">
                      <wp:simplePos x="0" y="0"/>
                      <wp:positionH relativeFrom="column">
                        <wp:posOffset>1059180</wp:posOffset>
                      </wp:positionH>
                      <wp:positionV relativeFrom="paragraph">
                        <wp:posOffset>626745</wp:posOffset>
                      </wp:positionV>
                      <wp:extent cx="618490" cy="3810"/>
                      <wp:effectExtent l="0" t="45720" r="10160" b="64770"/>
                      <wp:wrapNone/>
                      <wp:docPr id="47" name="直接连接符 47"/>
                      <wp:cNvGraphicFramePr/>
                      <a:graphic xmlns:a="http://schemas.openxmlformats.org/drawingml/2006/main">
                        <a:graphicData uri="http://schemas.microsoft.com/office/word/2010/wordprocessingShape">
                          <wps:wsp>
                            <wps:cNvCnPr/>
                            <wps:spPr>
                              <a:xfrm>
                                <a:off x="0" y="0"/>
                                <a:ext cx="618490" cy="381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margin-left:83.4pt;margin-top:49.35pt;height:0.3pt;width:48.7pt;z-index:251695104;mso-width-relative:page;mso-height-relative:page;" filled="f" stroked="t" coordsize="21600,21600" o:gfxdata="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HUmpE2QAAAAkBAAAPAAAAAAAAAAEAIAAAACIAAABk&#10;cnMvZG93bnJldi54bWxQSwECFAAUAAAACACHTuJAddAn6AUCAADzAwAADgAAAAAAAAABACAAAAAo&#10;AQAAZHJzL2Uyb0RvYy54bWxQSwUGAAAAAAYABgBZAQAAnwU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2512" behindDoc="0" locked="0" layoutInCell="1" allowOverlap="1">
                      <wp:simplePos x="0" y="0"/>
                      <wp:positionH relativeFrom="column">
                        <wp:posOffset>1071245</wp:posOffset>
                      </wp:positionH>
                      <wp:positionV relativeFrom="paragraph">
                        <wp:posOffset>1943100</wp:posOffset>
                      </wp:positionV>
                      <wp:extent cx="618490" cy="3810"/>
                      <wp:effectExtent l="0" t="45720" r="10160" b="64770"/>
                      <wp:wrapNone/>
                      <wp:docPr id="53" name="直接连接符 53"/>
                      <wp:cNvGraphicFramePr/>
                      <a:graphic xmlns:a="http://schemas.openxmlformats.org/drawingml/2006/main">
                        <a:graphicData uri="http://schemas.microsoft.com/office/word/2010/wordprocessingShape">
                          <wps:wsp>
                            <wps:cNvCnPr/>
                            <wps:spPr>
                              <a:xfrm>
                                <a:off x="0" y="0"/>
                                <a:ext cx="618490" cy="381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margin-left:84.35pt;margin-top:153pt;height:0.3pt;width:48.7pt;z-index:251712512;mso-width-relative:page;mso-height-relative:page;" filled="f" stroked="t" coordsize="21600,21600" o:gfxdata="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EyBY62QAAAAsBAAAPAAAAAAAAAAEAIAAAACIAAABk&#10;cnMvZG93bnJldi54bWxQSwECFAAUAAAACACHTuJAnKKlaQUCAADzAwAADgAAAAAAAAABACAAAAAo&#10;AQAAZHJzL2Uyb0RvYy54bWxQSwUGAAAAAAYABgBZAQAAnwU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4560" behindDoc="0" locked="0" layoutInCell="1" allowOverlap="1">
                      <wp:simplePos x="0" y="0"/>
                      <wp:positionH relativeFrom="column">
                        <wp:posOffset>1691640</wp:posOffset>
                      </wp:positionH>
                      <wp:positionV relativeFrom="paragraph">
                        <wp:posOffset>1851025</wp:posOffset>
                      </wp:positionV>
                      <wp:extent cx="1042035" cy="196850"/>
                      <wp:effectExtent l="4445" t="4445" r="20320" b="8255"/>
                      <wp:wrapNone/>
                      <wp:docPr id="51" name="文本框 51"/>
                      <wp:cNvGraphicFramePr/>
                      <a:graphic xmlns:a="http://schemas.openxmlformats.org/drawingml/2006/main">
                        <a:graphicData uri="http://schemas.microsoft.com/office/word/2010/wordprocessingShape">
                          <wps:wsp>
                            <wps:cNvSpPr txBox="1"/>
                            <wps:spPr>
                              <a:xfrm>
                                <a:off x="0" y="0"/>
                                <a:ext cx="1042035" cy="196850"/>
                              </a:xfrm>
                              <a:prstGeom prst="rect">
                                <a:avLst/>
                              </a:prstGeom>
                              <a:noFill/>
                              <a:ln w="9525" cap="flat" cmpd="sng">
                                <a:solidFill>
                                  <a:srgbClr val="000000"/>
                                </a:solidFill>
                                <a:prstDash val="solid"/>
                                <a:miter/>
                                <a:headEnd type="none" w="med" len="med"/>
                                <a:tailEnd type="none" w="med" len="med"/>
                              </a:ln>
                            </wps:spPr>
                            <wps:txbx>
                              <w:txbxContent>
                                <w:p w14:paraId="732C9BF7">
                                  <w:pPr>
                                    <w:jc w:val="center"/>
                                    <w:rPr>
                                      <w:rFonts w:hint="default" w:ascii="Times New Roman" w:hAnsi="Times New Roman" w:eastAsia="宋体" w:cs="Times New Roman"/>
                                      <w:lang w:val="en-US" w:eastAsia="zh-CN"/>
                                    </w:rPr>
                                  </w:pPr>
                                  <w:r>
                                    <w:rPr>
                                      <w:rFonts w:hint="eastAsia" w:ascii="Times New Roman" w:hAnsi="Times New Roman" w:eastAsia="宋体" w:cs="Times New Roman"/>
                                      <w:color w:val="auto"/>
                                      <w:sz w:val="21"/>
                                      <w:szCs w:val="21"/>
                                      <w:lang w:val="en-US" w:eastAsia="zh-CN"/>
                                    </w:rPr>
                                    <w:t>路面抑尘用水</w:t>
                                  </w:r>
                                </w:p>
                              </w:txbxContent>
                            </wps:txbx>
                            <wps:bodyPr lIns="18000" tIns="7200" rIns="18000" bIns="7200" upright="1"/>
                          </wps:wsp>
                        </a:graphicData>
                      </a:graphic>
                    </wp:anchor>
                  </w:drawing>
                </mc:Choice>
                <mc:Fallback>
                  <w:pict>
                    <v:shape id="_x0000_s1026" o:spid="_x0000_s1026" o:spt="202" type="#_x0000_t202" style="position:absolute;left:0pt;margin-left:133.2pt;margin-top:145.75pt;height:15.5pt;width:82.05pt;z-index:251714560;mso-width-relative:page;mso-height-relative:page;" filled="f" stroked="t" coordsize="21600,21600" o:gfxdata="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BLzt2na&#10;AAAACwEAAA8AAAAAAAAAAQAgAAAAIgAAAGRycy9kb3ducmV2LnhtbFBLAQIUABQAAAAIAIdO4kDp&#10;GfWYHgIAAEEEAAAOAAAAAAAAAAEAIAAAACkBAABkcnMvZTJvRG9jLnhtbFBLBQYAAAAABgAGAFkB&#10;AAC5BQAAAAA=&#10;">
                      <v:fill on="f" focussize="0,0"/>
                      <v:stroke color="#000000" joinstyle="miter"/>
                      <v:imagedata o:title=""/>
                      <o:lock v:ext="edit" aspectratio="f"/>
                      <v:textbox inset="0.5mm,0.2mm,0.5mm,0.2mm">
                        <w:txbxContent>
                          <w:p w14:paraId="732C9BF7">
                            <w:pPr>
                              <w:jc w:val="center"/>
                              <w:rPr>
                                <w:rFonts w:hint="default" w:ascii="Times New Roman" w:hAnsi="Times New Roman" w:eastAsia="宋体" w:cs="Times New Roman"/>
                                <w:lang w:val="en-US" w:eastAsia="zh-CN"/>
                              </w:rPr>
                            </w:pPr>
                            <w:r>
                              <w:rPr>
                                <w:rFonts w:hint="eastAsia" w:ascii="Times New Roman" w:hAnsi="Times New Roman" w:eastAsia="宋体" w:cs="Times New Roman"/>
                                <w:color w:val="auto"/>
                                <w:sz w:val="21"/>
                                <w:szCs w:val="21"/>
                                <w:lang w:val="en-US" w:eastAsia="zh-CN"/>
                              </w:rPr>
                              <w:t>路面抑尘用水</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5824" behindDoc="0" locked="0" layoutInCell="1" allowOverlap="1">
                      <wp:simplePos x="0" y="0"/>
                      <wp:positionH relativeFrom="column">
                        <wp:posOffset>2042160</wp:posOffset>
                      </wp:positionH>
                      <wp:positionV relativeFrom="paragraph">
                        <wp:posOffset>1331595</wp:posOffset>
                      </wp:positionV>
                      <wp:extent cx="635" cy="172085"/>
                      <wp:effectExtent l="48895" t="0" r="64770" b="18415"/>
                      <wp:wrapNone/>
                      <wp:docPr id="55" name="直接连接符 55"/>
                      <wp:cNvGraphicFramePr/>
                      <a:graphic xmlns:a="http://schemas.openxmlformats.org/drawingml/2006/main">
                        <a:graphicData uri="http://schemas.microsoft.com/office/word/2010/wordprocessingShape">
                          <wps:wsp>
                            <wps:cNvCnPr/>
                            <wps:spPr>
                              <a:xfrm flipV="1">
                                <a:off x="0" y="0"/>
                                <a:ext cx="635" cy="17208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y;margin-left:160.8pt;margin-top:104.85pt;height:13.55pt;width:0.05pt;z-index:251725824;mso-width-relative:page;mso-height-relative:page;" filled="f" stroked="t" coordsize="21600,21600" o:gfxdata="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qbJEI2QAAAAsBAAAPAAAAAAAAAAEAIAAAACIAAABk&#10;cnMvZG93bnJldi54bWxQSwECFAAUAAAACACHTuJAKLCj8wUCAADyAwAADgAAAAAAAAABACAAAAAo&#10;AQAAZHJzL2Uyb0RvYy54bWxQSwUGAAAAAAYABgBZAQAAnwU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4800" behindDoc="0" locked="0" layoutInCell="1" allowOverlap="1">
                      <wp:simplePos x="0" y="0"/>
                      <wp:positionH relativeFrom="column">
                        <wp:posOffset>2042795</wp:posOffset>
                      </wp:positionH>
                      <wp:positionV relativeFrom="paragraph">
                        <wp:posOffset>1499235</wp:posOffset>
                      </wp:positionV>
                      <wp:extent cx="1019175" cy="635"/>
                      <wp:effectExtent l="0" t="48260" r="9525" b="65405"/>
                      <wp:wrapNone/>
                      <wp:docPr id="48" name="直接连接符 48"/>
                      <wp:cNvGraphicFramePr/>
                      <a:graphic xmlns:a="http://schemas.openxmlformats.org/drawingml/2006/main">
                        <a:graphicData uri="http://schemas.microsoft.com/office/word/2010/wordprocessingShape">
                          <wps:wsp>
                            <wps:cNvCnPr/>
                            <wps:spPr>
                              <a:xfrm flipH="1">
                                <a:off x="0" y="0"/>
                                <a:ext cx="1019175"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160.85pt;margin-top:118.05pt;height:0.05pt;width:80.25pt;z-index:251724800;mso-width-relative:page;mso-height-relative:page;" filled="f" stroked="t" coordsize="21600,21600" o:gfxdata="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pRwbZAAAACwEAAA8AAAAAAAAAAQAgAAAAIgAAAGRy&#10;cy9kb3ducmV2LnhtbFBLAQIUABQAAAAIAIdO4kAXQgRhBAIAAPMDAAAOAAAAAAAAAAEAIAAAACgB&#10;AABkcnMvZTJvRG9jLnhtbFBLBQYAAAAABgAGAFkBAACeBQ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3776" behindDoc="0" locked="0" layoutInCell="1" allowOverlap="1">
                      <wp:simplePos x="0" y="0"/>
                      <wp:positionH relativeFrom="column">
                        <wp:posOffset>3070225</wp:posOffset>
                      </wp:positionH>
                      <wp:positionV relativeFrom="paragraph">
                        <wp:posOffset>1346835</wp:posOffset>
                      </wp:positionV>
                      <wp:extent cx="635" cy="152400"/>
                      <wp:effectExtent l="48895" t="0" r="64770" b="0"/>
                      <wp:wrapNone/>
                      <wp:docPr id="45" name="直接连接符 45"/>
                      <wp:cNvGraphicFramePr/>
                      <a:graphic xmlns:a="http://schemas.openxmlformats.org/drawingml/2006/main">
                        <a:graphicData uri="http://schemas.microsoft.com/office/word/2010/wordprocessingShape">
                          <wps:wsp>
                            <wps:cNvCnPr/>
                            <wps:spPr>
                              <a:xfrm>
                                <a:off x="0" y="0"/>
                                <a:ext cx="635" cy="15240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41.75pt;margin-top:106.05pt;height:12pt;width:0.05pt;z-index:251723776;mso-width-relative:page;mso-height-relative:page;" filled="f" stroked="t" coordsize="21600,21600" o:gfxdata="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FWVFzaAAAACwEAAA8AAAAAAAAAAQAgAAAAIgAAAGRycy9kb3du&#10;cmV2LnhtbFBLAQIUABQAAAAIAIdO4kCZdxQg/QEAAOgDAAAOAAAAAAAAAAEAIAAAACkBAABkcnMv&#10;ZTJvRG9jLnhtbFBLBQYAAAAABgAGAFkBAACYBQ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7872" behindDoc="0" locked="0" layoutInCell="1" allowOverlap="1">
                      <wp:simplePos x="0" y="0"/>
                      <wp:positionH relativeFrom="column">
                        <wp:posOffset>2664460</wp:posOffset>
                      </wp:positionH>
                      <wp:positionV relativeFrom="paragraph">
                        <wp:posOffset>1147445</wp:posOffset>
                      </wp:positionV>
                      <wp:extent cx="880110" cy="196850"/>
                      <wp:effectExtent l="4445" t="4445" r="10795" b="8255"/>
                      <wp:wrapNone/>
                      <wp:docPr id="54" name="文本框 54"/>
                      <wp:cNvGraphicFramePr/>
                      <a:graphic xmlns:a="http://schemas.openxmlformats.org/drawingml/2006/main">
                        <a:graphicData uri="http://schemas.microsoft.com/office/word/2010/wordprocessingShape">
                          <wps:wsp>
                            <wps:cNvSpPr txBox="1"/>
                            <wps:spPr>
                              <a:xfrm>
                                <a:off x="0" y="0"/>
                                <a:ext cx="880110" cy="196850"/>
                              </a:xfrm>
                              <a:prstGeom prst="rect">
                                <a:avLst/>
                              </a:prstGeom>
                              <a:noFill/>
                              <a:ln w="9525" cap="flat" cmpd="sng">
                                <a:solidFill>
                                  <a:srgbClr val="000000"/>
                                </a:solidFill>
                                <a:prstDash val="solid"/>
                                <a:miter/>
                                <a:headEnd type="none" w="med" len="med"/>
                                <a:tailEnd type="none" w="med" len="med"/>
                              </a:ln>
                            </wps:spPr>
                            <wps:txbx>
                              <w:txbxContent>
                                <w:p w14:paraId="23DD3E4C">
                                  <w:pPr>
                                    <w:jc w:val="center"/>
                                    <w:rPr>
                                      <w:rFonts w:hint="default" w:ascii="Times New Roman" w:hAnsi="Times New Roman" w:eastAsia="宋体" w:cs="Times New Roman"/>
                                      <w:lang w:val="en-US" w:eastAsia="zh-CN"/>
                                    </w:rPr>
                                  </w:pPr>
                                  <w:r>
                                    <w:rPr>
                                      <w:rFonts w:hint="eastAsia" w:cs="Times New Roman"/>
                                      <w:lang w:val="en-US" w:eastAsia="zh-CN"/>
                                    </w:rPr>
                                    <w:t>冷却循环系统</w:t>
                                  </w:r>
                                </w:p>
                              </w:txbxContent>
                            </wps:txbx>
                            <wps:bodyPr lIns="18000" tIns="7200" rIns="18000" bIns="7200" upright="1"/>
                          </wps:wsp>
                        </a:graphicData>
                      </a:graphic>
                    </wp:anchor>
                  </w:drawing>
                </mc:Choice>
                <mc:Fallback>
                  <w:pict>
                    <v:shape id="_x0000_s1026" o:spid="_x0000_s1026" o:spt="202" type="#_x0000_t202" style="position:absolute;left:0pt;margin-left:209.8pt;margin-top:90.35pt;height:15.5pt;width:69.3pt;z-index:251727872;mso-width-relative:page;mso-height-relative:page;" filled="f" stroked="t" coordsize="21600,21600" o:gfxdata="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rJpAItoA&#10;AAALAQAADwAAAAAAAAABACAAAAAiAAAAZHJzL2Rvd25yZXYueG1sUEsBAhQAFAAAAAgAh07iQN1A&#10;upkdAgAAQAQAAA4AAAAAAAAAAQAgAAAAKQEAAGRycy9lMm9Eb2MueG1sUEsFBgAAAAAGAAYAWQEA&#10;ALgFAAAAAA==&#10;">
                      <v:fill on="f" focussize="0,0"/>
                      <v:stroke color="#000000" joinstyle="miter"/>
                      <v:imagedata o:title=""/>
                      <o:lock v:ext="edit" aspectratio="f"/>
                      <v:textbox inset="0.5mm,0.2mm,0.5mm,0.2mm">
                        <w:txbxContent>
                          <w:p w14:paraId="23DD3E4C">
                            <w:pPr>
                              <w:jc w:val="center"/>
                              <w:rPr>
                                <w:rFonts w:hint="default" w:ascii="Times New Roman" w:hAnsi="Times New Roman" w:eastAsia="宋体" w:cs="Times New Roman"/>
                                <w:lang w:val="en-US" w:eastAsia="zh-CN"/>
                              </w:rPr>
                            </w:pPr>
                            <w:r>
                              <w:rPr>
                                <w:rFonts w:hint="eastAsia" w:cs="Times New Roman"/>
                                <w:lang w:val="en-US" w:eastAsia="zh-CN"/>
                              </w:rPr>
                              <w:t>冷却循环系统</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2752" behindDoc="0" locked="0" layoutInCell="1" allowOverlap="1">
                      <wp:simplePos x="0" y="0"/>
                      <wp:positionH relativeFrom="column">
                        <wp:posOffset>2442845</wp:posOffset>
                      </wp:positionH>
                      <wp:positionV relativeFrom="paragraph">
                        <wp:posOffset>1245235</wp:posOffset>
                      </wp:positionV>
                      <wp:extent cx="222250" cy="635"/>
                      <wp:effectExtent l="0" t="48895" r="6350" b="64770"/>
                      <wp:wrapNone/>
                      <wp:docPr id="44" name="直接连接符 44"/>
                      <wp:cNvGraphicFramePr/>
                      <a:graphic xmlns:a="http://schemas.openxmlformats.org/drawingml/2006/main">
                        <a:graphicData uri="http://schemas.microsoft.com/office/word/2010/wordprocessingShape">
                          <wps:wsp>
                            <wps:cNvCnPr/>
                            <wps:spPr>
                              <a:xfrm>
                                <a:off x="0" y="0"/>
                                <a:ext cx="222250"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192.35pt;margin-top:98.05pt;height:0.05pt;width:17.5pt;z-index:251722752;mso-width-relative:page;mso-height-relative:page;" filled="f" stroked="t" coordsize="21600,21600" o:gfxdata="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LYDCLaAAAACwEAAA8AAAAAAAAAAQAgAAAAIgAAAGRycy9kb3ducmV2&#10;LnhtbFBLAQIUABQAAAAIAIdO4kBFzJz++gEAAOgDAAAOAAAAAAAAAAEAIAAAACkBAABkcnMvZTJv&#10;RG9jLnhtbFBLBQYAAAAABgAGAFkBAACVBQ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5584" behindDoc="0" locked="0" layoutInCell="1" allowOverlap="1">
                      <wp:simplePos x="0" y="0"/>
                      <wp:positionH relativeFrom="column">
                        <wp:posOffset>2198370</wp:posOffset>
                      </wp:positionH>
                      <wp:positionV relativeFrom="paragraph">
                        <wp:posOffset>1696085</wp:posOffset>
                      </wp:positionV>
                      <wp:extent cx="119380" cy="148590"/>
                      <wp:effectExtent l="3810" t="0" r="10160" b="3810"/>
                      <wp:wrapNone/>
                      <wp:docPr id="43" name="直接箭头连接符 43"/>
                      <wp:cNvGraphicFramePr/>
                      <a:graphic xmlns:a="http://schemas.openxmlformats.org/drawingml/2006/main">
                        <a:graphicData uri="http://schemas.microsoft.com/office/word/2010/wordprocessingShape">
                          <wps:wsp>
                            <wps:cNvCnPr/>
                            <wps:spPr>
                              <a:xfrm flipV="1">
                                <a:off x="0" y="0"/>
                                <a:ext cx="119380" cy="148590"/>
                              </a:xfrm>
                              <a:prstGeom prst="straightConnector1">
                                <a:avLst/>
                              </a:prstGeom>
                              <a:ln w="9525" cap="flat" cmpd="sng">
                                <a:solidFill>
                                  <a:srgbClr val="000000"/>
                                </a:solidFill>
                                <a:prstDash val="dash"/>
                                <a:round/>
                                <a:headEnd type="none" w="med" len="med"/>
                                <a:tailEnd type="arrow" w="med" len="med"/>
                              </a:ln>
                            </wps:spPr>
                            <wps:bodyPr/>
                          </wps:wsp>
                        </a:graphicData>
                      </a:graphic>
                    </wp:anchor>
                  </w:drawing>
                </mc:Choice>
                <mc:Fallback>
                  <w:pict>
                    <v:shape id="_x0000_s1026" o:spid="_x0000_s1026" o:spt="32" type="#_x0000_t32" style="position:absolute;left:0pt;flip:y;margin-left:173.1pt;margin-top:133.55pt;height:11.7pt;width:9.4pt;z-index:251715584;mso-width-relative:page;mso-height-relative:page;" filled="f" stroked="t" coordsize="21600,21600" o:gfxdata="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JHQsi2QAAAAsBAAAP&#10;AAAAAAAAAAEAIAAAACIAAABkcnMvZG93bnJldi54bWxQSwECFAAUAAAACACHTuJACGa6hBcCAAAG&#10;BAAADgAAAAAAAAABACAAAAAoAQAAZHJzL2Uyb0RvYy54bWxQSwUGAAAAAAYABgBZAQAAsQUAAAAA&#10;">
                      <v:fill on="f" focussize="0,0"/>
                      <v:stroke color="#000000" joinstyle="round" dashstyle="dash" endarrow="open"/>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9680" behindDoc="0" locked="0" layoutInCell="1" allowOverlap="1">
                      <wp:simplePos x="0" y="0"/>
                      <wp:positionH relativeFrom="column">
                        <wp:posOffset>1680210</wp:posOffset>
                      </wp:positionH>
                      <wp:positionV relativeFrom="paragraph">
                        <wp:posOffset>1135380</wp:posOffset>
                      </wp:positionV>
                      <wp:extent cx="751840" cy="196850"/>
                      <wp:effectExtent l="4445" t="4445" r="5715" b="8255"/>
                      <wp:wrapNone/>
                      <wp:docPr id="46" name="文本框 46"/>
                      <wp:cNvGraphicFramePr/>
                      <a:graphic xmlns:a="http://schemas.openxmlformats.org/drawingml/2006/main">
                        <a:graphicData uri="http://schemas.microsoft.com/office/word/2010/wordprocessingShape">
                          <wps:wsp>
                            <wps:cNvSpPr txBox="1"/>
                            <wps:spPr>
                              <a:xfrm>
                                <a:off x="0" y="0"/>
                                <a:ext cx="751840" cy="196850"/>
                              </a:xfrm>
                              <a:prstGeom prst="rect">
                                <a:avLst/>
                              </a:prstGeom>
                              <a:noFill/>
                              <a:ln w="9525" cap="flat" cmpd="sng">
                                <a:solidFill>
                                  <a:srgbClr val="000000"/>
                                </a:solidFill>
                                <a:prstDash val="solid"/>
                                <a:miter/>
                                <a:headEnd type="none" w="med" len="med"/>
                                <a:tailEnd type="none" w="med" len="med"/>
                              </a:ln>
                            </wps:spPr>
                            <wps:txbx>
                              <w:txbxContent>
                                <w:p w14:paraId="6BFBBE1B">
                                  <w:pPr>
                                    <w:jc w:val="center"/>
                                    <w:rPr>
                                      <w:rFonts w:hint="eastAsia" w:ascii="Times New Roman" w:hAnsi="Times New Roman" w:eastAsia="宋体" w:cs="Times New Roman"/>
                                      <w:lang w:val="en-US" w:eastAsia="zh-CN"/>
                                    </w:rPr>
                                  </w:pPr>
                                  <w:r>
                                    <w:rPr>
                                      <w:rFonts w:hint="eastAsia" w:cs="Times New Roman"/>
                                      <w:color w:val="auto"/>
                                      <w:sz w:val="21"/>
                                      <w:szCs w:val="21"/>
                                      <w:lang w:val="en-US" w:eastAsia="zh-CN"/>
                                    </w:rPr>
                                    <w:t>冷却</w:t>
                                  </w:r>
                                  <w:r>
                                    <w:rPr>
                                      <w:rFonts w:hint="default" w:ascii="Times New Roman" w:hAnsi="Times New Roman" w:eastAsia="宋体" w:cs="Times New Roman"/>
                                      <w:color w:val="auto"/>
                                      <w:sz w:val="21"/>
                                      <w:szCs w:val="21"/>
                                      <w:lang w:val="en-US" w:eastAsia="zh-CN"/>
                                    </w:rPr>
                                    <w:t>用水</w:t>
                                  </w:r>
                                </w:p>
                              </w:txbxContent>
                            </wps:txbx>
                            <wps:bodyPr lIns="18000" tIns="7200" rIns="18000" bIns="7200" upright="1"/>
                          </wps:wsp>
                        </a:graphicData>
                      </a:graphic>
                    </wp:anchor>
                  </w:drawing>
                </mc:Choice>
                <mc:Fallback>
                  <w:pict>
                    <v:shape id="_x0000_s1026" o:spid="_x0000_s1026" o:spt="202" type="#_x0000_t202" style="position:absolute;left:0pt;margin-left:132.3pt;margin-top:89.4pt;height:15.5pt;width:59.2pt;z-index:251719680;mso-width-relative:page;mso-height-relative:page;" filled="f" stroked="t" coordsize="21600,21600" o:gfxdata="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MUylA9kA&#10;AAALAQAADwAAAAAAAAABACAAAAAiAAAAZHJzL2Rvd25yZXYueG1sUEsBAhQAFAAAAAgAh07iQL9s&#10;lLEeAgAAQAQAAA4AAAAAAAAAAQAgAAAAKAEAAGRycy9lMm9Eb2MueG1sUEsFBgAAAAAGAAYAWQEA&#10;ALgFAAAAAA==&#10;">
                      <v:fill on="f" focussize="0,0"/>
                      <v:stroke color="#000000" joinstyle="miter"/>
                      <v:imagedata o:title=""/>
                      <o:lock v:ext="edit" aspectratio="f"/>
                      <v:textbox inset="0.5mm,0.2mm,0.5mm,0.2mm">
                        <w:txbxContent>
                          <w:p w14:paraId="6BFBBE1B">
                            <w:pPr>
                              <w:jc w:val="center"/>
                              <w:rPr>
                                <w:rFonts w:hint="eastAsia" w:ascii="Times New Roman" w:hAnsi="Times New Roman" w:eastAsia="宋体" w:cs="Times New Roman"/>
                                <w:lang w:val="en-US" w:eastAsia="zh-CN"/>
                              </w:rPr>
                            </w:pPr>
                            <w:r>
                              <w:rPr>
                                <w:rFonts w:hint="eastAsia" w:cs="Times New Roman"/>
                                <w:color w:val="auto"/>
                                <w:sz w:val="21"/>
                                <w:szCs w:val="21"/>
                                <w:lang w:val="en-US" w:eastAsia="zh-CN"/>
                              </w:rPr>
                              <w:t>冷却</w:t>
                            </w:r>
                            <w:r>
                              <w:rPr>
                                <w:rFonts w:hint="default" w:ascii="Times New Roman" w:hAnsi="Times New Roman" w:eastAsia="宋体" w:cs="Times New Roman"/>
                                <w:color w:val="auto"/>
                                <w:sz w:val="21"/>
                                <w:szCs w:val="21"/>
                                <w:lang w:val="en-US" w:eastAsia="zh-CN"/>
                              </w:rPr>
                              <w:t>用水</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20704" behindDoc="0" locked="0" layoutInCell="1" allowOverlap="1">
                      <wp:simplePos x="0" y="0"/>
                      <wp:positionH relativeFrom="column">
                        <wp:posOffset>2013585</wp:posOffset>
                      </wp:positionH>
                      <wp:positionV relativeFrom="paragraph">
                        <wp:posOffset>953135</wp:posOffset>
                      </wp:positionV>
                      <wp:extent cx="232410" cy="176530"/>
                      <wp:effectExtent l="3175" t="0" r="12065" b="13970"/>
                      <wp:wrapNone/>
                      <wp:docPr id="56" name="直接箭头连接符 56"/>
                      <wp:cNvGraphicFramePr/>
                      <a:graphic xmlns:a="http://schemas.openxmlformats.org/drawingml/2006/main">
                        <a:graphicData uri="http://schemas.microsoft.com/office/word/2010/wordprocessingShape">
                          <wps:wsp>
                            <wps:cNvCnPr/>
                            <wps:spPr>
                              <a:xfrm flipV="1">
                                <a:off x="0" y="0"/>
                                <a:ext cx="232410" cy="176530"/>
                              </a:xfrm>
                              <a:prstGeom prst="straightConnector1">
                                <a:avLst/>
                              </a:prstGeom>
                              <a:ln w="9525" cap="flat" cmpd="sng">
                                <a:solidFill>
                                  <a:srgbClr val="000000"/>
                                </a:solidFill>
                                <a:prstDash val="dash"/>
                                <a:round/>
                                <a:headEnd type="none" w="med" len="med"/>
                                <a:tailEnd type="arrow" w="med" len="med"/>
                              </a:ln>
                            </wps:spPr>
                            <wps:bodyPr/>
                          </wps:wsp>
                        </a:graphicData>
                      </a:graphic>
                    </wp:anchor>
                  </w:drawing>
                </mc:Choice>
                <mc:Fallback>
                  <w:pict>
                    <v:shape id="_x0000_s1026" o:spid="_x0000_s1026" o:spt="32" type="#_x0000_t32" style="position:absolute;left:0pt;flip:y;margin-left:158.55pt;margin-top:75.05pt;height:13.9pt;width:18.3pt;z-index:251720704;mso-width-relative:page;mso-height-relative:page;" filled="f" stroked="t" coordsize="21600,21600" o:gfxdata="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KXS1dgAAAALAQAADwAA&#10;AAAAAAABACAAAAAiAAAAZHJzL2Rvd25yZXYueG1sUEsBAhQAFAAAAAgAh07iQOmTycwWAgAABgQA&#10;AA4AAAAAAAAAAQAgAAAAJwEAAGRycy9lMm9Eb2MueG1sUEsFBgAAAAAGAAYAWQEAAK8FAAAAAA==&#10;">
                      <v:fill on="f" focussize="0,0"/>
                      <v:stroke color="#000000" joinstyle="round" dashstyle="dash" endarrow="open"/>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17632" behindDoc="0" locked="0" layoutInCell="1" allowOverlap="1">
                      <wp:simplePos x="0" y="0"/>
                      <wp:positionH relativeFrom="column">
                        <wp:posOffset>1064895</wp:posOffset>
                      </wp:positionH>
                      <wp:positionV relativeFrom="paragraph">
                        <wp:posOffset>1239520</wp:posOffset>
                      </wp:positionV>
                      <wp:extent cx="618490" cy="3810"/>
                      <wp:effectExtent l="0" t="45720" r="10160" b="64770"/>
                      <wp:wrapNone/>
                      <wp:docPr id="49" name="直接连接符 49"/>
                      <wp:cNvGraphicFramePr/>
                      <a:graphic xmlns:a="http://schemas.openxmlformats.org/drawingml/2006/main">
                        <a:graphicData uri="http://schemas.microsoft.com/office/word/2010/wordprocessingShape">
                          <wps:wsp>
                            <wps:cNvCnPr/>
                            <wps:spPr>
                              <a:xfrm>
                                <a:off x="0" y="0"/>
                                <a:ext cx="618490" cy="3810"/>
                              </a:xfrm>
                              <a:prstGeom prst="line">
                                <a:avLst/>
                              </a:prstGeom>
                              <a:ln w="9525" cap="flat" cmpd="sng">
                                <a:solidFill>
                                  <a:srgbClr val="000000"/>
                                </a:solidFill>
                                <a:prstDash val="solid"/>
                                <a:round/>
                                <a:headEnd type="none" w="med" len="med"/>
                                <a:tailEnd type="arrow" w="med" len="med"/>
                              </a:ln>
                            </wps:spPr>
                            <wps:bodyPr upright="1"/>
                          </wps:wsp>
                        </a:graphicData>
                      </a:graphic>
                    </wp:anchor>
                  </w:drawing>
                </mc:Choice>
                <mc:Fallback>
                  <w:pict>
                    <v:line id="_x0000_s1026" o:spid="_x0000_s1026" o:spt="20" style="position:absolute;left:0pt;margin-left:83.85pt;margin-top:97.6pt;height:0.3pt;width:48.7pt;z-index:251717632;mso-width-relative:page;mso-height-relative:page;" filled="f" stroked="t" coordsize="21600,21600" o:gfxdata="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uYxVTdoAAAALAQAADwAAAAAAAAABACAAAAAiAAAA&#10;ZHJzL2Rvd25yZXYueG1sUEsBAhQAFAAAAAgAh07iQDz61/IFAgAA8wMAAA4AAAAAAAAAAQAgAAAA&#10;KQEAAGRycy9lMm9Eb2MueG1sUEsFBgAAAAAGAAYAWQEAAKAFAAAAAA==&#10;">
                      <v:fill on="f" focussize="0,0"/>
                      <v:stroke color="#000000" joinstyle="round" endarrow="open"/>
                      <v:imagedata o:title=""/>
                      <o:lock v:ext="edit" aspectratio="f"/>
                    </v:lin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707392" behindDoc="0" locked="0" layoutInCell="1" allowOverlap="1">
                      <wp:simplePos x="0" y="0"/>
                      <wp:positionH relativeFrom="column">
                        <wp:posOffset>1681480</wp:posOffset>
                      </wp:positionH>
                      <wp:positionV relativeFrom="paragraph">
                        <wp:posOffset>535305</wp:posOffset>
                      </wp:positionV>
                      <wp:extent cx="751840" cy="196850"/>
                      <wp:effectExtent l="4445" t="4445" r="5715" b="8255"/>
                      <wp:wrapNone/>
                      <wp:docPr id="57" name="文本框 57"/>
                      <wp:cNvGraphicFramePr/>
                      <a:graphic xmlns:a="http://schemas.openxmlformats.org/drawingml/2006/main">
                        <a:graphicData uri="http://schemas.microsoft.com/office/word/2010/wordprocessingShape">
                          <wps:wsp>
                            <wps:cNvSpPr txBox="1"/>
                            <wps:spPr>
                              <a:xfrm>
                                <a:off x="0" y="0"/>
                                <a:ext cx="751840" cy="196850"/>
                              </a:xfrm>
                              <a:prstGeom prst="rect">
                                <a:avLst/>
                              </a:prstGeom>
                              <a:noFill/>
                              <a:ln w="9525" cap="flat" cmpd="sng">
                                <a:solidFill>
                                  <a:srgbClr val="000000"/>
                                </a:solidFill>
                                <a:prstDash val="solid"/>
                                <a:miter/>
                                <a:headEnd type="none" w="med" len="med"/>
                                <a:tailEnd type="none" w="med" len="med"/>
                              </a:ln>
                            </wps:spPr>
                            <wps:txbx>
                              <w:txbxContent>
                                <w:p w14:paraId="288E8AEC">
                                  <w:pPr>
                                    <w:jc w:val="center"/>
                                    <w:rPr>
                                      <w:rFonts w:hint="eastAsia"/>
                                    </w:rPr>
                                  </w:pPr>
                                  <w:r>
                                    <w:rPr>
                                      <w:rFonts w:hint="eastAsia" w:cs="Times New Roman"/>
                                      <w:color w:val="auto"/>
                                      <w:sz w:val="21"/>
                                      <w:szCs w:val="21"/>
                                      <w:lang w:val="en-US" w:eastAsia="zh-CN"/>
                                    </w:rPr>
                                    <w:t>绿化</w:t>
                                  </w:r>
                                  <w:r>
                                    <w:rPr>
                                      <w:rFonts w:hint="default" w:ascii="Times New Roman" w:hAnsi="Times New Roman" w:eastAsia="宋体" w:cs="Times New Roman"/>
                                      <w:color w:val="auto"/>
                                      <w:sz w:val="21"/>
                                      <w:szCs w:val="21"/>
                                      <w:lang w:val="en-US" w:eastAsia="zh-CN"/>
                                    </w:rPr>
                                    <w:t>用水</w:t>
                                  </w:r>
                                </w:p>
                              </w:txbxContent>
                            </wps:txbx>
                            <wps:bodyPr lIns="18000" tIns="7200" rIns="18000" bIns="7200" upright="1"/>
                          </wps:wsp>
                        </a:graphicData>
                      </a:graphic>
                    </wp:anchor>
                  </w:drawing>
                </mc:Choice>
                <mc:Fallback>
                  <w:pict>
                    <v:shape id="_x0000_s1026" o:spid="_x0000_s1026" o:spt="202" type="#_x0000_t202" style="position:absolute;left:0pt;margin-left:132.4pt;margin-top:42.15pt;height:15.5pt;width:59.2pt;z-index:251707392;mso-width-relative:page;mso-height-relative:page;" filled="f" stroked="t" coordsize="21600,21600" o:gfxdata="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fa6j7dkA&#10;AAAKAQAADwAAAAAAAAABACAAAAAiAAAAZHJzL2Rvd25yZXYueG1sUEsBAhQAFAAAAAgAh07iQFXx&#10;HpceAgAAQAQAAA4AAAAAAAAAAQAgAAAAKAEAAGRycy9lMm9Eb2MueG1sUEsFBgAAAAAGAAYAWQEA&#10;ALgFAAAAAA==&#10;">
                      <v:fill on="f" focussize="0,0"/>
                      <v:stroke color="#000000" joinstyle="miter"/>
                      <v:imagedata o:title=""/>
                      <o:lock v:ext="edit" aspectratio="f"/>
                      <v:textbox inset="0.5mm,0.2mm,0.5mm,0.2mm">
                        <w:txbxContent>
                          <w:p w14:paraId="288E8AEC">
                            <w:pPr>
                              <w:jc w:val="center"/>
                              <w:rPr>
                                <w:rFonts w:hint="eastAsia"/>
                              </w:rPr>
                            </w:pPr>
                            <w:r>
                              <w:rPr>
                                <w:rFonts w:hint="eastAsia" w:cs="Times New Roman"/>
                                <w:color w:val="auto"/>
                                <w:sz w:val="21"/>
                                <w:szCs w:val="21"/>
                                <w:lang w:val="en-US" w:eastAsia="zh-CN"/>
                              </w:rPr>
                              <w:t>绿化</w:t>
                            </w:r>
                            <w:r>
                              <w:rPr>
                                <w:rFonts w:hint="default" w:ascii="Times New Roman" w:hAnsi="Times New Roman" w:eastAsia="宋体" w:cs="Times New Roman"/>
                                <w:color w:val="auto"/>
                                <w:sz w:val="21"/>
                                <w:szCs w:val="21"/>
                                <w:lang w:val="en-US" w:eastAsia="zh-CN"/>
                              </w:rPr>
                              <w:t>用水</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91008" behindDoc="0" locked="0" layoutInCell="1" allowOverlap="1">
                      <wp:simplePos x="0" y="0"/>
                      <wp:positionH relativeFrom="column">
                        <wp:posOffset>2081530</wp:posOffset>
                      </wp:positionH>
                      <wp:positionV relativeFrom="paragraph">
                        <wp:posOffset>348615</wp:posOffset>
                      </wp:positionV>
                      <wp:extent cx="220345" cy="166370"/>
                      <wp:effectExtent l="3175" t="0" r="5080" b="5080"/>
                      <wp:wrapNone/>
                      <wp:docPr id="61" name="直接箭头连接符 61"/>
                      <wp:cNvGraphicFramePr/>
                      <a:graphic xmlns:a="http://schemas.openxmlformats.org/drawingml/2006/main">
                        <a:graphicData uri="http://schemas.microsoft.com/office/word/2010/wordprocessingShape">
                          <wps:wsp>
                            <wps:cNvCnPr/>
                            <wps:spPr>
                              <a:xfrm flipV="1">
                                <a:off x="0" y="0"/>
                                <a:ext cx="220345" cy="166370"/>
                              </a:xfrm>
                              <a:prstGeom prst="straightConnector1">
                                <a:avLst/>
                              </a:prstGeom>
                              <a:ln w="9525" cap="flat" cmpd="sng">
                                <a:solidFill>
                                  <a:srgbClr val="000000"/>
                                </a:solidFill>
                                <a:prstDash val="dash"/>
                                <a:round/>
                                <a:headEnd type="none" w="med" len="med"/>
                                <a:tailEnd type="arrow" w="med" len="med"/>
                              </a:ln>
                            </wps:spPr>
                            <wps:bodyPr/>
                          </wps:wsp>
                        </a:graphicData>
                      </a:graphic>
                    </wp:anchor>
                  </w:drawing>
                </mc:Choice>
                <mc:Fallback>
                  <w:pict>
                    <v:shape id="_x0000_s1026" o:spid="_x0000_s1026" o:spt="32" type="#_x0000_t32" style="position:absolute;left:0pt;flip:y;margin-left:163.9pt;margin-top:27.45pt;height:13.1pt;width:17.35pt;z-index:251691008;mso-width-relative:page;mso-height-relative:page;" filled="f" stroked="t" coordsize="21600,21600" o:gfxdata="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vyWaN2AAAAAkBAAAPAAAA&#10;AAAAAAEAIAAAACIAAABkcnMvZG93bnJldi54bWxQSwECFAAUAAAACACHTuJA7xhz8BUCAAAGBAAA&#10;DgAAAAAAAAABACAAAAAnAQAAZHJzL2Uyb0RvYy54bWxQSwUGAAAAAAYABgBZAQAArgUAAAAA&#10;">
                      <v:fill on="f" focussize="0,0"/>
                      <v:stroke color="#000000" joinstyle="round" dashstyle="dash" endarrow="open"/>
                      <v:imagedata o:title=""/>
                      <o:lock v:ext="edit" aspectratio="f"/>
                    </v:shape>
                  </w:pict>
                </mc:Fallback>
              </mc:AlternateContent>
            </w:r>
            <w:r>
              <w:rPr>
                <w:b/>
                <w:color w:val="000000" w:themeColor="text1"/>
                <w:szCs w:val="24"/>
                <w:highlight w:val="none"/>
                <w14:textFill>
                  <w14:solidFill>
                    <w14:schemeClr w14:val="tx1"/>
                  </w14:solidFill>
                </w14:textFill>
              </w:rPr>
              <mc:AlternateContent>
                <mc:Choice Requires="wpc">
                  <w:drawing>
                    <wp:inline distT="0" distB="0" distL="114300" distR="114300">
                      <wp:extent cx="5001895" cy="5087620"/>
                      <wp:effectExtent l="0" t="0" r="0" b="0"/>
                      <wp:docPr id="42" name="画布 4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a:noFill/>
                              </a:ln>
                            </wpc:whole>
                          </wpc:wpc>
                        </a:graphicData>
                      </a:graphic>
                    </wp:inline>
                  </w:drawing>
                </mc:Choice>
                <mc:Fallback>
                  <w:pict>
                    <v:group id="_x0000_s1026" o:spid="_x0000_s1026" o:spt="203" style="height:400.6pt;width:393.85pt;" coordsize="5001895,5087620" editas="canvas" o:gfxdata="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">
                      <o:lock v:ext="edit" aspectratio="f"/>
                      <v:shape id="_x0000_s1026" o:spid="_x0000_s1026" style="position:absolute;left:0;top:0;height:5087620;width:5001895;" filled="f" stroked="f" coordsize="21600,21600" o:gfxdata="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">
                        <v:fill on="f" focussize="0,0"/>
                        <v:stroke on="f" weight="0.5pt"/>
                        <v:imagedata o:title=""/>
                        <o:lock v:ext="edit" aspectratio="t"/>
                      </v:shape>
                      <w10:wrap type="none"/>
                      <w10:anchorlock/>
                    </v:group>
                  </w:pict>
                </mc:Fallback>
              </mc:AlternateContent>
            </w:r>
          </w:p>
          <w:p w14:paraId="2C082FD0">
            <w:pPr>
              <w:pStyle w:val="2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22" w:firstLineChars="20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图2-</w:t>
            </w:r>
            <w:r>
              <w:rPr>
                <w:rFonts w:hint="eastAsia" w:ascii="Times New Roman" w:hAnsi="Times New Roman" w:cs="Times New Roman"/>
                <w:b/>
                <w:bCs/>
                <w:color w:val="000000" w:themeColor="text1"/>
                <w:kern w:val="0"/>
                <w:sz w:val="21"/>
                <w:szCs w:val="21"/>
                <w:highlight w:val="none"/>
                <w:lang w:val="en-US" w:eastAsia="zh-CN" w:bidi="ar"/>
                <w14:textFill>
                  <w14:solidFill>
                    <w14:schemeClr w14:val="tx1"/>
                  </w14:solidFill>
                </w14:textFill>
              </w:rPr>
              <w:t>1</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项目水平衡图    单位：m</w:t>
            </w:r>
            <w:r>
              <w:rPr>
                <w:rFonts w:hint="eastAsia" w:ascii="Times New Roman" w:hAnsi="Times New Roman" w:eastAsia="宋体" w:cs="Times New Roman"/>
                <w:b/>
                <w:bCs/>
                <w:color w:val="000000" w:themeColor="text1"/>
                <w:kern w:val="0"/>
                <w:sz w:val="21"/>
                <w:szCs w:val="21"/>
                <w:highlight w:val="none"/>
                <w:vertAlign w:val="superscript"/>
                <w:lang w:val="en-US" w:eastAsia="zh-CN" w:bidi="ar"/>
                <w14:textFill>
                  <w14:solidFill>
                    <w14:schemeClr w14:val="tx1"/>
                  </w14:solidFill>
                </w14:textFill>
              </w:rPr>
              <w:t>3</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/a</w:t>
            </w:r>
          </w:p>
          <w:p w14:paraId="1488DB0F">
            <w:pPr>
              <w:kinsoku w:val="0"/>
              <w:wordWrap w:val="0"/>
              <w:spacing w:line="360" w:lineRule="auto"/>
              <w:ind w:firstLine="482" w:firstLineChars="200"/>
              <w:jc w:val="both"/>
              <w:rPr>
                <w:rFonts w:hint="default" w:ascii="Times New Roman" w:hAnsi="Times New Roman" w:cs="Times New Roman"/>
                <w:b/>
                <w:color w:val="000000" w:themeColor="text1"/>
                <w:kern w:val="2"/>
                <w:sz w:val="24"/>
                <w:szCs w:val="24"/>
                <w:lang w:eastAsia="zh-CN"/>
                <w14:textFill>
                  <w14:solidFill>
                    <w14:schemeClr w14:val="tx1"/>
                  </w14:solidFill>
                </w14:textFill>
              </w:rPr>
            </w:pPr>
            <w:r>
              <w:rPr>
                <w:rFonts w:hint="eastAsia" w:cs="Times New Roman"/>
                <w:b/>
                <w:color w:val="000000" w:themeColor="text1"/>
                <w:kern w:val="2"/>
                <w:sz w:val="24"/>
                <w:szCs w:val="24"/>
                <w:lang w:val="en-US" w:eastAsia="zh-CN"/>
                <w14:textFill>
                  <w14:solidFill>
                    <w14:schemeClr w14:val="tx1"/>
                  </w14:solidFill>
                </w14:textFill>
              </w:rPr>
              <w:t>10.2</w:t>
            </w:r>
            <w:r>
              <w:rPr>
                <w:rFonts w:hint="default" w:ascii="Times New Roman" w:hAnsi="Times New Roman" w:cs="Times New Roman"/>
                <w:b/>
                <w:color w:val="000000" w:themeColor="text1"/>
                <w:kern w:val="2"/>
                <w:sz w:val="24"/>
                <w:szCs w:val="24"/>
                <w:lang w:eastAsia="zh-CN"/>
                <w14:textFill>
                  <w14:solidFill>
                    <w14:schemeClr w14:val="tx1"/>
                  </w14:solidFill>
                </w14:textFill>
              </w:rPr>
              <w:t>供电</w:t>
            </w:r>
          </w:p>
          <w:p w14:paraId="03BF5D11">
            <w:pPr>
              <w:kinsoku w:val="0"/>
              <w:wordWrap w:val="0"/>
              <w:overflowPunct w:val="0"/>
              <w:spacing w:line="360" w:lineRule="auto"/>
              <w:ind w:firstLine="480" w:firstLineChars="200"/>
              <w:jc w:val="both"/>
              <w:rPr>
                <w:rFonts w:hint="default" w:ascii="Times New Roman" w:hAnsi="Times New Roman" w:cs="Times New Roman"/>
                <w:color w:val="000000" w:themeColor="text1"/>
                <w:kern w:val="2"/>
                <w:sz w:val="24"/>
                <w:szCs w:val="24"/>
                <w:lang w:eastAsia="zh-CN"/>
                <w14:textFill>
                  <w14:solidFill>
                    <w14:schemeClr w14:val="tx1"/>
                  </w14:solidFill>
                </w14:textFill>
              </w:rPr>
            </w:pPr>
            <w:r>
              <w:rPr>
                <w:rFonts w:hint="default" w:ascii="Times New Roman" w:hAnsi="Times New Roman" w:cs="Times New Roman"/>
                <w:color w:val="000000" w:themeColor="text1"/>
                <w:kern w:val="2"/>
                <w:sz w:val="24"/>
                <w:szCs w:val="24"/>
                <w:lang w:eastAsia="zh-CN"/>
                <w14:textFill>
                  <w14:solidFill>
                    <w14:schemeClr w14:val="tx1"/>
                  </w14:solidFill>
                </w14:textFill>
              </w:rPr>
              <w:t>本项目供电</w:t>
            </w:r>
            <w:r>
              <w:rPr>
                <w:rFonts w:hint="eastAsia" w:ascii="Times New Roman" w:hAnsi="Times New Roman" w:cs="Times New Roman"/>
                <w:color w:val="000000" w:themeColor="text1"/>
                <w:kern w:val="2"/>
                <w:sz w:val="24"/>
                <w:szCs w:val="24"/>
                <w:lang w:val="en-US" w:eastAsia="zh-CN"/>
                <w14:textFill>
                  <w14:solidFill>
                    <w14:schemeClr w14:val="tx1"/>
                  </w14:solidFill>
                </w14:textFill>
              </w:rPr>
              <w:t>由</w:t>
            </w:r>
            <w:r>
              <w:rPr>
                <w:rFonts w:hint="default" w:ascii="Times New Roman" w:hAnsi="Times New Roman" w:cs="Times New Roman"/>
                <w:color w:val="000000" w:themeColor="text1"/>
                <w:kern w:val="2"/>
                <w:sz w:val="24"/>
                <w:szCs w:val="24"/>
                <w:lang w:val="en-US" w:eastAsia="zh-CN"/>
                <w14:textFill>
                  <w14:solidFill>
                    <w14:schemeClr w14:val="tx1"/>
                  </w14:solidFill>
                </w14:textFill>
              </w:rPr>
              <w:t>村镇</w:t>
            </w:r>
            <w:r>
              <w:rPr>
                <w:rFonts w:hint="eastAsia" w:ascii="Times New Roman" w:hAnsi="Times New Roman" w:cs="Times New Roman"/>
                <w:color w:val="000000" w:themeColor="text1"/>
                <w:kern w:val="2"/>
                <w:sz w:val="24"/>
                <w:szCs w:val="24"/>
                <w:lang w:val="en-US" w:eastAsia="zh-CN"/>
                <w14:textFill>
                  <w14:solidFill>
                    <w14:schemeClr w14:val="tx1"/>
                  </w14:solidFill>
                </w14:textFill>
              </w:rPr>
              <w:t>市政</w:t>
            </w:r>
            <w:r>
              <w:rPr>
                <w:rFonts w:hint="default" w:ascii="Times New Roman" w:hAnsi="Times New Roman" w:cs="Times New Roman"/>
                <w:color w:val="000000" w:themeColor="text1"/>
                <w:kern w:val="2"/>
                <w:sz w:val="24"/>
                <w:szCs w:val="24"/>
                <w:lang w:eastAsia="zh-CN"/>
                <w14:textFill>
                  <w14:solidFill>
                    <w14:schemeClr w14:val="tx1"/>
                  </w14:solidFill>
                </w14:textFill>
              </w:rPr>
              <w:t>电网供电。</w:t>
            </w:r>
          </w:p>
          <w:p w14:paraId="70C08593">
            <w:pPr>
              <w:kinsoku w:val="0"/>
              <w:wordWrap w:val="0"/>
              <w:spacing w:line="360" w:lineRule="auto"/>
              <w:ind w:firstLine="482" w:firstLineChars="200"/>
              <w:jc w:val="both"/>
              <w:rPr>
                <w:rFonts w:hint="default" w:ascii="Times New Roman" w:hAnsi="Times New Roman" w:cs="Times New Roman"/>
                <w:b/>
                <w:color w:val="000000" w:themeColor="text1"/>
                <w:kern w:val="2"/>
                <w:sz w:val="24"/>
                <w:szCs w:val="24"/>
                <w:lang w:eastAsia="zh-CN"/>
                <w14:textFill>
                  <w14:solidFill>
                    <w14:schemeClr w14:val="tx1"/>
                  </w14:solidFill>
                </w14:textFill>
              </w:rPr>
            </w:pPr>
            <w:r>
              <w:rPr>
                <w:rFonts w:hint="eastAsia" w:cs="Times New Roman"/>
                <w:b/>
                <w:color w:val="000000" w:themeColor="text1"/>
                <w:kern w:val="2"/>
                <w:sz w:val="24"/>
                <w:szCs w:val="24"/>
                <w:lang w:val="en-US" w:eastAsia="zh-CN"/>
                <w14:textFill>
                  <w14:solidFill>
                    <w14:schemeClr w14:val="tx1"/>
                  </w14:solidFill>
                </w14:textFill>
              </w:rPr>
              <w:t>10.3</w:t>
            </w:r>
            <w:r>
              <w:rPr>
                <w:rFonts w:hint="default" w:ascii="Times New Roman" w:hAnsi="Times New Roman" w:cs="Times New Roman"/>
                <w:b/>
                <w:color w:val="000000" w:themeColor="text1"/>
                <w:kern w:val="2"/>
                <w:sz w:val="24"/>
                <w:szCs w:val="24"/>
                <w:lang w:eastAsia="zh-CN"/>
                <w14:textFill>
                  <w14:solidFill>
                    <w14:schemeClr w14:val="tx1"/>
                  </w14:solidFill>
                </w14:textFill>
              </w:rPr>
              <w:t>供暖</w:t>
            </w:r>
          </w:p>
          <w:p w14:paraId="3353BEFE">
            <w:pPr>
              <w:kinsoku w:val="0"/>
              <w:wordWrap w:val="0"/>
              <w:overflowPunct w:val="0"/>
              <w:spacing w:line="360" w:lineRule="auto"/>
              <w:ind w:firstLine="480" w:firstLineChars="200"/>
              <w:jc w:val="both"/>
              <w:rPr>
                <w:rFonts w:hint="default" w:ascii="Times New Roman" w:hAnsi="Times New Roman" w:cs="Times New Roman"/>
                <w:color w:val="000000" w:themeColor="text1"/>
                <w:kern w:val="2"/>
                <w:sz w:val="24"/>
                <w:szCs w:val="24"/>
                <w:lang w:eastAsia="zh-CN"/>
                <w14:textFill>
                  <w14:solidFill>
                    <w14:schemeClr w14:val="tx1"/>
                  </w14:solidFill>
                </w14:textFill>
              </w:rPr>
            </w:pPr>
            <w:r>
              <w:rPr>
                <w:rFonts w:hint="default" w:ascii="Times New Roman" w:hAnsi="Times New Roman" w:cs="Times New Roman"/>
                <w:color w:val="000000" w:themeColor="text1"/>
                <w:kern w:val="2"/>
                <w:sz w:val="24"/>
                <w:szCs w:val="24"/>
                <w:lang w:eastAsia="zh-CN"/>
                <w14:textFill>
                  <w14:solidFill>
                    <w14:schemeClr w14:val="tx1"/>
                  </w14:solidFill>
                </w14:textFill>
              </w:rPr>
              <w:t>本项目</w:t>
            </w:r>
            <w:r>
              <w:rPr>
                <w:rFonts w:hint="default" w:ascii="Times New Roman" w:hAnsi="Times New Roman" w:cs="Times New Roman"/>
                <w:bCs/>
                <w:color w:val="000000" w:themeColor="text1"/>
                <w:sz w:val="24"/>
                <w:szCs w:val="24"/>
                <w:lang w:eastAsia="zh-CN"/>
                <w14:textFill>
                  <w14:solidFill>
                    <w14:schemeClr w14:val="tx1"/>
                  </w14:solidFill>
                </w14:textFill>
              </w:rPr>
              <w:t>冬季</w:t>
            </w:r>
            <w:r>
              <w:rPr>
                <w:rFonts w:hint="eastAsia" w:ascii="Times New Roman" w:hAnsi="Times New Roman" w:cs="Times New Roman"/>
                <w:bCs/>
                <w:color w:val="000000" w:themeColor="text1"/>
                <w:sz w:val="24"/>
                <w:szCs w:val="24"/>
                <w:lang w:val="en-US" w:eastAsia="zh-CN"/>
                <w14:textFill>
                  <w14:solidFill>
                    <w14:schemeClr w14:val="tx1"/>
                  </w14:solidFill>
                </w14:textFill>
              </w:rPr>
              <w:t>供暖采用电采暖</w:t>
            </w:r>
            <w:r>
              <w:rPr>
                <w:rFonts w:hint="default" w:ascii="Times New Roman" w:hAnsi="Times New Roman" w:cs="Times New Roman"/>
                <w:bCs/>
                <w:color w:val="000000" w:themeColor="text1"/>
                <w:sz w:val="24"/>
                <w:szCs w:val="24"/>
                <w:lang w:eastAsia="zh-CN"/>
                <w14:textFill>
                  <w14:solidFill>
                    <w14:schemeClr w14:val="tx1"/>
                  </w14:solidFill>
                </w14:textFill>
              </w:rPr>
              <w:t>。</w:t>
            </w:r>
          </w:p>
          <w:p w14:paraId="221330A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cs="Times New Roman"/>
                <w:b/>
                <w:bCs/>
                <w:color w:val="000000" w:themeColor="text1"/>
                <w:kern w:val="0"/>
                <w:sz w:val="24"/>
                <w:szCs w:val="24"/>
                <w:lang w:val="en-US" w:eastAsia="zh-CN" w:bidi="ar"/>
                <w14:textFill>
                  <w14:solidFill>
                    <w14:schemeClr w14:val="tx1"/>
                  </w14:solidFill>
                </w14:textFill>
              </w:rPr>
              <w:t>11</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、总平面布置</w:t>
            </w:r>
          </w:p>
          <w:p w14:paraId="6B45ED5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cs="Times New Roman"/>
                <w:b/>
                <w:bCs/>
                <w:color w:val="000000" w:themeColor="text1"/>
                <w:kern w:val="0"/>
                <w:sz w:val="24"/>
                <w:szCs w:val="24"/>
                <w:lang w:val="en-US" w:eastAsia="zh-CN" w:bidi="ar"/>
                <w14:textFill>
                  <w14:solidFill>
                    <w14:schemeClr w14:val="tx1"/>
                  </w14:solidFill>
                </w14:textFill>
              </w:rPr>
              <w:t>11</w:t>
            </w: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.1</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总平面布置原则</w:t>
            </w:r>
          </w:p>
          <w:p w14:paraId="78429A21">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进行总体布置时，应根据生产工艺、运输、防火、施工、环境保护与劳动卫生等方面的要求，结合厂区地形、地质和气象条件，对所有建筑物和构筑物、管线及运输线路等进行统筹安排，力求做到布局合理、用地少、建设快、投资省、运行安全和检修方便。</w:t>
            </w:r>
          </w:p>
          <w:p w14:paraId="7CEA596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（1）在满足生产工艺要求的条件下，厂房车间布置紧密，工业线路短，运输方便，并符合环保、消防、安全、卫生等要求。</w:t>
            </w:r>
          </w:p>
          <w:p w14:paraId="0C398E9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（2）根据周围环境、自然条件等因素，充分合理地利用公共设施，力求</w:t>
            </w:r>
            <w:r>
              <w:rPr>
                <w:rFonts w:hint="eastAsia" w:cs="Times New Roman"/>
                <w:color w:val="000000" w:themeColor="text1"/>
                <w:kern w:val="0"/>
                <w:sz w:val="24"/>
                <w:szCs w:val="24"/>
                <w:lang w:val="en-US" w:eastAsia="zh-CN" w:bidi="ar"/>
                <w14:textFill>
                  <w14:solidFill>
                    <w14:schemeClr w14:val="tx1"/>
                  </w14:solidFill>
                </w14:textFill>
              </w:rPr>
              <w:t>做到</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功能分区合理，动力负荷集中，工艺流程顺捷，生产管理方便。</w:t>
            </w:r>
          </w:p>
          <w:p w14:paraId="4452F1A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（3）结合厂房用地与发展规划，合理组织运输，缩短运输距离，便于相互联系，做到人流、物流各行其道，避免交叉。</w:t>
            </w:r>
          </w:p>
          <w:p w14:paraId="3B72F66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11.2</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总平面布置</w:t>
            </w:r>
          </w:p>
          <w:p w14:paraId="4D7BF55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项目用地整体呈南北向布局，办公楼</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位于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厂区西侧</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，根据</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呼图壁县风玫瑰图，区域常年主导风向为西南风，办公楼</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位</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于厂区主导风向</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侧</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风向，</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不位于主生产车间下风向，</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可有效规避厂区炭化废气、粉尘等污染物影响</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破碎车间位于厂区东南侧；碳化车间位于厂区北侧；固体肥车间位于厂区北侧；液体肥车间位于厂区北侧；热储能车间、生石灰料仓、双模储气柜位于厂区东侧；成品车间1#位于厂区西南侧；成品车间2#位于厂区北侧；配电室及消防水池位于厂区西北侧、化粪池位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办公楼</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南侧、危废贮存库位于厂区北侧。生产区内的生产设备均采取减振、衰减，厂房隔声等降噪措施，噪声对</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办公楼</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的影响较小。</w:t>
            </w:r>
          </w:p>
          <w:p w14:paraId="583E96A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厂区内部道路规划为环形路网，车辆进出通行条件良好，环形通道可满足消防车辆通行、应急疏散等规范要求；厂区道路均采用水泥混凝土硬化路面，各功能车间排布规整、分区布局科学合理。</w:t>
            </w:r>
          </w:p>
          <w:p w14:paraId="00657B1D">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厂区总平面布置见</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附</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图</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6</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p>
        </w:tc>
      </w:tr>
      <w:tr w14:paraId="15C5EC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86" w:hRule="atLeast"/>
          <w:jc w:val="center"/>
        </w:trPr>
        <w:tc>
          <w:tcPr>
            <w:tcW w:w="823" w:type="dxa"/>
            <w:noWrap w:val="0"/>
            <w:vAlign w:val="center"/>
          </w:tcPr>
          <w:p w14:paraId="641913D7">
            <w:pPr>
              <w:pStyle w:val="27"/>
              <w:adjustRightInd w:val="0"/>
              <w:snapToGrid w:val="0"/>
              <w:spacing w:before="0" w:beforeAutospacing="0" w:after="0" w:afterAutospacing="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工艺流程和产排污环节</w:t>
            </w:r>
          </w:p>
        </w:tc>
        <w:tc>
          <w:tcPr>
            <w:tcW w:w="8161" w:type="dxa"/>
            <w:noWrap w:val="0"/>
            <w:vAlign w:val="top"/>
          </w:tcPr>
          <w:p w14:paraId="35559549">
            <w:pPr>
              <w:keepNext w:val="0"/>
              <w:keepLines w:val="0"/>
              <w:pageBreakBefore w:val="0"/>
              <w:numPr>
                <w:ilvl w:val="0"/>
                <w:numId w:val="0"/>
              </w:numPr>
              <w:topLinePunct w:val="0"/>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施工期工艺流程简述</w:t>
            </w:r>
          </w:p>
          <w:p w14:paraId="31EB20D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本项目施工期对外环境的影响主要体现在施工扬尘、施工机械、车辆废气；施工机械、运输物料车辆噪声影响；施工固体废物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及</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堆放影响；施工人员产生的生活污水和生活垃圾影响。</w:t>
            </w:r>
          </w:p>
          <w:p w14:paraId="23BBB12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mc:AlternateContent>
                <mc:Choice Requires="wpc">
                  <w:drawing>
                    <wp:anchor distT="0" distB="0" distL="114300" distR="114300" simplePos="0" relativeHeight="251734016" behindDoc="0" locked="0" layoutInCell="1" allowOverlap="1">
                      <wp:simplePos x="0" y="0"/>
                      <wp:positionH relativeFrom="column">
                        <wp:posOffset>45085</wp:posOffset>
                      </wp:positionH>
                      <wp:positionV relativeFrom="paragraph">
                        <wp:posOffset>19050</wp:posOffset>
                      </wp:positionV>
                      <wp:extent cx="4850765" cy="4014470"/>
                      <wp:effectExtent l="0" t="0" r="0" b="24130"/>
                      <wp:wrapNone/>
                      <wp:docPr id="73" name="画布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a:noFill/>
                              </a:ln>
                            </wpc:whole>
                            <wps:wsp>
                              <wps:cNvPr id="12" name="矩形 17"/>
                              <wps:cNvSpPr/>
                              <wps:spPr>
                                <a:xfrm>
                                  <a:off x="2051954" y="177193"/>
                                  <a:ext cx="1097424" cy="283889"/>
                                </a:xfrm>
                                <a:prstGeom prst="rect">
                                  <a:avLst/>
                                </a:prstGeom>
                                <a:noFill/>
                                <a:ln w="9525" cap="flat" cmpd="sng">
                                  <a:solidFill>
                                    <a:srgbClr val="000000"/>
                                  </a:solidFill>
                                  <a:prstDash val="solid"/>
                                  <a:miter/>
                                  <a:headEnd type="none" w="med" len="med"/>
                                  <a:tailEnd type="none" w="med" len="med"/>
                                </a:ln>
                              </wps:spPr>
                              <wps:txbx>
                                <w:txbxContent>
                                  <w:p w14:paraId="27A893FB">
                                    <w:pPr>
                                      <w:jc w:val="center"/>
                                      <w:rPr>
                                        <w:rFonts w:hint="default"/>
                                        <w:lang w:val="en-US" w:eastAsia="zh-CN"/>
                                      </w:rPr>
                                    </w:pPr>
                                    <w:r>
                                      <w:rPr>
                                        <w:rFonts w:hint="eastAsia"/>
                                        <w:lang w:val="en-US" w:eastAsia="zh-CN"/>
                                      </w:rPr>
                                      <w:t>施工人员进入</w:t>
                                    </w:r>
                                  </w:p>
                                  <w:p w14:paraId="05778C46">
                                    <w:pPr>
                                      <w:pStyle w:val="26"/>
                                      <w:rPr>
                                        <w:rFonts w:hint="eastAsia"/>
                                        <w:lang w:eastAsia="zh-CN"/>
                                      </w:rPr>
                                    </w:pPr>
                                  </w:p>
                                </w:txbxContent>
                              </wps:txbx>
                              <wps:bodyPr upright="1"/>
                            </wps:wsp>
                            <wps:wsp>
                              <wps:cNvPr id="117" name="矩形 18"/>
                              <wps:cNvSpPr/>
                              <wps:spPr>
                                <a:xfrm>
                                  <a:off x="2129434" y="2538492"/>
                                  <a:ext cx="992000" cy="297862"/>
                                </a:xfrm>
                                <a:prstGeom prst="rect">
                                  <a:avLst/>
                                </a:prstGeom>
                                <a:noFill/>
                                <a:ln w="9525" cap="flat" cmpd="sng">
                                  <a:solidFill>
                                    <a:srgbClr val="000000"/>
                                  </a:solidFill>
                                  <a:prstDash val="solid"/>
                                  <a:miter/>
                                  <a:headEnd type="none" w="med" len="med"/>
                                  <a:tailEnd type="none" w="med" len="med"/>
                                </a:ln>
                              </wps:spPr>
                              <wps:txbx>
                                <w:txbxContent>
                                  <w:p w14:paraId="57579134">
                                    <w:pPr>
                                      <w:jc w:val="center"/>
                                      <w:rPr>
                                        <w:rFonts w:hint="default" w:eastAsia="宋体"/>
                                        <w:lang w:val="en-US" w:eastAsia="zh-CN"/>
                                      </w:rPr>
                                    </w:pPr>
                                    <w:r>
                                      <w:rPr>
                                        <w:rFonts w:hint="eastAsia" w:eastAsia="宋体"/>
                                        <w:lang w:val="en-US" w:eastAsia="zh-CN"/>
                                      </w:rPr>
                                      <w:t>组装、调试</w:t>
                                    </w:r>
                                  </w:p>
                                </w:txbxContent>
                              </wps:txbx>
                              <wps:bodyPr upright="1"/>
                            </wps:wsp>
                            <wps:wsp>
                              <wps:cNvPr id="118" name="矩形 19"/>
                              <wps:cNvSpPr/>
                              <wps:spPr>
                                <a:xfrm>
                                  <a:off x="2199928" y="1303859"/>
                                  <a:ext cx="841485" cy="296591"/>
                                </a:xfrm>
                                <a:prstGeom prst="rect">
                                  <a:avLst/>
                                </a:prstGeom>
                                <a:noFill/>
                                <a:ln w="9525" cap="flat" cmpd="sng">
                                  <a:solidFill>
                                    <a:srgbClr val="000000"/>
                                  </a:solidFill>
                                  <a:prstDash val="solid"/>
                                  <a:miter/>
                                  <a:headEnd type="none" w="med" len="med"/>
                                  <a:tailEnd type="none" w="med" len="med"/>
                                </a:ln>
                              </wps:spPr>
                              <wps:txbx>
                                <w:txbxContent>
                                  <w:p w14:paraId="4525BE0F">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基础开挖</w:t>
                                    </w:r>
                                  </w:p>
                                  <w:p w14:paraId="6A26FF58">
                                    <w:pPr>
                                      <w:jc w:val="center"/>
                                      <w:rPr>
                                        <w:rFonts w:hint="default" w:ascii="Times New Roman" w:hAnsi="Times New Roman" w:eastAsia="宋体" w:cs="Times New Roman"/>
                                        <w:lang w:val="en-US" w:eastAsia="zh-CN"/>
                                      </w:rPr>
                                    </w:pPr>
                                  </w:p>
                                </w:txbxContent>
                              </wps:txbx>
                              <wps:bodyPr upright="1"/>
                            </wps:wsp>
                            <wps:wsp>
                              <wps:cNvPr id="119" name="矩形 22"/>
                              <wps:cNvSpPr/>
                              <wps:spPr>
                                <a:xfrm>
                                  <a:off x="1914141" y="1939594"/>
                                  <a:ext cx="1407979" cy="294686"/>
                                </a:xfrm>
                                <a:prstGeom prst="rect">
                                  <a:avLst/>
                                </a:prstGeom>
                                <a:noFill/>
                                <a:ln w="9525" cap="flat" cmpd="sng">
                                  <a:solidFill>
                                    <a:srgbClr val="000000"/>
                                  </a:solidFill>
                                  <a:prstDash val="solid"/>
                                  <a:miter/>
                                  <a:headEnd type="none" w="med" len="med"/>
                                  <a:tailEnd type="none" w="med" len="med"/>
                                </a:ln>
                              </wps:spPr>
                              <wps:txbx>
                                <w:txbxContent>
                                  <w:p w14:paraId="3A325A57">
                                    <w:pPr>
                                      <w:jc w:val="center"/>
                                      <w:rPr>
                                        <w:rFonts w:hint="default" w:eastAsia="宋体"/>
                                        <w:highlight w:val="none"/>
                                        <w:lang w:val="en-US" w:eastAsia="zh-CN"/>
                                      </w:rPr>
                                    </w:pPr>
                                    <w:r>
                                      <w:rPr>
                                        <w:rFonts w:hint="eastAsia" w:eastAsia="宋体"/>
                                        <w:highlight w:val="none"/>
                                        <w:lang w:val="en-US" w:eastAsia="zh-CN"/>
                                      </w:rPr>
                                      <w:t>液体肥车间等</w:t>
                                    </w:r>
                                    <w:r>
                                      <w:rPr>
                                        <w:rFonts w:hint="default" w:eastAsia="宋体"/>
                                        <w:highlight w:val="none"/>
                                        <w:lang w:val="en-US" w:eastAsia="zh-CN"/>
                                      </w:rPr>
                                      <w:t>建设</w:t>
                                    </w:r>
                                  </w:p>
                                </w:txbxContent>
                              </wps:txbx>
                              <wps:bodyPr upright="1"/>
                            </wps:wsp>
                            <wps:wsp>
                              <wps:cNvPr id="120" name="矩形 23"/>
                              <wps:cNvSpPr/>
                              <wps:spPr>
                                <a:xfrm>
                                  <a:off x="1477838" y="3124689"/>
                                  <a:ext cx="2252640" cy="296591"/>
                                </a:xfrm>
                                <a:prstGeom prst="rect">
                                  <a:avLst/>
                                </a:prstGeom>
                                <a:noFill/>
                                <a:ln w="9525" cap="flat" cmpd="sng">
                                  <a:solidFill>
                                    <a:srgbClr val="000000"/>
                                  </a:solidFill>
                                  <a:prstDash val="solid"/>
                                  <a:miter/>
                                  <a:headEnd type="none" w="med" len="med"/>
                                  <a:tailEnd type="none" w="med" len="med"/>
                                </a:ln>
                              </wps:spPr>
                              <wps:txbx>
                                <w:txbxContent>
                                  <w:p w14:paraId="1143A39F">
                                    <w:pPr>
                                      <w:jc w:val="center"/>
                                      <w:rPr>
                                        <w:rFonts w:hint="default" w:eastAsia="宋体"/>
                                        <w:lang w:val="en-US" w:eastAsia="zh-CN"/>
                                      </w:rPr>
                                    </w:pPr>
                                    <w:r>
                                      <w:rPr>
                                        <w:rFonts w:hint="default" w:eastAsia="宋体"/>
                                        <w:lang w:val="en-US" w:eastAsia="zh-CN"/>
                                      </w:rPr>
                                      <w:t>清理现场、临设拆除、场地硬化</w:t>
                                    </w:r>
                                  </w:p>
                                </w:txbxContent>
                              </wps:txbx>
                              <wps:bodyPr upright="1"/>
                            </wps:wsp>
                            <wps:wsp>
                              <wps:cNvPr id="121" name="矩形 24"/>
                              <wps:cNvSpPr/>
                              <wps:spPr>
                                <a:xfrm>
                                  <a:off x="2077992" y="749417"/>
                                  <a:ext cx="1074561" cy="279444"/>
                                </a:xfrm>
                                <a:prstGeom prst="rect">
                                  <a:avLst/>
                                </a:prstGeom>
                                <a:noFill/>
                                <a:ln w="9525" cap="flat" cmpd="sng">
                                  <a:solidFill>
                                    <a:srgbClr val="000000"/>
                                  </a:solidFill>
                                  <a:prstDash val="solid"/>
                                  <a:miter/>
                                  <a:headEnd type="none" w="med" len="med"/>
                                  <a:tailEnd type="none" w="med" len="med"/>
                                </a:ln>
                              </wps:spPr>
                              <wps:txbx>
                                <w:txbxContent>
                                  <w:p w14:paraId="4EB1D8D9">
                                    <w:pPr>
                                      <w:jc w:val="center"/>
                                      <w:rPr>
                                        <w:rFonts w:hint="default"/>
                                        <w:lang w:val="en-US" w:eastAsia="zh-CN"/>
                                      </w:rPr>
                                    </w:pPr>
                                    <w:r>
                                      <w:rPr>
                                        <w:rFonts w:hint="eastAsia"/>
                                        <w:lang w:val="en-US" w:eastAsia="zh-CN"/>
                                      </w:rPr>
                                      <w:t>场地清理平整</w:t>
                                    </w:r>
                                  </w:p>
                                  <w:p w14:paraId="015C9B46">
                                    <w:pPr>
                                      <w:pStyle w:val="26"/>
                                      <w:rPr>
                                        <w:rFonts w:hint="eastAsia"/>
                                        <w:lang w:eastAsia="zh-CN"/>
                                      </w:rPr>
                                    </w:pPr>
                                  </w:p>
                                </w:txbxContent>
                              </wps:txbx>
                              <wps:bodyPr upright="1"/>
                            </wps:wsp>
                            <wps:wsp>
                              <wps:cNvPr id="122" name="直接连接符 28"/>
                              <wps:cNvCnPr/>
                              <wps:spPr>
                                <a:xfrm>
                                  <a:off x="2612097" y="1034577"/>
                                  <a:ext cx="635" cy="269917"/>
                                </a:xfrm>
                                <a:prstGeom prst="line">
                                  <a:avLst/>
                                </a:prstGeom>
                                <a:ln w="9525" cap="flat" cmpd="sng">
                                  <a:solidFill>
                                    <a:srgbClr val="000000"/>
                                  </a:solidFill>
                                  <a:prstDash val="solid"/>
                                  <a:headEnd type="none" w="med" len="med"/>
                                  <a:tailEnd type="arrow" w="med" len="med"/>
                                </a:ln>
                              </wps:spPr>
                              <wps:bodyPr upright="1"/>
                            </wps:wsp>
                            <wps:wsp>
                              <wps:cNvPr id="123" name="直接连接符 29"/>
                              <wps:cNvCnPr/>
                              <wps:spPr>
                                <a:xfrm>
                                  <a:off x="2620353" y="1613788"/>
                                  <a:ext cx="635" cy="325806"/>
                                </a:xfrm>
                                <a:prstGeom prst="line">
                                  <a:avLst/>
                                </a:prstGeom>
                                <a:ln w="9525" cap="flat" cmpd="sng">
                                  <a:solidFill>
                                    <a:srgbClr val="000000"/>
                                  </a:solidFill>
                                  <a:prstDash val="solid"/>
                                  <a:headEnd type="none" w="med" len="med"/>
                                  <a:tailEnd type="arrow" w="med" len="med"/>
                                </a:ln>
                              </wps:spPr>
                              <wps:bodyPr upright="1"/>
                            </wps:wsp>
                            <wps:wsp>
                              <wps:cNvPr id="124" name="直接连接符 30"/>
                              <wps:cNvCnPr/>
                              <wps:spPr>
                                <a:xfrm>
                                  <a:off x="2621623" y="2249522"/>
                                  <a:ext cx="635" cy="294051"/>
                                </a:xfrm>
                                <a:prstGeom prst="line">
                                  <a:avLst/>
                                </a:prstGeom>
                                <a:ln w="9525" cap="flat" cmpd="sng">
                                  <a:solidFill>
                                    <a:srgbClr val="000000"/>
                                  </a:solidFill>
                                  <a:prstDash val="solid"/>
                                  <a:headEnd type="none" w="med" len="med"/>
                                  <a:tailEnd type="arrow" w="med" len="med"/>
                                </a:ln>
                              </wps:spPr>
                              <wps:bodyPr upright="1"/>
                            </wps:wsp>
                            <wps:wsp>
                              <wps:cNvPr id="125" name="直接连接符 59"/>
                              <wps:cNvCnPr/>
                              <wps:spPr>
                                <a:xfrm flipH="1">
                                  <a:off x="1193956" y="3283464"/>
                                  <a:ext cx="292773" cy="6986"/>
                                </a:xfrm>
                                <a:prstGeom prst="line">
                                  <a:avLst/>
                                </a:prstGeom>
                                <a:ln w="9525" cap="flat" cmpd="sng">
                                  <a:solidFill>
                                    <a:srgbClr val="000000"/>
                                  </a:solidFill>
                                  <a:prstDash val="dash"/>
                                  <a:headEnd type="none" w="med" len="med"/>
                                  <a:tailEnd type="arrow" w="med" len="med"/>
                                </a:ln>
                              </wps:spPr>
                              <wps:bodyPr upright="1"/>
                            </wps:wsp>
                            <wps:wsp>
                              <wps:cNvPr id="126" name="直接连接符 62"/>
                              <wps:cNvCnPr/>
                              <wps:spPr>
                                <a:xfrm>
                                  <a:off x="2614002" y="465528"/>
                                  <a:ext cx="0" cy="292146"/>
                                </a:xfrm>
                                <a:prstGeom prst="line">
                                  <a:avLst/>
                                </a:prstGeom>
                                <a:ln w="9525" cap="flat" cmpd="sng">
                                  <a:solidFill>
                                    <a:srgbClr val="000000"/>
                                  </a:solidFill>
                                  <a:prstDash val="solid"/>
                                  <a:headEnd type="none" w="med" len="med"/>
                                  <a:tailEnd type="arrow" w="med" len="med"/>
                                </a:ln>
                              </wps:spPr>
                              <wps:bodyPr upright="1"/>
                            </wps:wsp>
                            <wps:wsp>
                              <wps:cNvPr id="127" name="直接连接符 63"/>
                              <wps:cNvCnPr/>
                              <wps:spPr>
                                <a:xfrm>
                                  <a:off x="2617813" y="2838259"/>
                                  <a:ext cx="0" cy="292146"/>
                                </a:xfrm>
                                <a:prstGeom prst="line">
                                  <a:avLst/>
                                </a:prstGeom>
                                <a:ln w="9525" cap="flat" cmpd="sng">
                                  <a:solidFill>
                                    <a:srgbClr val="000000"/>
                                  </a:solidFill>
                                  <a:prstDash val="solid"/>
                                  <a:headEnd type="none" w="med" len="med"/>
                                  <a:tailEnd type="arrow" w="med" len="med"/>
                                </a:ln>
                              </wps:spPr>
                              <wps:bodyPr upright="1"/>
                            </wps:wsp>
                            <wps:wsp>
                              <wps:cNvPr id="128" name="直接连接符 64"/>
                              <wps:cNvCnPr/>
                              <wps:spPr>
                                <a:xfrm>
                                  <a:off x="2614637" y="3426997"/>
                                  <a:ext cx="0" cy="292146"/>
                                </a:xfrm>
                                <a:prstGeom prst="line">
                                  <a:avLst/>
                                </a:prstGeom>
                                <a:ln w="9525" cap="flat" cmpd="sng">
                                  <a:solidFill>
                                    <a:srgbClr val="000000"/>
                                  </a:solidFill>
                                  <a:prstDash val="solid"/>
                                  <a:headEnd type="none" w="med" len="med"/>
                                  <a:tailEnd type="arrow" w="med" len="med"/>
                                </a:ln>
                              </wps:spPr>
                              <wps:bodyPr upright="1"/>
                            </wps:wsp>
                            <wps:wsp>
                              <wps:cNvPr id="129" name="矩形 65"/>
                              <wps:cNvSpPr/>
                              <wps:spPr>
                                <a:xfrm>
                                  <a:off x="2185321" y="3726128"/>
                                  <a:ext cx="843390" cy="292146"/>
                                </a:xfrm>
                                <a:prstGeom prst="rect">
                                  <a:avLst/>
                                </a:prstGeom>
                                <a:noFill/>
                                <a:ln w="9525" cap="flat" cmpd="sng">
                                  <a:solidFill>
                                    <a:srgbClr val="000000"/>
                                  </a:solidFill>
                                  <a:prstDash val="solid"/>
                                  <a:miter/>
                                  <a:headEnd type="none" w="med" len="med"/>
                                  <a:tailEnd type="none" w="med" len="med"/>
                                </a:ln>
                              </wps:spPr>
                              <wps:txbx>
                                <w:txbxContent>
                                  <w:p w14:paraId="091D5FF8">
                                    <w:pPr>
                                      <w:jc w:val="center"/>
                                      <w:rPr>
                                        <w:rFonts w:hint="default" w:eastAsia="宋体"/>
                                        <w:lang w:val="en-US" w:eastAsia="zh-CN"/>
                                      </w:rPr>
                                    </w:pPr>
                                    <w:r>
                                      <w:rPr>
                                        <w:rFonts w:hint="eastAsia" w:eastAsia="宋体"/>
                                        <w:lang w:val="en-US" w:eastAsia="zh-CN"/>
                                      </w:rPr>
                                      <w:t>竣工验收</w:t>
                                    </w:r>
                                  </w:p>
                                </w:txbxContent>
                              </wps:txbx>
                              <wps:bodyPr upright="1"/>
                            </wps:wsp>
                            <wps:wsp>
                              <wps:cNvPr id="130" name="矩形 66"/>
                              <wps:cNvSpPr/>
                              <wps:spPr>
                                <a:xfrm>
                                  <a:off x="3320850" y="768470"/>
                                  <a:ext cx="1268896" cy="279444"/>
                                </a:xfrm>
                                <a:prstGeom prst="rect">
                                  <a:avLst/>
                                </a:prstGeom>
                                <a:noFill/>
                                <a:ln>
                                  <a:noFill/>
                                </a:ln>
                              </wps:spPr>
                              <wps:txbx>
                                <w:txbxContent>
                                  <w:p w14:paraId="534A32F8">
                                    <w:pPr>
                                      <w:jc w:val="center"/>
                                      <w:rPr>
                                        <w:rFonts w:hint="default"/>
                                        <w:lang w:val="en-US" w:eastAsia="zh-CN"/>
                                      </w:rPr>
                                    </w:pPr>
                                    <w:r>
                                      <w:rPr>
                                        <w:rFonts w:hint="eastAsia"/>
                                        <w:lang w:val="en-US" w:eastAsia="zh-CN"/>
                                      </w:rPr>
                                      <w:t>扬尘、固废、噪声</w:t>
                                    </w:r>
                                  </w:p>
                                  <w:p w14:paraId="1C83C450">
                                    <w:pPr>
                                      <w:pStyle w:val="26"/>
                                      <w:rPr>
                                        <w:rFonts w:hint="eastAsia"/>
                                        <w:lang w:eastAsia="zh-CN"/>
                                      </w:rPr>
                                    </w:pPr>
                                  </w:p>
                                </w:txbxContent>
                              </wps:txbx>
                              <wps:bodyPr upright="1"/>
                            </wps:wsp>
                            <wps:wsp>
                              <wps:cNvPr id="131" name="直接连接符 67"/>
                              <wps:cNvCnPr/>
                              <wps:spPr>
                                <a:xfrm>
                                  <a:off x="3160809" y="903746"/>
                                  <a:ext cx="241332" cy="0"/>
                                </a:xfrm>
                                <a:prstGeom prst="line">
                                  <a:avLst/>
                                </a:prstGeom>
                                <a:ln w="9525" cap="flat" cmpd="sng">
                                  <a:solidFill>
                                    <a:srgbClr val="000000"/>
                                  </a:solidFill>
                                  <a:prstDash val="dash"/>
                                  <a:headEnd type="none" w="med" len="med"/>
                                  <a:tailEnd type="arrow" w="med" len="med"/>
                                </a:ln>
                              </wps:spPr>
                              <wps:bodyPr upright="1"/>
                            </wps:wsp>
                            <wps:wsp>
                              <wps:cNvPr id="132" name="直接连接符 68"/>
                              <wps:cNvCnPr/>
                              <wps:spPr>
                                <a:xfrm>
                                  <a:off x="3050939" y="1458188"/>
                                  <a:ext cx="241332" cy="0"/>
                                </a:xfrm>
                                <a:prstGeom prst="line">
                                  <a:avLst/>
                                </a:prstGeom>
                                <a:ln w="9525" cap="flat" cmpd="sng">
                                  <a:solidFill>
                                    <a:srgbClr val="000000"/>
                                  </a:solidFill>
                                  <a:prstDash val="dash"/>
                                  <a:headEnd type="none" w="med" len="med"/>
                                  <a:tailEnd type="arrow" w="med" len="med"/>
                                </a:ln>
                              </wps:spPr>
                              <wps:bodyPr upright="1"/>
                            </wps:wsp>
                            <wps:wsp>
                              <wps:cNvPr id="133" name="矩形 69"/>
                              <wps:cNvSpPr/>
                              <wps:spPr>
                                <a:xfrm>
                                  <a:off x="3212886" y="1329898"/>
                                  <a:ext cx="1257465" cy="279444"/>
                                </a:xfrm>
                                <a:prstGeom prst="rect">
                                  <a:avLst/>
                                </a:prstGeom>
                                <a:noFill/>
                                <a:ln>
                                  <a:noFill/>
                                </a:ln>
                              </wps:spPr>
                              <wps:txbx>
                                <w:txbxContent>
                                  <w:p w14:paraId="349CD7DD">
                                    <w:pPr>
                                      <w:jc w:val="center"/>
                                      <w:rPr>
                                        <w:rFonts w:hint="default"/>
                                        <w:lang w:val="en-US" w:eastAsia="zh-CN"/>
                                      </w:rPr>
                                    </w:pPr>
                                    <w:r>
                                      <w:rPr>
                                        <w:rFonts w:hint="eastAsia"/>
                                        <w:lang w:val="en-US" w:eastAsia="zh-CN"/>
                                      </w:rPr>
                                      <w:t>扬尘、固废、噪声</w:t>
                                    </w:r>
                                  </w:p>
                                  <w:p w14:paraId="18426ED1">
                                    <w:pPr>
                                      <w:pStyle w:val="26"/>
                                      <w:rPr>
                                        <w:rFonts w:hint="eastAsia"/>
                                        <w:lang w:eastAsia="zh-CN"/>
                                      </w:rPr>
                                    </w:pPr>
                                  </w:p>
                                </w:txbxContent>
                              </wps:txbx>
                              <wps:bodyPr upright="1"/>
                            </wps:wsp>
                            <wps:wsp>
                              <wps:cNvPr id="134" name="直接连接符 70"/>
                              <wps:cNvCnPr/>
                              <wps:spPr>
                                <a:xfrm>
                                  <a:off x="3322755" y="2084396"/>
                                  <a:ext cx="241332" cy="0"/>
                                </a:xfrm>
                                <a:prstGeom prst="line">
                                  <a:avLst/>
                                </a:prstGeom>
                                <a:ln w="9525" cap="flat" cmpd="sng">
                                  <a:solidFill>
                                    <a:srgbClr val="000000"/>
                                  </a:solidFill>
                                  <a:prstDash val="dash"/>
                                  <a:headEnd type="none" w="med" len="med"/>
                                  <a:tailEnd type="arrow" w="med" len="med"/>
                                </a:ln>
                              </wps:spPr>
                              <wps:bodyPr upright="1"/>
                            </wps:wsp>
                            <wps:wsp>
                              <wps:cNvPr id="135" name="矩形 71"/>
                              <wps:cNvSpPr/>
                              <wps:spPr>
                                <a:xfrm>
                                  <a:off x="3477715" y="1941499"/>
                                  <a:ext cx="1257465" cy="278809"/>
                                </a:xfrm>
                                <a:prstGeom prst="rect">
                                  <a:avLst/>
                                </a:prstGeom>
                                <a:noFill/>
                                <a:ln>
                                  <a:noFill/>
                                </a:ln>
                              </wps:spPr>
                              <wps:txbx>
                                <w:txbxContent>
                                  <w:p w14:paraId="1A523FC8">
                                    <w:pPr>
                                      <w:jc w:val="center"/>
                                      <w:rPr>
                                        <w:rFonts w:hint="default"/>
                                        <w:lang w:val="en-US" w:eastAsia="zh-CN"/>
                                      </w:rPr>
                                    </w:pPr>
                                    <w:r>
                                      <w:rPr>
                                        <w:rFonts w:hint="eastAsia"/>
                                        <w:lang w:val="en-US" w:eastAsia="zh-CN"/>
                                      </w:rPr>
                                      <w:t>扬尘、固废、噪声</w:t>
                                    </w:r>
                                  </w:p>
                                  <w:p w14:paraId="35339D62">
                                    <w:pPr>
                                      <w:pStyle w:val="26"/>
                                      <w:rPr>
                                        <w:rFonts w:hint="eastAsia"/>
                                        <w:lang w:eastAsia="zh-CN"/>
                                      </w:rPr>
                                    </w:pPr>
                                  </w:p>
                                </w:txbxContent>
                              </wps:txbx>
                              <wps:bodyPr upright="1"/>
                            </wps:wsp>
                            <wps:wsp>
                              <wps:cNvPr id="136" name="矩形 72"/>
                              <wps:cNvSpPr/>
                              <wps:spPr>
                                <a:xfrm>
                                  <a:off x="0" y="3160255"/>
                                  <a:ext cx="1257465" cy="266742"/>
                                </a:xfrm>
                                <a:prstGeom prst="rect">
                                  <a:avLst/>
                                </a:prstGeom>
                                <a:noFill/>
                                <a:ln>
                                  <a:noFill/>
                                </a:ln>
                              </wps:spPr>
                              <wps:txbx>
                                <w:txbxContent>
                                  <w:p w14:paraId="06DE4C6F">
                                    <w:pPr>
                                      <w:jc w:val="center"/>
                                      <w:rPr>
                                        <w:rFonts w:hint="default"/>
                                        <w:lang w:val="en-US" w:eastAsia="zh-CN"/>
                                      </w:rPr>
                                    </w:pPr>
                                    <w:r>
                                      <w:rPr>
                                        <w:rFonts w:hint="eastAsia"/>
                                        <w:lang w:val="en-US" w:eastAsia="zh-CN"/>
                                      </w:rPr>
                                      <w:t>扬尘、固废、噪声</w:t>
                                    </w:r>
                                  </w:p>
                                  <w:p w14:paraId="7D39838A">
                                    <w:pPr>
                                      <w:pStyle w:val="26"/>
                                      <w:rPr>
                                        <w:rFonts w:hint="eastAsia"/>
                                        <w:lang w:eastAsia="zh-CN"/>
                                      </w:rPr>
                                    </w:pPr>
                                  </w:p>
                                </w:txbxContent>
                              </wps:txbx>
                              <wps:bodyPr upright="1"/>
                            </wps:wsp>
                          </wpc:wpc>
                        </a:graphicData>
                      </a:graphic>
                    </wp:anchor>
                  </w:drawing>
                </mc:Choice>
                <mc:Fallback>
                  <w:pict>
                    <v:group id="_x0000_s1026" o:spid="_x0000_s1026" o:spt="203" style="position:absolute;left:0pt;margin-left:3.55pt;margin-top:1.5pt;height:316.1pt;width:381.95pt;z-index:251734016;mso-width-relative:page;mso-height-relative:page;" coordsize="4850765,4014470" editas="canvas" o:gfxdata="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">
                      <o:lock v:ext="edit" aspectratio="f"/>
                      <v:shape id="_x0000_s1026" o:spid="_x0000_s1026" style="position:absolute;left:0;top:0;height:4014470;width:4850765;" filled="f" stroked="f" coordsize="21600,21600" o:gfxdata="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">
                        <v:fill on="f" focussize="0,0"/>
                        <v:stroke on="f" weight="0.5pt"/>
                        <v:imagedata o:title=""/>
                        <o:lock v:ext="edit" aspectratio="t"/>
                      </v:shape>
                      <v:rect id="矩形 17" o:spid="_x0000_s1026" o:spt="1" style="position:absolute;left:2051954;top:177193;height:283889;width:1097424;" filled="f" stroked="t" coordsize="21600,21600" o:gfxdata="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9YG8c9YAAAAHAQAADwAAAAAAAAABACAAAAAiAAAA&#10;ZHJzL2Rvd25yZXYueG1sUEsBAhQAFAAAAAgAh07iQD5c9VQJAgAADQQAAA4AAAAAAAAAAQAgAAAA&#10;JQEAAGRycy9lMm9Eb2MueG1sUEsFBgAAAAAGAAYAWQEAAKAFAAAAAA==&#10;">
                        <v:fill on="f" focussize="0,0"/>
                        <v:stroke color="#000000" joinstyle="miter"/>
                        <v:imagedata o:title=""/>
                        <o:lock v:ext="edit" aspectratio="f"/>
                        <v:textbox>
                          <w:txbxContent>
                            <w:p w14:paraId="27A893FB">
                              <w:pPr>
                                <w:jc w:val="center"/>
                                <w:rPr>
                                  <w:rFonts w:hint="default"/>
                                  <w:lang w:val="en-US" w:eastAsia="zh-CN"/>
                                </w:rPr>
                              </w:pPr>
                              <w:r>
                                <w:rPr>
                                  <w:rFonts w:hint="eastAsia"/>
                                  <w:lang w:val="en-US" w:eastAsia="zh-CN"/>
                                </w:rPr>
                                <w:t>施工人员进入</w:t>
                              </w:r>
                            </w:p>
                            <w:p w14:paraId="05778C46">
                              <w:pPr>
                                <w:pStyle w:val="26"/>
                                <w:rPr>
                                  <w:rFonts w:hint="eastAsia"/>
                                  <w:lang w:eastAsia="zh-CN"/>
                                </w:rPr>
                              </w:pPr>
                            </w:p>
                          </w:txbxContent>
                        </v:textbox>
                      </v:rect>
                      <v:rect id="矩形 18" o:spid="_x0000_s1026" o:spt="1" style="position:absolute;left:2129434;top:2538492;height:297862;width:992000;" filled="f" stroked="t" coordsize="21600,21600" o:gfxdata="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WBvHPWAAAABwEAAA8AAAAAAAAAAQAgAAAAIgAA&#10;AGRycy9kb3ducmV2LnhtbFBLAQIUABQAAAAIAIdO4kAFhnldCgIAAA4EAAAOAAAAAAAAAAEAIAAA&#10;ACUBAABkcnMvZTJvRG9jLnhtbFBLBQYAAAAABgAGAFkBAAChBQAAAAA=&#10;">
                        <v:fill on="f" focussize="0,0"/>
                        <v:stroke color="#000000" joinstyle="miter"/>
                        <v:imagedata o:title=""/>
                        <o:lock v:ext="edit" aspectratio="f"/>
                        <v:textbox>
                          <w:txbxContent>
                            <w:p w14:paraId="57579134">
                              <w:pPr>
                                <w:jc w:val="center"/>
                                <w:rPr>
                                  <w:rFonts w:hint="default" w:eastAsia="宋体"/>
                                  <w:lang w:val="en-US" w:eastAsia="zh-CN"/>
                                </w:rPr>
                              </w:pPr>
                              <w:r>
                                <w:rPr>
                                  <w:rFonts w:hint="eastAsia" w:eastAsia="宋体"/>
                                  <w:lang w:val="en-US" w:eastAsia="zh-CN"/>
                                </w:rPr>
                                <w:t>组装、调试</w:t>
                              </w:r>
                            </w:p>
                          </w:txbxContent>
                        </v:textbox>
                      </v:rect>
                      <v:rect id="矩形 19" o:spid="_x0000_s1026" o:spt="1" style="position:absolute;left:2199928;top:1303859;height:296591;width:841485;" filled="f" stroked="t" coordsize="21600,21600" o:gfxdata="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WBvHPWAAAABwEAAA8AAAAAAAAAAQAgAAAAIgAA&#10;AGRycy9kb3ducmV2LnhtbFBLAQIUABQAAAAIAIdO4kDoQt2uCgIAAA4EAAAOAAAAAAAAAAEAIAAA&#10;ACUBAABkcnMvZTJvRG9jLnhtbFBLBQYAAAAABgAGAFkBAAChBQAAAAA=&#10;">
                        <v:fill on="f" focussize="0,0"/>
                        <v:stroke color="#000000" joinstyle="miter"/>
                        <v:imagedata o:title=""/>
                        <o:lock v:ext="edit" aspectratio="f"/>
                        <v:textbox>
                          <w:txbxContent>
                            <w:p w14:paraId="4525BE0F">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基础开挖</w:t>
                              </w:r>
                            </w:p>
                            <w:p w14:paraId="6A26FF58">
                              <w:pPr>
                                <w:jc w:val="center"/>
                                <w:rPr>
                                  <w:rFonts w:hint="default" w:ascii="Times New Roman" w:hAnsi="Times New Roman" w:eastAsia="宋体" w:cs="Times New Roman"/>
                                  <w:lang w:val="en-US" w:eastAsia="zh-CN"/>
                                </w:rPr>
                              </w:pPr>
                            </w:p>
                          </w:txbxContent>
                        </v:textbox>
                      </v:rect>
                      <v:rect id="矩形 22" o:spid="_x0000_s1026" o:spt="1" style="position:absolute;left:1914141;top:1939594;height:294686;width:1407979;" filled="f" stroked="t" coordsize="21600,21600" o:gfxdata="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&#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1gbxz1gAAAAcBAAAPAAAAAAAAAAEAIAAAACIAAABk&#10;cnMvZG93bnJldi54bWxQSwECFAAUAAAACACHTuJA97cV7ggCAAAPBAAADgAAAAAAAAABACAAAAAl&#10;AQAAZHJzL2Uyb0RvYy54bWxQSwUGAAAAAAYABgBZAQAAnwUAAAAA&#10;">
                        <v:fill on="f" focussize="0,0"/>
                        <v:stroke color="#000000" joinstyle="miter"/>
                        <v:imagedata o:title=""/>
                        <o:lock v:ext="edit" aspectratio="f"/>
                        <v:textbox>
                          <w:txbxContent>
                            <w:p w14:paraId="3A325A57">
                              <w:pPr>
                                <w:jc w:val="center"/>
                                <w:rPr>
                                  <w:rFonts w:hint="default" w:eastAsia="宋体"/>
                                  <w:highlight w:val="none"/>
                                  <w:lang w:val="en-US" w:eastAsia="zh-CN"/>
                                </w:rPr>
                              </w:pPr>
                              <w:r>
                                <w:rPr>
                                  <w:rFonts w:hint="eastAsia" w:eastAsia="宋体"/>
                                  <w:highlight w:val="none"/>
                                  <w:lang w:val="en-US" w:eastAsia="zh-CN"/>
                                </w:rPr>
                                <w:t>液体肥车间等</w:t>
                              </w:r>
                              <w:r>
                                <w:rPr>
                                  <w:rFonts w:hint="default" w:eastAsia="宋体"/>
                                  <w:highlight w:val="none"/>
                                  <w:lang w:val="en-US" w:eastAsia="zh-CN"/>
                                </w:rPr>
                                <w:t>建设</w:t>
                              </w:r>
                            </w:p>
                          </w:txbxContent>
                        </v:textbox>
                      </v:rect>
                      <v:rect id="矩形 23" o:spid="_x0000_s1026" o:spt="1" style="position:absolute;left:1477838;top:3124689;height:296591;width:2252640;" filled="f" stroked="t" coordsize="21600,21600" o:gfxdata="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WBvHPWAAAABwEAAA8AAAAAAAAAAQAgAAAAIgAA&#10;AGRycy9kb3ducmV2LnhtbFBLAQIUABQAAAAIAIdO4kBRY4Q/CgIAAA8EAAAOAAAAAAAAAAEAIAAA&#10;ACUBAABkcnMvZTJvRG9jLnhtbFBLBQYAAAAABgAGAFkBAAChBQAAAAA=&#10;">
                        <v:fill on="f" focussize="0,0"/>
                        <v:stroke color="#000000" joinstyle="miter"/>
                        <v:imagedata o:title=""/>
                        <o:lock v:ext="edit" aspectratio="f"/>
                        <v:textbox>
                          <w:txbxContent>
                            <w:p w14:paraId="1143A39F">
                              <w:pPr>
                                <w:jc w:val="center"/>
                                <w:rPr>
                                  <w:rFonts w:hint="default" w:eastAsia="宋体"/>
                                  <w:lang w:val="en-US" w:eastAsia="zh-CN"/>
                                </w:rPr>
                              </w:pPr>
                              <w:r>
                                <w:rPr>
                                  <w:rFonts w:hint="default" w:eastAsia="宋体"/>
                                  <w:lang w:val="en-US" w:eastAsia="zh-CN"/>
                                </w:rPr>
                                <w:t>清理现场、临设拆除、场地硬化</w:t>
                              </w:r>
                            </w:p>
                          </w:txbxContent>
                        </v:textbox>
                      </v:rect>
                      <v:rect id="矩形 24" o:spid="_x0000_s1026" o:spt="1" style="position:absolute;left:2077992;top:749417;height:279444;width:1074561;" filled="f" stroked="t" coordsize="21600,21600" o:gfxdata="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1gbxz1gAAAAcBAAAPAAAAAAAAAAEAIAAAACIA&#10;AABkcnMvZG93bnJldi54bWxQSwECFAAUAAAACACHTuJArrPJ8QsCAAAOBAAADgAAAAAAAAABACAA&#10;AAAlAQAAZHJzL2Uyb0RvYy54bWxQSwUGAAAAAAYABgBZAQAAogUAAAAA&#10;">
                        <v:fill on="f" focussize="0,0"/>
                        <v:stroke color="#000000" joinstyle="miter"/>
                        <v:imagedata o:title=""/>
                        <o:lock v:ext="edit" aspectratio="f"/>
                        <v:textbox>
                          <w:txbxContent>
                            <w:p w14:paraId="4EB1D8D9">
                              <w:pPr>
                                <w:jc w:val="center"/>
                                <w:rPr>
                                  <w:rFonts w:hint="default"/>
                                  <w:lang w:val="en-US" w:eastAsia="zh-CN"/>
                                </w:rPr>
                              </w:pPr>
                              <w:r>
                                <w:rPr>
                                  <w:rFonts w:hint="eastAsia"/>
                                  <w:lang w:val="en-US" w:eastAsia="zh-CN"/>
                                </w:rPr>
                                <w:t>场地清理平整</w:t>
                              </w:r>
                            </w:p>
                            <w:p w14:paraId="015C9B46">
                              <w:pPr>
                                <w:pStyle w:val="26"/>
                                <w:rPr>
                                  <w:rFonts w:hint="eastAsia"/>
                                  <w:lang w:eastAsia="zh-CN"/>
                                </w:rPr>
                              </w:pPr>
                            </w:p>
                          </w:txbxContent>
                        </v:textbox>
                      </v:rect>
                      <v:line id="直接连接符 28" o:spid="_x0000_s1026" o:spt="20" style="position:absolute;left:2612097;top:1034577;height:269917;width:635;" filled="f" stroked="t" coordsize="21600,21600" o:gfxdata="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bLPf+tgAAAAHAQAADwAAAAAAAAABACAA&#10;AAAiAAAAZHJzL2Rvd25yZXYueG1sUEsBAhQAFAAAAAgAh07iQHC4RpINAgAA9QMAAA4AAAAAAAAA&#10;AQAgAAAAJwEAAGRycy9lMm9Eb2MueG1sUEsFBgAAAAAGAAYAWQEAAKYFAAAAAA==&#10;">
                        <v:fill on="f" focussize="0,0"/>
                        <v:stroke color="#000000" joinstyle="round" endarrow="open"/>
                        <v:imagedata o:title=""/>
                        <o:lock v:ext="edit" aspectratio="f"/>
                      </v:line>
                      <v:line id="直接连接符 29" o:spid="_x0000_s1026" o:spt="20" style="position:absolute;left:2620353;top:1613788;height:325806;width:635;" filled="f" stroked="t" coordsize="21600,21600" o:gfxdata="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bLPf+tgAAAAHAQAADwAAAAAAAAABACAAAAAi&#10;AAAAZHJzL2Rvd25yZXYueG1sUEsBAhQAFAAAAAgAh07iQKnlDyUKAgAA9QMAAA4AAAAAAAAAAQAg&#10;AAAAJwEAAGRycy9lMm9Eb2MueG1sUEsFBgAAAAAGAAYAWQEAAKMFAAAAAA==&#10;">
                        <v:fill on="f" focussize="0,0"/>
                        <v:stroke color="#000000" joinstyle="round" endarrow="open"/>
                        <v:imagedata o:title=""/>
                        <o:lock v:ext="edit" aspectratio="f"/>
                      </v:line>
                      <v:line id="直接连接符 30" o:spid="_x0000_s1026" o:spt="20" style="position:absolute;left:2621623;top:2249522;height:294051;width:635;" filled="f" stroked="t" coordsize="21600,21600" o:gfxdata="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ss9/62AAAAAcBAAAPAAAAAAAAAAEAIAAAACIAAABk&#10;cnMvZG93bnJldi54bWxQSwECFAAUAAAACACHTuJA9oE4bQYCAAD1AwAADgAAAAAAAAABACAAAAAn&#10;AQAAZHJzL2Uyb0RvYy54bWxQSwUGAAAAAAYABgBZAQAAnwUAAAAA&#10;">
                        <v:fill on="f" focussize="0,0"/>
                        <v:stroke color="#000000" joinstyle="round" endarrow="open"/>
                        <v:imagedata o:title=""/>
                        <o:lock v:ext="edit" aspectratio="f"/>
                      </v:line>
                      <v:line id="直接连接符 59" o:spid="_x0000_s1026" o:spt="20" style="position:absolute;left:1193956;top:3283464;flip:x;height:6986;width:292773;" filled="f" stroked="t" coordsize="21600,21600" o:gfxdata="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l+b+R1QAAAAcBAAAPAAAAAAAA&#10;AAEAIAAAACIAAABkcnMvZG93bnJldi54bWxQSwECFAAUAAAACACHTuJAyKqvRhUCAAD/AwAADgAA&#10;AAAAAAABACAAAAAkAQAAZHJzL2Uyb0RvYy54bWxQSwUGAAAAAAYABgBZAQAAqwUAAAAA&#10;">
                        <v:fill on="f" focussize="0,0"/>
                        <v:stroke color="#000000" joinstyle="round" dashstyle="dash" endarrow="open"/>
                        <v:imagedata o:title=""/>
                        <o:lock v:ext="edit" aspectratio="f"/>
                      </v:line>
                      <v:line id="直接连接符 62" o:spid="_x0000_s1026" o:spt="20" style="position:absolute;left:2614002;top:465528;height:292146;width:0;" filled="f" stroked="t" coordsize="21600,21600" o:gfxdata="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yz3/rYAAAABwEAAA8AAAAAAAAAAQAgAAAAIgAA&#10;AGRycy9kb3ducmV2LnhtbFBLAQIUABQAAAAIAIdO4kCo9nrXCAIAAPIDAAAOAAAAAAAAAAEAIAAA&#10;ACcBAABkcnMvZTJvRG9jLnhtbFBLBQYAAAAABgAGAFkBAAChBQAAAAA=&#10;">
                        <v:fill on="f" focussize="0,0"/>
                        <v:stroke color="#000000" joinstyle="round" endarrow="open"/>
                        <v:imagedata o:title=""/>
                        <o:lock v:ext="edit" aspectratio="f"/>
                      </v:line>
                      <v:line id="直接连接符 63" o:spid="_x0000_s1026" o:spt="20" style="position:absolute;left:2617813;top:2838259;height:292146;width:0;" filled="f" stroked="t" coordsize="21600,21600" o:gfxdata="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ss9/62AAAAAcBAAAPAAAAAAAAAAEAIAAAACIA&#10;AABkcnMvZG93bnJldi54bWxQSwECFAAUAAAACACHTuJAF0+4nAkCAADzAwAADgAAAAAAAAABACAA&#10;AAAnAQAAZHJzL2Uyb0RvYy54bWxQSwUGAAAAAAYABgBZAQAAogUAAAAA&#10;">
                        <v:fill on="f" focussize="0,0"/>
                        <v:stroke color="#000000" joinstyle="round" endarrow="open"/>
                        <v:imagedata o:title=""/>
                        <o:lock v:ext="edit" aspectratio="f"/>
                      </v:line>
                      <v:line id="直接连接符 64" o:spid="_x0000_s1026" o:spt="20" style="position:absolute;left:2614637;top:3426997;height:292146;width:0;" filled="f" stroked="t" coordsize="21600,21600" o:gfxdata="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bLPf+tgAAAAHAQAADwAAAAAAAAABACAAAAAi&#10;AAAAZHJzL2Rvd25yZXYueG1sUEsBAhQAFAAAAAgAh07iQGl/C3EKAgAA8wMAAA4AAAAAAAAAAQAg&#10;AAAAJwEAAGRycy9lMm9Eb2MueG1sUEsFBgAAAAAGAAYAWQEAAKMFAAAAAA==&#10;">
                        <v:fill on="f" focussize="0,0"/>
                        <v:stroke color="#000000" joinstyle="round" endarrow="open"/>
                        <v:imagedata o:title=""/>
                        <o:lock v:ext="edit" aspectratio="f"/>
                      </v:line>
                      <v:rect id="矩形 65" o:spid="_x0000_s1026" o:spt="1" style="position:absolute;left:2185321;top:3726128;height:292146;width:843390;" filled="f" stroked="t" coordsize="21600,21600" o:gfxdata="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WBvHPWAAAABwEAAA8AAAAAAAAAAQAgAAAAIgAA&#10;AGRycy9kb3ducmV2LnhtbFBLAQIUABQAAAAIAIdO4kBV3sEnCgIAAA4EAAAOAAAAAAAAAAEAIAAA&#10;ACUBAABkcnMvZTJvRG9jLnhtbFBLBQYAAAAABgAGAFkBAAChBQAAAAA=&#10;">
                        <v:fill on="f" focussize="0,0"/>
                        <v:stroke color="#000000" joinstyle="miter"/>
                        <v:imagedata o:title=""/>
                        <o:lock v:ext="edit" aspectratio="f"/>
                        <v:textbox>
                          <w:txbxContent>
                            <w:p w14:paraId="091D5FF8">
                              <w:pPr>
                                <w:jc w:val="center"/>
                                <w:rPr>
                                  <w:rFonts w:hint="default" w:eastAsia="宋体"/>
                                  <w:lang w:val="en-US" w:eastAsia="zh-CN"/>
                                </w:rPr>
                              </w:pPr>
                              <w:r>
                                <w:rPr>
                                  <w:rFonts w:hint="eastAsia" w:eastAsia="宋体"/>
                                  <w:lang w:val="en-US" w:eastAsia="zh-CN"/>
                                </w:rPr>
                                <w:t>竣工验收</w:t>
                              </w:r>
                            </w:p>
                          </w:txbxContent>
                        </v:textbox>
                      </v:rect>
                      <v:rect id="矩形 66" o:spid="_x0000_s1026" o:spt="1" style="position:absolute;left:3320850;top:768470;height:279444;width:1268896;" filled="f" stroked="f" coordsize="21600,21600" o:gfxdata="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g&#10;J0MQ2AAAAAcBAAAPAAAAAAAAAAEAIAAAACIAAABkcnMvZG93bnJldi54bWxQSwECFAAUAAAACACH&#10;TuJA9l+2TbIBAABPAwAADgAAAAAAAAABACAAAAAnAQAAZHJzL2Uyb0RvYy54bWxQSwUGAAAAAAYA&#10;BgBZAQAASwUAAAAA&#10;">
                        <v:fill on="f" focussize="0,0"/>
                        <v:stroke on="f"/>
                        <v:imagedata o:title=""/>
                        <o:lock v:ext="edit" aspectratio="f"/>
                        <v:textbox>
                          <w:txbxContent>
                            <w:p w14:paraId="534A32F8">
                              <w:pPr>
                                <w:jc w:val="center"/>
                                <w:rPr>
                                  <w:rFonts w:hint="default"/>
                                  <w:lang w:val="en-US" w:eastAsia="zh-CN"/>
                                </w:rPr>
                              </w:pPr>
                              <w:r>
                                <w:rPr>
                                  <w:rFonts w:hint="eastAsia"/>
                                  <w:lang w:val="en-US" w:eastAsia="zh-CN"/>
                                </w:rPr>
                                <w:t>扬尘、固废、噪声</w:t>
                              </w:r>
                            </w:p>
                            <w:p w14:paraId="1C83C450">
                              <w:pPr>
                                <w:pStyle w:val="26"/>
                                <w:rPr>
                                  <w:rFonts w:hint="eastAsia"/>
                                  <w:lang w:eastAsia="zh-CN"/>
                                </w:rPr>
                              </w:pPr>
                            </w:p>
                          </w:txbxContent>
                        </v:textbox>
                      </v:rect>
                      <v:line id="直接连接符 67" o:spid="_x0000_s1026" o:spt="20" style="position:absolute;left:3160809;top:903746;height:0;width:241332;" filled="f" stroked="t" coordsize="21600,21600" o:gfxdata="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etwq7XAAAABwEAAA8AAAAAAAAAAQAgAAAA&#10;IgAAAGRycy9kb3ducmV2LnhtbFBLAQIUABQAAAAIAIdO4kBi4rxVDAIAAPEDAAAOAAAAAAAAAAEA&#10;IAAAACYBAABkcnMvZTJvRG9jLnhtbFBLBQYAAAAABgAGAFkBAACkBQAAAAA=&#10;">
                        <v:fill on="f" focussize="0,0"/>
                        <v:stroke color="#000000" joinstyle="round" dashstyle="dash" endarrow="open"/>
                        <v:imagedata o:title=""/>
                        <o:lock v:ext="edit" aspectratio="f"/>
                      </v:line>
                      <v:line id="直接连接符 68" o:spid="_x0000_s1026" o:spt="20" style="position:absolute;left:3050939;top:1458188;height:0;width:241332;" filled="f" stroked="t" coordsize="21600,21600" o:gfxdata="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etwq7XAAAABwEAAA8AAAAAAAAAAQAgAAAA&#10;IgAAAGRycy9kb3ducmV2LnhtbFBLAQIUABQAAAAIAIdO4kAd+vvnDAIAAPIDAAAOAAAAAAAAAAEA&#10;IAAAACYBAABkcnMvZTJvRG9jLnhtbFBLBQYAAAAABgAGAFkBAACkBQAAAAA=&#10;">
                        <v:fill on="f" focussize="0,0"/>
                        <v:stroke color="#000000" joinstyle="round" dashstyle="dash" endarrow="open"/>
                        <v:imagedata o:title=""/>
                        <o:lock v:ext="edit" aspectratio="f"/>
                      </v:line>
                      <v:rect id="矩形 69" o:spid="_x0000_s1026" o:spt="1" style="position:absolute;left:3212886;top:1329898;height:279444;width:1257465;" filled="f" stroked="f" coordsize="21600,21600" o:gfxdata="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YCdDENgAAAAHAQAADwAAAAAAAAABACAAAAAiAAAAZHJzL2Rvd25yZXYueG1sUEsBAhQAFAAAAAgA&#10;h07iQCGnBeyzAQAAUAMAAA4AAAAAAAAAAQAgAAAAJwEAAGRycy9lMm9Eb2MueG1sUEsFBgAAAAAG&#10;AAYAWQEAAEwFAAAAAA==&#10;">
                        <v:fill on="f" focussize="0,0"/>
                        <v:stroke on="f"/>
                        <v:imagedata o:title=""/>
                        <o:lock v:ext="edit" aspectratio="f"/>
                        <v:textbox>
                          <w:txbxContent>
                            <w:p w14:paraId="349CD7DD">
                              <w:pPr>
                                <w:jc w:val="center"/>
                                <w:rPr>
                                  <w:rFonts w:hint="default"/>
                                  <w:lang w:val="en-US" w:eastAsia="zh-CN"/>
                                </w:rPr>
                              </w:pPr>
                              <w:r>
                                <w:rPr>
                                  <w:rFonts w:hint="eastAsia"/>
                                  <w:lang w:val="en-US" w:eastAsia="zh-CN"/>
                                </w:rPr>
                                <w:t>扬尘、固废、噪声</w:t>
                              </w:r>
                            </w:p>
                            <w:p w14:paraId="18426ED1">
                              <w:pPr>
                                <w:pStyle w:val="26"/>
                                <w:rPr>
                                  <w:rFonts w:hint="eastAsia"/>
                                  <w:lang w:eastAsia="zh-CN"/>
                                </w:rPr>
                              </w:pPr>
                            </w:p>
                          </w:txbxContent>
                        </v:textbox>
                      </v:rect>
                      <v:line id="直接连接符 70" o:spid="_x0000_s1026" o:spt="20" style="position:absolute;left:3322755;top:2084396;height:0;width:241332;" filled="f" stroked="t" coordsize="21600,21600" o:gfxdata="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nrcKu1wAAAAcBAAAPAAAAAAAAAAEAIAAAACIA&#10;AABkcnMvZG93bnJldi54bWxQSwECFAAUAAAACACHTuJAmwMPUQoCAADyAwAADgAAAAAAAAABACAA&#10;AAAmAQAAZHJzL2Uyb0RvYy54bWxQSwUGAAAAAAYABgBZAQAAogUAAAAA&#10;">
                        <v:fill on="f" focussize="0,0"/>
                        <v:stroke color="#000000" joinstyle="round" dashstyle="dash" endarrow="open"/>
                        <v:imagedata o:title=""/>
                        <o:lock v:ext="edit" aspectratio="f"/>
                      </v:line>
                      <v:rect id="矩形 71" o:spid="_x0000_s1026" o:spt="1" style="position:absolute;left:3477715;top:1941499;height:278809;width:1257465;" filled="f" stroked="f" coordsize="21600,21600" o:gfxdata="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An&#10;QxDYAAAABwEAAA8AAAAAAAAAAQAgAAAAIgAAAGRycy9kb3ducmV2LnhtbFBLAQIUABQAAAAIAIdO&#10;4kDSzsxfsQEAAFADAAAOAAAAAAAAAAEAIAAAACcBAABkcnMvZTJvRG9jLnhtbFBLBQYAAAAABgAG&#10;AFkBAABKBQAAAAA=&#10;">
                        <v:fill on="f" focussize="0,0"/>
                        <v:stroke on="f"/>
                        <v:imagedata o:title=""/>
                        <o:lock v:ext="edit" aspectratio="f"/>
                        <v:textbox>
                          <w:txbxContent>
                            <w:p w14:paraId="1A523FC8">
                              <w:pPr>
                                <w:jc w:val="center"/>
                                <w:rPr>
                                  <w:rFonts w:hint="default"/>
                                  <w:lang w:val="en-US" w:eastAsia="zh-CN"/>
                                </w:rPr>
                              </w:pPr>
                              <w:r>
                                <w:rPr>
                                  <w:rFonts w:hint="eastAsia"/>
                                  <w:lang w:val="en-US" w:eastAsia="zh-CN"/>
                                </w:rPr>
                                <w:t>扬尘、固废、噪声</w:t>
                              </w:r>
                            </w:p>
                            <w:p w14:paraId="35339D62">
                              <w:pPr>
                                <w:pStyle w:val="26"/>
                                <w:rPr>
                                  <w:rFonts w:hint="eastAsia"/>
                                  <w:lang w:eastAsia="zh-CN"/>
                                </w:rPr>
                              </w:pPr>
                            </w:p>
                          </w:txbxContent>
                        </v:textbox>
                      </v:rect>
                      <v:rect id="矩形 72" o:spid="_x0000_s1026" o:spt="1" style="position:absolute;left:0;top:3160255;height:266742;width:1257465;" filled="f" stroked="f" coordsize="21600,21600" o:gfxdata="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YCdDENgA&#10;AAAHAQAADwAAAAAAAAABACAAAAAiAAAAZHJzL2Rvd25yZXYueG1sUEsBAhQAFAAAAAgAh07iQM0B&#10;QWmtAQAASgMAAA4AAAAAAAAAAQAgAAAAJwEAAGRycy9lMm9Eb2MueG1sUEsFBgAAAAAGAAYAWQEA&#10;AEYFAAAAAA==&#10;">
                        <v:fill on="f" focussize="0,0"/>
                        <v:stroke on="f"/>
                        <v:imagedata o:title=""/>
                        <o:lock v:ext="edit" aspectratio="f"/>
                        <v:textbox>
                          <w:txbxContent>
                            <w:p w14:paraId="06DE4C6F">
                              <w:pPr>
                                <w:jc w:val="center"/>
                                <w:rPr>
                                  <w:rFonts w:hint="default"/>
                                  <w:lang w:val="en-US" w:eastAsia="zh-CN"/>
                                </w:rPr>
                              </w:pPr>
                              <w:r>
                                <w:rPr>
                                  <w:rFonts w:hint="eastAsia"/>
                                  <w:lang w:val="en-US" w:eastAsia="zh-CN"/>
                                </w:rPr>
                                <w:t>扬尘、固废、噪声</w:t>
                              </w:r>
                            </w:p>
                            <w:p w14:paraId="7D39838A">
                              <w:pPr>
                                <w:pStyle w:val="26"/>
                                <w:rPr>
                                  <w:rFonts w:hint="eastAsia"/>
                                  <w:lang w:eastAsia="zh-CN"/>
                                </w:rPr>
                              </w:pPr>
                            </w:p>
                          </w:txbxContent>
                        </v:textbox>
                      </v:rect>
                    </v:group>
                  </w:pict>
                </mc:Fallback>
              </mc:AlternateContent>
            </w:r>
          </w:p>
          <w:p w14:paraId="17EFB8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0560EE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5ECD76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0113A67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0AED05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79F7A127">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42295C5F">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00398B60">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6998C826">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3CFA8755">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3C030BDF">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4B01CF97">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47D171A9">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0662F63F">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54537B16">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17948B2E">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48377213">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272CC536">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default"/>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图</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2-</w:t>
            </w:r>
            <w:r>
              <w:rPr>
                <w:rFonts w:hint="eastAsia" w:eastAsia="宋体" w:cs="Times New Roman"/>
                <w:b/>
                <w:bCs/>
                <w:color w:val="000000" w:themeColor="text1"/>
                <w:kern w:val="0"/>
                <w:sz w:val="21"/>
                <w:szCs w:val="21"/>
                <w:highlight w:val="none"/>
                <w:lang w:val="en-US" w:eastAsia="zh-CN" w:bidi="ar"/>
                <w14:textFill>
                  <w14:solidFill>
                    <w14:schemeClr w14:val="tx1"/>
                  </w14:solidFill>
                </w14:textFill>
              </w:rPr>
              <w:t>2</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施工期工艺流程及产污节点图</w:t>
            </w:r>
          </w:p>
          <w:p w14:paraId="697CDF8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营运期工艺流程简述</w:t>
            </w:r>
          </w:p>
          <w:p w14:paraId="1DC7FDB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（1）营运期工艺流程及产污节点图见图2-3。</w:t>
            </w:r>
          </w:p>
          <w:p w14:paraId="5058E05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38CAD80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DF88577">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F16E28D">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016D2C1B">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090925E5">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5B03121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3E78DFFA">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tc>
      </w:tr>
    </w:tbl>
    <w:p w14:paraId="08D100DA">
      <w:pPr>
        <w:pStyle w:val="27"/>
        <w:jc w:val="both"/>
        <w:rPr>
          <w:rFonts w:hint="default" w:ascii="Times New Roman" w:hAnsi="Times New Roman" w:eastAsia="宋体" w:cs="Times New Roman"/>
          <w:snapToGrid w:val="0"/>
          <w:color w:val="000000" w:themeColor="text1"/>
          <w:sz w:val="36"/>
          <w:szCs w:val="36"/>
          <w14:textFill>
            <w14:solidFill>
              <w14:schemeClr w14:val="tx1"/>
            </w14:solidFill>
          </w14:textFill>
        </w:rPr>
        <w:sectPr>
          <w:footerReference r:id="rId4" w:type="default"/>
          <w:pgSz w:w="11906" w:h="16838"/>
          <w:pgMar w:top="1701" w:right="1531" w:bottom="1701" w:left="1531" w:header="851" w:footer="851" w:gutter="0"/>
          <w:pgBorders>
            <w:top w:val="none" w:sz="0" w:space="0"/>
            <w:left w:val="none" w:sz="0" w:space="0"/>
            <w:bottom w:val="none" w:sz="0" w:space="0"/>
            <w:right w:val="none" w:sz="0" w:space="0"/>
          </w:pgBorders>
          <w:pgNumType w:fmt="decimal" w:start="1"/>
          <w:cols w:space="720" w:num="1"/>
          <w:docGrid w:linePitch="312" w:charSpace="0"/>
        </w:sectPr>
      </w:pPr>
    </w:p>
    <w:tbl>
      <w:tblPr>
        <w:tblStyle w:val="30"/>
        <w:tblW w:w="14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13655"/>
      </w:tblGrid>
      <w:tr w14:paraId="7977C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5" w:hRule="atLeast"/>
          <w:jc w:val="center"/>
        </w:trPr>
        <w:tc>
          <w:tcPr>
            <w:tcW w:w="424" w:type="dxa"/>
            <w:noWrap w:val="0"/>
            <w:vAlign w:val="center"/>
          </w:tcPr>
          <w:p w14:paraId="0BEE47D4">
            <w:pPr>
              <w:pStyle w:val="2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outlineLvl w:val="9"/>
              <w:rPr>
                <w:rFonts w:hint="default" w:ascii="Times New Roman" w:hAnsi="Times New Roman" w:eastAsia="宋体" w:cs="Times New Roman"/>
                <w:b/>
                <w:bCs/>
                <w:snapToGrid w:val="0"/>
                <w:color w:val="000000" w:themeColor="text1"/>
                <w:sz w:val="30"/>
                <w:szCs w:val="30"/>
                <w:vertAlign w:val="baselin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工艺流程和产排污环节</w:t>
            </w:r>
          </w:p>
        </w:tc>
        <w:tc>
          <w:tcPr>
            <w:tcW w:w="13655" w:type="dxa"/>
            <w:noWrap w:val="0"/>
            <w:vAlign w:val="top"/>
          </w:tcPr>
          <w:p w14:paraId="33161029">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default" w:ascii="Times New Roman" w:hAnsi="Times New Roman" w:eastAsia="宋体" w:cs="Times New Roman"/>
                <w:b/>
                <w:bCs/>
                <w:snapToGrid w:val="0"/>
                <w:color w:val="000000" w:themeColor="text1"/>
                <w:sz w:val="30"/>
                <w:szCs w:val="30"/>
                <w:vertAlign w:val="baseline"/>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3543935</wp:posOffset>
                      </wp:positionH>
                      <wp:positionV relativeFrom="paragraph">
                        <wp:posOffset>5356225</wp:posOffset>
                      </wp:positionV>
                      <wp:extent cx="2477135" cy="272415"/>
                      <wp:effectExtent l="0" t="0" r="0" b="0"/>
                      <wp:wrapNone/>
                      <wp:docPr id="182" name="文本框 182"/>
                      <wp:cNvGraphicFramePr/>
                      <a:graphic xmlns:a="http://schemas.openxmlformats.org/drawingml/2006/main">
                        <a:graphicData uri="http://schemas.microsoft.com/office/word/2010/wordprocessingShape">
                          <wps:wsp>
                            <wps:cNvSpPr txBox="1"/>
                            <wps:spPr>
                              <a:xfrm>
                                <a:off x="2480310" y="7773035"/>
                                <a:ext cx="2477135" cy="2724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F62674">
                                  <w:pPr>
                                    <w:rPr>
                                      <w:color w:val="000000" w:themeColor="text1"/>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图</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2-</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3 </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运营期</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工艺流程及产污节点图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9.05pt;margin-top:421.75pt;height:21.45pt;width:195.05pt;z-index:251663360;mso-width-relative:page;mso-height-relative:page;" filled="f" stroked="f" coordsize="21600,21600" o:gfxdata="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OA0A9PcAAAACwEAAA8AAAAA&#10;AAAAAQAgAAAAIgAAAGRycy9kb3ducmV2LnhtbFBLAQIUABQAAAAIAIdO4kBmQunvSQIAAHYEAAAO&#10;AAAAAAAAAAEAIAAAACsBAABkcnMvZTJvRG9jLnhtbFBLBQYAAAAABgAGAFkBAADmBQAAAAA=&#10;">
                      <v:fill on="f" focussize="0,0"/>
                      <v:stroke on="f" weight="0.5pt"/>
                      <v:imagedata o:title=""/>
                      <o:lock v:ext="edit" aspectratio="f"/>
                      <v:textbox>
                        <w:txbxContent>
                          <w:p w14:paraId="4FF62674">
                            <w:pPr>
                              <w:rPr>
                                <w:color w:val="000000" w:themeColor="text1"/>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图</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2-</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3 </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运营期</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工艺流程及产污节点图</w:t>
                            </w:r>
                          </w:p>
                        </w:txbxContent>
                      </v:textbox>
                    </v:shape>
                  </w:pict>
                </mc:Fallback>
              </mc:AlternateContent>
            </w:r>
          </w:p>
        </w:tc>
      </w:tr>
    </w:tbl>
    <w:p w14:paraId="377B129B">
      <w:pPr>
        <w:pStyle w:val="27"/>
        <w:jc w:val="both"/>
        <w:rPr>
          <w:rFonts w:hint="default" w:ascii="Times New Roman" w:hAnsi="Times New Roman" w:eastAsia="宋体" w:cs="Times New Roman"/>
          <w:snapToGrid w:val="0"/>
          <w:color w:val="000000" w:themeColor="text1"/>
          <w:sz w:val="36"/>
          <w:szCs w:val="36"/>
          <w14:textFill>
            <w14:solidFill>
              <w14:schemeClr w14:val="tx1"/>
            </w14:solidFill>
          </w14:textFill>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r>
        <w:rPr>
          <w:color w:val="000000" w:themeColor="text1"/>
          <w:sz w:val="2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5116195</wp:posOffset>
                </wp:positionH>
                <wp:positionV relativeFrom="paragraph">
                  <wp:posOffset>7312660</wp:posOffset>
                </wp:positionV>
                <wp:extent cx="2520315" cy="271145"/>
                <wp:effectExtent l="0" t="0" r="0" b="0"/>
                <wp:wrapNone/>
                <wp:docPr id="75" name="文本框 75"/>
                <wp:cNvGraphicFramePr/>
                <a:graphic xmlns:a="http://schemas.openxmlformats.org/drawingml/2006/main">
                  <a:graphicData uri="http://schemas.microsoft.com/office/word/2010/wordprocessingShape">
                    <wps:wsp>
                      <wps:cNvSpPr txBox="1"/>
                      <wps:spPr>
                        <a:xfrm>
                          <a:off x="4924425" y="6245860"/>
                          <a:ext cx="2520315" cy="2711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F29A08">
                            <w:r>
                              <w:rPr>
                                <w:rFonts w:hint="eastAsia" w:ascii="Times New Roman" w:hAnsi="Times New Roman" w:eastAsia="宋体" w:cs="Times New Roman"/>
                                <w:b/>
                                <w:bCs/>
                                <w:color w:val="000000"/>
                                <w:kern w:val="0"/>
                                <w:sz w:val="21"/>
                                <w:szCs w:val="21"/>
                                <w:highlight w:val="none"/>
                                <w:lang w:val="en-US" w:eastAsia="zh-CN" w:bidi="ar"/>
                              </w:rPr>
                              <w:t>图</w:t>
                            </w:r>
                            <w:r>
                              <w:rPr>
                                <w:rFonts w:hint="default" w:ascii="Times New Roman" w:hAnsi="Times New Roman" w:eastAsia="宋体" w:cs="Times New Roman"/>
                                <w:b/>
                                <w:bCs/>
                                <w:color w:val="000000"/>
                                <w:kern w:val="0"/>
                                <w:sz w:val="21"/>
                                <w:szCs w:val="21"/>
                                <w:highlight w:val="none"/>
                                <w:lang w:val="en-US" w:eastAsia="zh-CN" w:bidi="ar"/>
                              </w:rPr>
                              <w:t>2-</w:t>
                            </w:r>
                            <w:r>
                              <w:rPr>
                                <w:rFonts w:hint="eastAsia" w:ascii="Times New Roman" w:hAnsi="Times New Roman" w:eastAsia="宋体" w:cs="Times New Roman"/>
                                <w:b/>
                                <w:bCs/>
                                <w:color w:val="000000"/>
                                <w:kern w:val="0"/>
                                <w:sz w:val="21"/>
                                <w:szCs w:val="21"/>
                                <w:highlight w:val="none"/>
                                <w:lang w:val="en-US" w:eastAsia="zh-CN" w:bidi="ar"/>
                              </w:rPr>
                              <w:t xml:space="preserve">3 </w:t>
                            </w:r>
                            <w:r>
                              <w:rPr>
                                <w:rFonts w:hint="default" w:ascii="Times New Roman" w:hAnsi="Times New Roman" w:eastAsia="宋体" w:cs="Times New Roman"/>
                                <w:b/>
                                <w:bCs/>
                                <w:color w:val="000000"/>
                                <w:kern w:val="0"/>
                                <w:sz w:val="21"/>
                                <w:szCs w:val="21"/>
                                <w:highlight w:val="none"/>
                                <w:lang w:val="en-US" w:eastAsia="zh-CN" w:bidi="ar"/>
                              </w:rPr>
                              <w:t xml:space="preserve"> </w:t>
                            </w:r>
                            <w:r>
                              <w:rPr>
                                <w:rFonts w:hint="eastAsia" w:ascii="Times New Roman" w:hAnsi="Times New Roman" w:eastAsia="宋体" w:cs="Times New Roman"/>
                                <w:b/>
                                <w:bCs/>
                                <w:color w:val="000000"/>
                                <w:kern w:val="0"/>
                                <w:sz w:val="21"/>
                                <w:szCs w:val="21"/>
                                <w:highlight w:val="none"/>
                                <w:lang w:val="en-US" w:eastAsia="zh-CN" w:bidi="ar"/>
                              </w:rPr>
                              <w:t xml:space="preserve"> 运营期</w:t>
                            </w:r>
                            <w:r>
                              <w:rPr>
                                <w:rFonts w:hint="default" w:ascii="Times New Roman" w:hAnsi="Times New Roman" w:eastAsia="宋体" w:cs="Times New Roman"/>
                                <w:b/>
                                <w:bCs/>
                                <w:color w:val="000000"/>
                                <w:kern w:val="0"/>
                                <w:sz w:val="21"/>
                                <w:szCs w:val="21"/>
                                <w:highlight w:val="none"/>
                                <w:lang w:val="en-US" w:eastAsia="zh-CN" w:bidi="ar"/>
                              </w:rPr>
                              <w:t>工艺流程及产污节点图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2.85pt;margin-top:575.8pt;height:21.35pt;width:198.45pt;z-index:251662336;mso-width-relative:page;mso-height-relative:page;" filled="f" stroked="f" coordsize="21600,21600" o:gfxdata="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CgNGZPcAAAADgEAAA8AAAAA&#10;AAAAAQAgAAAAIgAAAGRycy9kb3ducmV2LnhtbFBLAQIUABQAAAAIAIdO4kALvgXASQIAAHQEAAAO&#10;AAAAAAAAAAEAIAAAACsBAABkcnMvZTJvRG9jLnhtbFBLBQYAAAAABgAGAFkBAADmBQAAAAA=&#10;">
                <v:fill on="f" focussize="0,0"/>
                <v:stroke on="f" weight="0.5pt"/>
                <v:imagedata o:title=""/>
                <o:lock v:ext="edit" aspectratio="f"/>
                <v:textbox>
                  <w:txbxContent>
                    <w:p w14:paraId="10F29A08">
                      <w:r>
                        <w:rPr>
                          <w:rFonts w:hint="eastAsia" w:ascii="Times New Roman" w:hAnsi="Times New Roman" w:eastAsia="宋体" w:cs="Times New Roman"/>
                          <w:b/>
                          <w:bCs/>
                          <w:color w:val="000000"/>
                          <w:kern w:val="0"/>
                          <w:sz w:val="21"/>
                          <w:szCs w:val="21"/>
                          <w:highlight w:val="none"/>
                          <w:lang w:val="en-US" w:eastAsia="zh-CN" w:bidi="ar"/>
                        </w:rPr>
                        <w:t>图</w:t>
                      </w:r>
                      <w:r>
                        <w:rPr>
                          <w:rFonts w:hint="default" w:ascii="Times New Roman" w:hAnsi="Times New Roman" w:eastAsia="宋体" w:cs="Times New Roman"/>
                          <w:b/>
                          <w:bCs/>
                          <w:color w:val="000000"/>
                          <w:kern w:val="0"/>
                          <w:sz w:val="21"/>
                          <w:szCs w:val="21"/>
                          <w:highlight w:val="none"/>
                          <w:lang w:val="en-US" w:eastAsia="zh-CN" w:bidi="ar"/>
                        </w:rPr>
                        <w:t>2-</w:t>
                      </w:r>
                      <w:r>
                        <w:rPr>
                          <w:rFonts w:hint="eastAsia" w:ascii="Times New Roman" w:hAnsi="Times New Roman" w:eastAsia="宋体" w:cs="Times New Roman"/>
                          <w:b/>
                          <w:bCs/>
                          <w:color w:val="000000"/>
                          <w:kern w:val="0"/>
                          <w:sz w:val="21"/>
                          <w:szCs w:val="21"/>
                          <w:highlight w:val="none"/>
                          <w:lang w:val="en-US" w:eastAsia="zh-CN" w:bidi="ar"/>
                        </w:rPr>
                        <w:t xml:space="preserve">3 </w:t>
                      </w:r>
                      <w:r>
                        <w:rPr>
                          <w:rFonts w:hint="default" w:ascii="Times New Roman" w:hAnsi="Times New Roman" w:eastAsia="宋体" w:cs="Times New Roman"/>
                          <w:b/>
                          <w:bCs/>
                          <w:color w:val="000000"/>
                          <w:kern w:val="0"/>
                          <w:sz w:val="21"/>
                          <w:szCs w:val="21"/>
                          <w:highlight w:val="none"/>
                          <w:lang w:val="en-US" w:eastAsia="zh-CN" w:bidi="ar"/>
                        </w:rPr>
                        <w:t xml:space="preserve"> </w:t>
                      </w:r>
                      <w:r>
                        <w:rPr>
                          <w:rFonts w:hint="eastAsia" w:ascii="Times New Roman" w:hAnsi="Times New Roman" w:eastAsia="宋体" w:cs="Times New Roman"/>
                          <w:b/>
                          <w:bCs/>
                          <w:color w:val="000000"/>
                          <w:kern w:val="0"/>
                          <w:sz w:val="21"/>
                          <w:szCs w:val="21"/>
                          <w:highlight w:val="none"/>
                          <w:lang w:val="en-US" w:eastAsia="zh-CN" w:bidi="ar"/>
                        </w:rPr>
                        <w:t xml:space="preserve"> 运营期</w:t>
                      </w:r>
                      <w:r>
                        <w:rPr>
                          <w:rFonts w:hint="default" w:ascii="Times New Roman" w:hAnsi="Times New Roman" w:eastAsia="宋体" w:cs="Times New Roman"/>
                          <w:b/>
                          <w:bCs/>
                          <w:color w:val="000000"/>
                          <w:kern w:val="0"/>
                          <w:sz w:val="21"/>
                          <w:szCs w:val="21"/>
                          <w:highlight w:val="none"/>
                          <w:lang w:val="en-US" w:eastAsia="zh-CN" w:bidi="ar"/>
                        </w:rPr>
                        <w:t>工艺流程及产污节点图</w:t>
                      </w:r>
                    </w:p>
                  </w:txbxContent>
                </v:textbox>
              </v:shape>
            </w:pict>
          </mc:Fallback>
        </mc:AlternateConten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4E0730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800" w:type="dxa"/>
            <w:noWrap w:val="0"/>
            <w:vAlign w:val="center"/>
          </w:tcPr>
          <w:p w14:paraId="0A44C053">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bookmarkStart w:id="5" w:name="_Toc18896"/>
            <w:r>
              <w:rPr>
                <w:rFonts w:hint="eastAsia" w:ascii="宋体" w:hAnsi="宋体" w:eastAsia="宋体" w:cs="宋体"/>
                <w:color w:val="000000" w:themeColor="text1"/>
                <w:sz w:val="24"/>
                <w:szCs w:val="24"/>
                <w14:textFill>
                  <w14:solidFill>
                    <w14:schemeClr w14:val="tx1"/>
                  </w14:solidFill>
                </w14:textFill>
              </w:rPr>
              <w:t>工艺流程和产排污环节</w:t>
            </w:r>
          </w:p>
        </w:tc>
        <w:tc>
          <w:tcPr>
            <w:tcW w:w="8190" w:type="dxa"/>
            <w:noWrap w:val="0"/>
            <w:vAlign w:val="center"/>
          </w:tcPr>
          <w:p w14:paraId="2CA104E2">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本项目运营期废气是重点防治对象，项目废气产生源分布详见图2-4。</w:t>
            </w:r>
          </w:p>
          <w:p w14:paraId="5FAD7252">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80768" behindDoc="0" locked="0" layoutInCell="1" allowOverlap="1">
                      <wp:simplePos x="0" y="0"/>
                      <wp:positionH relativeFrom="column">
                        <wp:posOffset>1581785</wp:posOffset>
                      </wp:positionH>
                      <wp:positionV relativeFrom="paragraph">
                        <wp:posOffset>194945</wp:posOffset>
                      </wp:positionV>
                      <wp:extent cx="477520" cy="59309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477520" cy="5930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7378CC">
                                  <w:pPr>
                                    <w:widowControl w:val="0"/>
                                    <w:kinsoku/>
                                    <w:autoSpaceDE/>
                                    <w:autoSpaceDN/>
                                    <w:adjustRightInd/>
                                    <w:snapToGrid/>
                                    <w:spacing w:line="240" w:lineRule="auto"/>
                                    <w:jc w:val="center"/>
                                    <w:textAlignment w:val="auto"/>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液体肥</w:t>
                                  </w:r>
                                </w:p>
                                <w:p w14:paraId="4A631986">
                                  <w:pPr>
                                    <w:rPr>
                                      <w:rFonts w:hint="default"/>
                                      <w:lang w:val="en-US" w:eastAsia="zh-CN"/>
                                    </w:rPr>
                                  </w:pPr>
                                  <w:r>
                                    <w:rPr>
                                      <w:rFonts w:hint="default" w:ascii="Times New Roman" w:hAnsi="Times New Roman" w:cs="Times New Roman"/>
                                      <w:szCs w:val="21"/>
                                    </w:rPr>
                                    <w:t>车间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4.55pt;margin-top:15.35pt;height:46.7pt;width:37.6pt;z-index:251680768;mso-width-relative:page;mso-height-relative:page;" filled="f" stroked="f" coordsize="21600,21600" o:gfxdata="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zJQjh2wAAAAoBAAAPAAAAAAAAAAEAIAAAACIAAABk&#10;cnMvZG93bnJldi54bWxQSwECFAAUAAAACACHTuJAOEoEejwCAABnBAAADgAAAAAAAAABACAAAAAq&#10;AQAAZHJzL2Uyb0RvYy54bWxQSwUGAAAAAAYABgBZAQAA2AUAAAAA&#10;">
                      <v:fill on="f" focussize="0,0"/>
                      <v:stroke on="f" weight="0.5pt"/>
                      <v:imagedata o:title=""/>
                      <o:lock v:ext="edit" aspectratio="f"/>
                      <v:textbox>
                        <w:txbxContent>
                          <w:p w14:paraId="3B7378CC">
                            <w:pPr>
                              <w:widowControl w:val="0"/>
                              <w:kinsoku/>
                              <w:autoSpaceDE/>
                              <w:autoSpaceDN/>
                              <w:adjustRightInd/>
                              <w:snapToGrid/>
                              <w:spacing w:line="240" w:lineRule="auto"/>
                              <w:jc w:val="center"/>
                              <w:textAlignment w:val="auto"/>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液体肥</w:t>
                            </w:r>
                          </w:p>
                          <w:p w14:paraId="4A631986">
                            <w:pPr>
                              <w:rPr>
                                <w:rFonts w:hint="default"/>
                                <w:lang w:val="en-US" w:eastAsia="zh-CN"/>
                              </w:rPr>
                            </w:pPr>
                            <w:r>
                              <w:rPr>
                                <w:rFonts w:hint="default" w:ascii="Times New Roman" w:hAnsi="Times New Roman" w:cs="Times New Roman"/>
                                <w:szCs w:val="21"/>
                              </w:rPr>
                              <w:t>车间</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1282065</wp:posOffset>
                      </wp:positionH>
                      <wp:positionV relativeFrom="paragraph">
                        <wp:posOffset>158115</wp:posOffset>
                      </wp:positionV>
                      <wp:extent cx="2325370" cy="0"/>
                      <wp:effectExtent l="0" t="6350" r="0" b="6350"/>
                      <wp:wrapNone/>
                      <wp:docPr id="13" name="直接连接符 13"/>
                      <wp:cNvGraphicFramePr/>
                      <a:graphic xmlns:a="http://schemas.openxmlformats.org/drawingml/2006/main">
                        <a:graphicData uri="http://schemas.microsoft.com/office/word/2010/wordprocessingShape">
                          <wps:wsp>
                            <wps:cNvCnPr/>
                            <wps:spPr>
                              <a:xfrm>
                                <a:off x="1888490" y="1805940"/>
                                <a:ext cx="2325370" cy="0"/>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00.95pt;margin-top:12.45pt;height:0pt;width:183.1pt;z-index:251664384;mso-width-relative:page;mso-height-relative:page;" filled="f" stroked="t" coordsize="21600,21600" o:gfxdata="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xMX9yNcAAAAJ&#10;AQAADwAAAAAAAAABACAAAAAiAAAAZHJzL2Rvd25yZXYueG1sUEsBAhQAFAAAAAgAh07iQDdiB9Dk&#10;AQAAqQMAAA4AAAAAAAAAAQAgAAAAJgEAAGRycy9lMm9Eb2MueG1sUEsFBgAAAAAGAAYAWQEAAHwF&#10;AAAAAA==&#10;">
                      <v:fill on="f" focussize="0,0"/>
                      <v:stroke weight="1pt" color="#000000 [3213]" joinstyle="round"/>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1310005</wp:posOffset>
                      </wp:positionH>
                      <wp:positionV relativeFrom="paragraph">
                        <wp:posOffset>184785</wp:posOffset>
                      </wp:positionV>
                      <wp:extent cx="2266950" cy="596900"/>
                      <wp:effectExtent l="6350" t="6350" r="12700" b="6350"/>
                      <wp:wrapNone/>
                      <wp:docPr id="77" name="矩形 77"/>
                      <wp:cNvGraphicFramePr/>
                      <a:graphic xmlns:a="http://schemas.openxmlformats.org/drawingml/2006/main">
                        <a:graphicData uri="http://schemas.microsoft.com/office/word/2010/wordprocessingShape">
                          <wps:wsp>
                            <wps:cNvSpPr/>
                            <wps:spPr>
                              <a:xfrm>
                                <a:off x="2812415" y="1836420"/>
                                <a:ext cx="2266950" cy="596900"/>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3.15pt;margin-top:14.55pt;height:47pt;width:178.5pt;z-index:251668480;v-text-anchor:middle;mso-width-relative:page;mso-height-relative:page;" filled="f" stroked="t" coordsize="21600,21600" o:gfxdata="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bjnk/XAAAACgEAAA8AAAAAAAAAAQAgAAAAIgAAAGRycy9kb3ducmV2LnhtbFBL&#10;AQIUABQAAAAIAIdO4kAe2WtyaQIAAMIEAAAOAAAAAAAAAAEAIAAAACYBAABkcnMvZTJvRG9jLnht&#10;bFBLBQYAAAAABgAGAFkBAAABBgAAAAA=&#10;">
                      <v:fill on="f" focussize="0,0"/>
                      <v:stroke weight="1pt" color="#000000 [3213]" joinstyle="round"/>
                      <v:imagedata o:title=""/>
                      <o:lock v:ext="edit" aspectratio="f"/>
                    </v:rect>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3607435</wp:posOffset>
                      </wp:positionH>
                      <wp:positionV relativeFrom="paragraph">
                        <wp:posOffset>154940</wp:posOffset>
                      </wp:positionV>
                      <wp:extent cx="560070" cy="6862445"/>
                      <wp:effectExtent l="6350" t="635" r="24130" b="13970"/>
                      <wp:wrapNone/>
                      <wp:docPr id="74" name="直接连接符 74"/>
                      <wp:cNvGraphicFramePr/>
                      <a:graphic xmlns:a="http://schemas.openxmlformats.org/drawingml/2006/main">
                        <a:graphicData uri="http://schemas.microsoft.com/office/word/2010/wordprocessingShape">
                          <wps:wsp>
                            <wps:cNvCnPr/>
                            <wps:spPr>
                              <a:xfrm>
                                <a:off x="5426710" y="1821180"/>
                                <a:ext cx="560070" cy="6862445"/>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84.05pt;margin-top:12.2pt;height:540.35pt;width:44.1pt;z-index:251666432;mso-width-relative:page;mso-height-relative:page;" filled="f" stroked="t" coordsize="21600,21600" o:gfxdata="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K&#10;vSOj2gAAAAsBAAAPAAAAAAAAAAEAIAAAACIAAABkcnMvZG93bnJldi54bWxQSwECFAAUAAAACACH&#10;TuJA6aWxv+kBAACuAwAADgAAAAAAAAABACAAAAApAQAAZHJzL2Uyb0RvYy54bWxQSwUGAAAAAAYA&#10;BgBZAQAAhAUAAAAA&#10;">
                      <v:fill on="f" focussize="0,0"/>
                      <v:stroke weight="1pt" color="#000000 [3213]" joinstyle="round"/>
                      <v:imagedata o:title=""/>
                      <o:lock v:ext="edit" aspectratio="f"/>
                    </v:lin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631825</wp:posOffset>
                      </wp:positionH>
                      <wp:positionV relativeFrom="paragraph">
                        <wp:posOffset>163195</wp:posOffset>
                      </wp:positionV>
                      <wp:extent cx="657860" cy="6837680"/>
                      <wp:effectExtent l="6350" t="635" r="21590" b="635"/>
                      <wp:wrapNone/>
                      <wp:docPr id="15" name="直接连接符 15"/>
                      <wp:cNvGraphicFramePr/>
                      <a:graphic xmlns:a="http://schemas.openxmlformats.org/drawingml/2006/main">
                        <a:graphicData uri="http://schemas.microsoft.com/office/word/2010/wordprocessingShape">
                          <wps:wsp>
                            <wps:cNvCnPr/>
                            <wps:spPr>
                              <a:xfrm flipH="1">
                                <a:off x="1784985" y="1813560"/>
                                <a:ext cx="657860" cy="6837680"/>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49.75pt;margin-top:12.85pt;height:538.4pt;width:51.8pt;z-index:251665408;mso-width-relative:page;mso-height-relative:page;" filled="f" stroked="t" coordsize="21600,21600" o:gfxdata="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5Tk+32QAAAAoBAAAPAAAAAAAAAAEAIAAAACIAAABkcnMvZG93bnJldi54bWxQSwECFAAU&#10;AAAACACHTuJAvFkHDvABAAC4AwAADgAAAAAAAAABACAAAAAoAQAAZHJzL2Uyb0RvYy54bWxQSwUG&#10;AAAAAAYABgBZAQAAigUAAAAA&#10;">
                      <v:fill on="f" focussize="0,0"/>
                      <v:stroke weight="1pt" color="#000000 [3213]" joinstyle="round"/>
                      <v:imagedata o:title=""/>
                      <o:lock v:ext="edit" aspectratio="f"/>
                    </v:line>
                  </w:pict>
                </mc:Fallback>
              </mc:AlternateContent>
            </w:r>
          </w:p>
          <w:p w14:paraId="4C0E5B51">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2426335</wp:posOffset>
                      </wp:positionH>
                      <wp:positionV relativeFrom="paragraph">
                        <wp:posOffset>8890</wp:posOffset>
                      </wp:positionV>
                      <wp:extent cx="414655" cy="28321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414655" cy="2832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25977A">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1.05pt;margin-top:0.7pt;height:22.3pt;width:32.65pt;z-index:251674624;mso-width-relative:page;mso-height-relative:page;" filled="f" stroked="f" coordsize="21600,21600" o:gfxdata="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grF5TtgAAAAIAQAADwAAAAAAAAABACAAAAAiAAAAZHJz&#10;L2Rvd25yZXYueG1sUEsBAhQAFAAAAAgAh07iQPTq22s9AgAAZwQAAA4AAAAAAAAAAQAgAAAAJwEA&#10;AGRycy9lMm9Eb2MueG1sUEsFBgAAAAAGAAYAWQEAANYFAAAAAA==&#10;">
                      <v:fill on="f" focussize="0,0"/>
                      <v:stroke on="f" weight="0.5pt"/>
                      <v:imagedata o:title=""/>
                      <o:lock v:ext="edit" aspectratio="f"/>
                      <v:textbox>
                        <w:txbxContent>
                          <w:p w14:paraId="7725977A">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5</w:t>
                            </w:r>
                          </w:p>
                        </w:txbxContent>
                      </v:textbox>
                    </v:shape>
                  </w:pict>
                </mc:Fallback>
              </mc:AlternateContent>
            </w:r>
          </w:p>
          <w:p w14:paraId="02A6BAA8">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7ABB7A05">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2440940</wp:posOffset>
                      </wp:positionH>
                      <wp:positionV relativeFrom="paragraph">
                        <wp:posOffset>8890</wp:posOffset>
                      </wp:positionV>
                      <wp:extent cx="867410" cy="1505585"/>
                      <wp:effectExtent l="6350" t="6350" r="21590" b="12065"/>
                      <wp:wrapNone/>
                      <wp:docPr id="78" name="矩形 78"/>
                      <wp:cNvGraphicFramePr/>
                      <a:graphic xmlns:a="http://schemas.openxmlformats.org/drawingml/2006/main">
                        <a:graphicData uri="http://schemas.microsoft.com/office/word/2010/wordprocessingShape">
                          <wps:wsp>
                            <wps:cNvSpPr/>
                            <wps:spPr>
                              <a:xfrm>
                                <a:off x="0" y="0"/>
                                <a:ext cx="867410" cy="1505585"/>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2.2pt;margin-top:0.7pt;height:118.55pt;width:68.3pt;z-index:251669504;v-text-anchor:middle;mso-width-relative:page;mso-height-relative:page;" filled="f" stroked="t" coordsize="21600,21600" o:gfxdata="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ge&#10;YdXYAAAACQEAAA8AAAAAAAAAAQAgAAAAIgAAAGRycy9kb3ducmV2LnhtbFBLAQIUABQAAAAIAIdO&#10;4kAk50wyXAIAALYEAAAOAAAAAAAAAAEAIAAAACcBAABkcnMvZTJvRG9jLnhtbFBLBQYAAAAABgAG&#10;AFkBAAD1BQAAAAA=&#10;">
                      <v:fill on="f" focussize="0,0"/>
                      <v:stroke weight="1pt" color="#000000 [3213]" joinstyle="round"/>
                      <v:imagedata o:title=""/>
                      <o:lock v:ext="edit" aspectratio="f"/>
                    </v:rect>
                  </w:pict>
                </mc:Fallback>
              </mc:AlternateContent>
            </w:r>
          </w:p>
          <w:p w14:paraId="6E23F660">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column">
                        <wp:posOffset>2669540</wp:posOffset>
                      </wp:positionH>
                      <wp:positionV relativeFrom="paragraph">
                        <wp:posOffset>128270</wp:posOffset>
                      </wp:positionV>
                      <wp:extent cx="501015" cy="43434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501015" cy="4343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2401CA">
                                  <w:pPr>
                                    <w:rPr>
                                      <w:rFonts w:hint="default" w:ascii="Times New Roman" w:hAnsi="Times New Roman" w:eastAsia="宋体" w:cs="Times New Roman"/>
                                      <w:b w:val="0"/>
                                      <w:bCs w:val="0"/>
                                      <w:sz w:val="21"/>
                                      <w:szCs w:val="24"/>
                                      <w:lang w:val="en-US" w:eastAsia="zh-CN"/>
                                    </w:rPr>
                                  </w:pPr>
                                  <w:r>
                                    <w:rPr>
                                      <w:rFonts w:hint="default" w:ascii="Times New Roman" w:hAnsi="Times New Roman" w:eastAsia="宋体" w:cs="Times New Roman"/>
                                      <w:b w:val="0"/>
                                      <w:bCs w:val="0"/>
                                      <w:sz w:val="21"/>
                                      <w:szCs w:val="24"/>
                                      <w:lang w:val="en-US" w:eastAsia="zh-CN"/>
                                    </w:rPr>
                                    <w:t>碳化</w:t>
                                  </w:r>
                                </w:p>
                                <w:p w14:paraId="26B28D02">
                                  <w:pPr>
                                    <w:rPr>
                                      <w:rFonts w:hint="default" w:ascii="Times New Roman" w:hAnsi="Times New Roman" w:eastAsia="宋体" w:cs="Times New Roman"/>
                                      <w:b w:val="0"/>
                                      <w:bCs w:val="0"/>
                                      <w:sz w:val="21"/>
                                      <w:szCs w:val="24"/>
                                      <w:lang w:val="en-US" w:eastAsia="zh-CN"/>
                                    </w:rPr>
                                  </w:pPr>
                                  <w:r>
                                    <w:rPr>
                                      <w:rFonts w:hint="default" w:ascii="Times New Roman" w:hAnsi="Times New Roman" w:eastAsia="宋体" w:cs="Times New Roman"/>
                                      <w:b w:val="0"/>
                                      <w:bCs w:val="0"/>
                                      <w:sz w:val="21"/>
                                      <w:szCs w:val="24"/>
                                      <w:lang w:val="en-US" w:eastAsia="zh-CN"/>
                                    </w:rPr>
                                    <w:t>车间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0.2pt;margin-top:10.1pt;height:34.2pt;width:39.45pt;z-index:251678720;mso-width-relative:page;mso-height-relative:page;" filled="f" stroked="f" coordsize="21600,21600" o:gfxdata="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PiRG0baAAAACQEAAA8AAAAAAAAAAQAgAAAAIgAAAGRy&#10;cy9kb3ducmV2LnhtbFBLAQIUABQAAAAIAIdO4kCqMuL4PAIAAGcEAAAOAAAAAAAAAAEAIAAAACkB&#10;AABkcnMvZTJvRG9jLnhtbFBLBQYAAAAABgAGAFkBAADXBQAAAAA=&#10;">
                      <v:fill on="f" focussize="0,0"/>
                      <v:stroke on="f" weight="0.5pt"/>
                      <v:imagedata o:title=""/>
                      <o:lock v:ext="edit" aspectratio="f"/>
                      <v:textbox>
                        <w:txbxContent>
                          <w:p w14:paraId="7D2401CA">
                            <w:pPr>
                              <w:rPr>
                                <w:rFonts w:hint="default" w:ascii="Times New Roman" w:hAnsi="Times New Roman" w:eastAsia="宋体" w:cs="Times New Roman"/>
                                <w:b w:val="0"/>
                                <w:bCs w:val="0"/>
                                <w:sz w:val="21"/>
                                <w:szCs w:val="24"/>
                                <w:lang w:val="en-US" w:eastAsia="zh-CN"/>
                              </w:rPr>
                            </w:pPr>
                            <w:r>
                              <w:rPr>
                                <w:rFonts w:hint="default" w:ascii="Times New Roman" w:hAnsi="Times New Roman" w:eastAsia="宋体" w:cs="Times New Roman"/>
                                <w:b w:val="0"/>
                                <w:bCs w:val="0"/>
                                <w:sz w:val="21"/>
                                <w:szCs w:val="24"/>
                                <w:lang w:val="en-US" w:eastAsia="zh-CN"/>
                              </w:rPr>
                              <w:t>碳化</w:t>
                            </w:r>
                          </w:p>
                          <w:p w14:paraId="26B28D02">
                            <w:pPr>
                              <w:rPr>
                                <w:rFonts w:hint="default" w:ascii="Times New Roman" w:hAnsi="Times New Roman" w:eastAsia="宋体" w:cs="Times New Roman"/>
                                <w:b w:val="0"/>
                                <w:bCs w:val="0"/>
                                <w:sz w:val="21"/>
                                <w:szCs w:val="24"/>
                                <w:lang w:val="en-US" w:eastAsia="zh-CN"/>
                              </w:rPr>
                            </w:pPr>
                            <w:r>
                              <w:rPr>
                                <w:rFonts w:hint="default" w:ascii="Times New Roman" w:hAnsi="Times New Roman" w:eastAsia="宋体" w:cs="Times New Roman"/>
                                <w:b w:val="0"/>
                                <w:bCs w:val="0"/>
                                <w:sz w:val="21"/>
                                <w:szCs w:val="24"/>
                                <w:lang w:val="en-US" w:eastAsia="zh-CN"/>
                              </w:rPr>
                              <w:t>车间</w:t>
                            </w:r>
                          </w:p>
                        </w:txbxContent>
                      </v:textbox>
                    </v:shape>
                  </w:pict>
                </mc:Fallback>
              </mc:AlternateContent>
            </w:r>
          </w:p>
          <w:p w14:paraId="7926872D">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5DA75AAC">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2892425</wp:posOffset>
                      </wp:positionH>
                      <wp:positionV relativeFrom="paragraph">
                        <wp:posOffset>178435</wp:posOffset>
                      </wp:positionV>
                      <wp:extent cx="405130" cy="410845"/>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405130" cy="4108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43CB45">
                                  <w:pPr>
                                    <w:rPr>
                                      <w:rFonts w:hint="eastAsia"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3</w:t>
                                  </w:r>
                                </w:p>
                                <w:p w14:paraId="5573089B">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7.75pt;margin-top:14.05pt;height:32.35pt;width:31.9pt;z-index:251673600;mso-width-relative:page;mso-height-relative:page;" filled="f" stroked="f" coordsize="21600,21600" o:gfxdata="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IErK/7aAAAACQEAAA8AAAAAAAAAAQAgAAAAIgAAAGRy&#10;cy9kb3ducmV2LnhtbFBLAQIUABQAAAAIAIdO4kAP6r5XPAIAAGcEAAAOAAAAAAAAAAEAIAAAACkB&#10;AABkcnMvZTJvRG9jLnhtbFBLBQYAAAAABgAGAFkBAADXBQAAAAA=&#10;">
                      <v:fill on="f" focussize="0,0"/>
                      <v:stroke on="f" weight="0.5pt"/>
                      <v:imagedata o:title=""/>
                      <o:lock v:ext="edit" aspectratio="f"/>
                      <v:textbox>
                        <w:txbxContent>
                          <w:p w14:paraId="1943CB45">
                            <w:pPr>
                              <w:rPr>
                                <w:rFonts w:hint="eastAsia"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3</w:t>
                            </w:r>
                          </w:p>
                          <w:p w14:paraId="5573089B">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4</w:t>
                            </w:r>
                          </w:p>
                        </w:txbxContent>
                      </v:textbox>
                    </v:shape>
                  </w:pict>
                </mc:Fallback>
              </mc:AlternateContent>
            </w:r>
          </w:p>
          <w:p w14:paraId="00F741A6">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0AA09E53">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3136900</wp:posOffset>
                      </wp:positionH>
                      <wp:positionV relativeFrom="paragraph">
                        <wp:posOffset>205740</wp:posOffset>
                      </wp:positionV>
                      <wp:extent cx="629920" cy="1774190"/>
                      <wp:effectExtent l="6350" t="6350" r="11430" b="10160"/>
                      <wp:wrapNone/>
                      <wp:docPr id="79" name="矩形 79"/>
                      <wp:cNvGraphicFramePr/>
                      <a:graphic xmlns:a="http://schemas.openxmlformats.org/drawingml/2006/main">
                        <a:graphicData uri="http://schemas.microsoft.com/office/word/2010/wordprocessingShape">
                          <wps:wsp>
                            <wps:cNvSpPr/>
                            <wps:spPr>
                              <a:xfrm>
                                <a:off x="0" y="0"/>
                                <a:ext cx="629920" cy="1774190"/>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7pt;margin-top:16.2pt;height:139.7pt;width:49.6pt;z-index:251670528;v-text-anchor:middle;mso-width-relative:page;mso-height-relative:page;" filled="f" stroked="t" coordsize="21600,21600" o:gfxdata="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MawAdoAAAAKAQAADwAAAAAAAAABACAAAAAiAAAAZHJzL2Rvd25yZXYueG1sUEsBAhQAFAAAAAgA&#10;h07iQMUMifdcAgAAtgQAAA4AAAAAAAAAAQAgAAAAKQEAAGRycy9lMm9Eb2MueG1sUEsFBgAAAAAG&#10;AAYAWQEAAPcFAAAAAA==&#10;">
                      <v:fill on="f" focussize="0,0"/>
                      <v:stroke weight="1pt" color="#000000 [3213]" joinstyle="round"/>
                      <v:imagedata o:title=""/>
                      <o:lock v:ext="edit" aspectratio="f"/>
                    </v:rect>
                  </w:pict>
                </mc:Fallback>
              </mc:AlternateContent>
            </w:r>
          </w:p>
          <w:p w14:paraId="2A37EB5B">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9744" behindDoc="0" locked="0" layoutInCell="1" allowOverlap="1">
                      <wp:simplePos x="0" y="0"/>
                      <wp:positionH relativeFrom="column">
                        <wp:posOffset>3382010</wp:posOffset>
                      </wp:positionH>
                      <wp:positionV relativeFrom="paragraph">
                        <wp:posOffset>121285</wp:posOffset>
                      </wp:positionV>
                      <wp:extent cx="477520" cy="59309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477520" cy="5930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F57719">
                                  <w:pPr>
                                    <w:widowControl w:val="0"/>
                                    <w:kinsoku/>
                                    <w:autoSpaceDE/>
                                    <w:autoSpaceDN/>
                                    <w:adjustRightInd/>
                                    <w:snapToGrid/>
                                    <w:spacing w:line="240" w:lineRule="auto"/>
                                    <w:jc w:val="center"/>
                                    <w:textAlignment w:val="auto"/>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固体肥</w:t>
                                  </w:r>
                                </w:p>
                                <w:p w14:paraId="46564941">
                                  <w:pPr>
                                    <w:rPr>
                                      <w:rFonts w:hint="default"/>
                                      <w:lang w:val="en-US" w:eastAsia="zh-CN"/>
                                    </w:rPr>
                                  </w:pPr>
                                  <w:r>
                                    <w:rPr>
                                      <w:rFonts w:hint="default" w:ascii="Times New Roman" w:hAnsi="Times New Roman" w:cs="Times New Roman"/>
                                      <w:szCs w:val="21"/>
                                    </w:rPr>
                                    <w:t>车间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6.3pt;margin-top:9.55pt;height:46.7pt;width:37.6pt;z-index:251679744;mso-width-relative:page;mso-height-relative:page;" filled="f" stroked="f" coordsize="21600,21600" o:gfxdata="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AElbYtoAAAAKAQAADwAAAAAAAAABACAAAAAiAAAAZHJz&#10;L2Rvd25yZXYueG1sUEsBAhQAFAAAAAgAh07iQGI1x5I7AgAAZwQAAA4AAAAAAAAAAQAgAAAAKQEA&#10;AGRycy9lMm9Eb2MueG1sUEsFBgAAAAAGAAYAWQEAANYFAAAAAA==&#10;">
                      <v:fill on="f" focussize="0,0"/>
                      <v:stroke on="f" weight="0.5pt"/>
                      <v:imagedata o:title=""/>
                      <o:lock v:ext="edit" aspectratio="f"/>
                      <v:textbox>
                        <w:txbxContent>
                          <w:p w14:paraId="52F57719">
                            <w:pPr>
                              <w:widowControl w:val="0"/>
                              <w:kinsoku/>
                              <w:autoSpaceDE/>
                              <w:autoSpaceDN/>
                              <w:adjustRightInd/>
                              <w:snapToGrid/>
                              <w:spacing w:line="240" w:lineRule="auto"/>
                              <w:jc w:val="center"/>
                              <w:textAlignment w:val="auto"/>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固体肥</w:t>
                            </w:r>
                          </w:p>
                          <w:p w14:paraId="46564941">
                            <w:pPr>
                              <w:rPr>
                                <w:rFonts w:hint="default"/>
                                <w:lang w:val="en-US" w:eastAsia="zh-CN"/>
                              </w:rPr>
                            </w:pPr>
                            <w:r>
                              <w:rPr>
                                <w:rFonts w:hint="default" w:ascii="Times New Roman" w:hAnsi="Times New Roman" w:cs="Times New Roman"/>
                                <w:szCs w:val="21"/>
                              </w:rPr>
                              <w:t>车间</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3167380</wp:posOffset>
                      </wp:positionH>
                      <wp:positionV relativeFrom="paragraph">
                        <wp:posOffset>42545</wp:posOffset>
                      </wp:positionV>
                      <wp:extent cx="414655" cy="28321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414655" cy="2832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EF0491">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4pt;margin-top:3.35pt;height:22.3pt;width:32.65pt;z-index:251675648;mso-width-relative:page;mso-height-relative:page;" filled="f" stroked="f" coordsize="21600,21600" o:gfxdata="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TT7/9oAAAAIAQAADwAAAAAAAAABACAAAAAiAAAA&#10;ZHJzL2Rvd25yZXYueG1sUEsBAhQAFAAAAAgAh07iQFtt74k+AgAAZwQAAA4AAAAAAAAAAQAgAAAA&#10;KQEAAGRycy9lMm9Eb2MueG1sUEsFBgAAAAAGAAYAWQEAANkFAAAAAA==&#10;">
                      <v:fill on="f" focussize="0,0"/>
                      <v:stroke on="f" weight="0.5pt"/>
                      <v:imagedata o:title=""/>
                      <o:lock v:ext="edit" aspectratio="f"/>
                      <v:textbox>
                        <w:txbxContent>
                          <w:p w14:paraId="3AEF0491">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6</w:t>
                            </w:r>
                          </w:p>
                        </w:txbxContent>
                      </v:textbox>
                    </v:shape>
                  </w:pict>
                </mc:Fallback>
              </mc:AlternateContent>
            </w:r>
          </w:p>
          <w:p w14:paraId="5E46B971">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78FE3649">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3105785</wp:posOffset>
                      </wp:positionH>
                      <wp:positionV relativeFrom="paragraph">
                        <wp:posOffset>90805</wp:posOffset>
                      </wp:positionV>
                      <wp:extent cx="701675" cy="433705"/>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701675" cy="4337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784627">
                                  <w:pPr>
                                    <w:rPr>
                                      <w:rFonts w:hint="eastAsia"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7、</w:t>
                                  </w: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8、</w:t>
                                  </w:r>
                                </w:p>
                                <w:p w14:paraId="54645888">
                                  <w:pPr>
                                    <w:jc w:val="cente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4.55pt;margin-top:7.15pt;height:34.15pt;width:55.25pt;z-index:251676672;mso-width-relative:page;mso-height-relative:page;" filled="f" stroked="f" coordsize="21600,21600" o:gfxdata="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&#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LpnrR7aAAAACQEAAA8AAAAAAAAAAQAgAAAAIgAAAGRy&#10;cy9kb3ducmV2LnhtbFBLAQIUABQAAAAIAIdO4kCps061PAIAAGcEAAAOAAAAAAAAAAEAIAAAACkB&#10;AABkcnMvZTJvRG9jLnhtbFBLBQYAAAAABgAGAFkBAADXBQAAAAA=&#10;">
                      <v:fill on="f" focussize="0,0"/>
                      <v:stroke on="f" weight="0.5pt"/>
                      <v:imagedata o:title=""/>
                      <o:lock v:ext="edit" aspectratio="f"/>
                      <v:textbox>
                        <w:txbxContent>
                          <w:p w14:paraId="54784627">
                            <w:pPr>
                              <w:rPr>
                                <w:rFonts w:hint="eastAsia"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7、</w:t>
                            </w: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8、</w:t>
                            </w:r>
                          </w:p>
                          <w:p w14:paraId="54645888">
                            <w:pPr>
                              <w:jc w:val="cente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9</w:t>
                            </w:r>
                          </w:p>
                        </w:txbxContent>
                      </v:textbox>
                    </v:shape>
                  </w:pict>
                </mc:Fallback>
              </mc:AlternateContent>
            </w:r>
          </w:p>
          <w:p w14:paraId="40295FAA">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6AD563D">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490D51F8">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89F6CC7">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D284CE0">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column">
                        <wp:posOffset>2682875</wp:posOffset>
                      </wp:positionH>
                      <wp:positionV relativeFrom="paragraph">
                        <wp:posOffset>124460</wp:posOffset>
                      </wp:positionV>
                      <wp:extent cx="492760" cy="600075"/>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492760" cy="600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FBD512">
                                  <w:pPr>
                                    <w:jc w:val="center"/>
                                    <w:rPr>
                                      <w:rFonts w:hint="default"/>
                                      <w:lang w:val="en-US" w:eastAsia="zh-CN"/>
                                    </w:rPr>
                                  </w:pPr>
                                  <w:r>
                                    <w:rPr>
                                      <w:rFonts w:hint="eastAsia" w:cs="Times New Roman"/>
                                      <w:szCs w:val="21"/>
                                      <w:lang w:val="en-US" w:eastAsia="zh-CN"/>
                                    </w:rPr>
                                    <w:t>热储能车间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25pt;margin-top:9.8pt;height:47.25pt;width:38.8pt;z-index:251681792;mso-width-relative:page;mso-height-relative:page;" filled="f" stroked="f" coordsize="21600,21600" o:gfxdata="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wx1vdoAAAAKAQAADwAAAAAAAAABACAAAAAiAAAAZHJz&#10;L2Rvd25yZXYueG1sUEsBAhQAFAAAAAgAh07iQNoVufg7AgAAZwQAAA4AAAAAAAAAAQAgAAAAKQEA&#10;AGRycy9lMm9Eb2MueG1sUEsFBgAAAAAGAAYAWQEAANYFAAAAAA==&#10;">
                      <v:fill on="f" focussize="0,0"/>
                      <v:stroke on="f" weight="0.5pt"/>
                      <v:imagedata o:title=""/>
                      <o:lock v:ext="edit" aspectratio="f"/>
                      <v:textbox>
                        <w:txbxContent>
                          <w:p w14:paraId="42FBD512">
                            <w:pPr>
                              <w:jc w:val="center"/>
                              <w:rPr>
                                <w:rFonts w:hint="default"/>
                                <w:lang w:val="en-US" w:eastAsia="zh-CN"/>
                              </w:rPr>
                            </w:pPr>
                            <w:r>
                              <w:rPr>
                                <w:rFonts w:hint="eastAsia" w:cs="Times New Roman"/>
                                <w:szCs w:val="21"/>
                                <w:lang w:val="en-US" w:eastAsia="zh-CN"/>
                              </w:rPr>
                              <w:t>热储能车间</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2710815</wp:posOffset>
                      </wp:positionH>
                      <wp:positionV relativeFrom="paragraph">
                        <wp:posOffset>180340</wp:posOffset>
                      </wp:positionV>
                      <wp:extent cx="1184910" cy="494030"/>
                      <wp:effectExtent l="6350" t="6350" r="8890" b="13970"/>
                      <wp:wrapNone/>
                      <wp:docPr id="80" name="矩形 80"/>
                      <wp:cNvGraphicFramePr/>
                      <a:graphic xmlns:a="http://schemas.openxmlformats.org/drawingml/2006/main">
                        <a:graphicData uri="http://schemas.microsoft.com/office/word/2010/wordprocessingShape">
                          <wps:wsp>
                            <wps:cNvSpPr/>
                            <wps:spPr>
                              <a:xfrm>
                                <a:off x="0" y="0"/>
                                <a:ext cx="1184910" cy="494030"/>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45pt;margin-top:14.2pt;height:38.9pt;width:93.3pt;z-index:251671552;v-text-anchor:middle;mso-width-relative:page;mso-height-relative:page;" filled="f" stroked="t" coordsize="21600,21600" o:gfxdata="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Ju32&#10;PNgAAAAKAQAADwAAAAAAAAABACAAAAAiAAAAZHJzL2Rvd25yZXYueG1sUEsBAhQAFAAAAAgAh07i&#10;QP/fIvtbAgAAtgQAAA4AAAAAAAAAAQAgAAAAJwEAAGRycy9lMm9Eb2MueG1sUEsFBgAAAAAGAAYA&#10;WQEAAPQFAAAAAA==&#10;">
                      <v:fill on="f" focussize="0,0"/>
                      <v:stroke weight="1pt" color="#000000 [3213]" joinstyle="round"/>
                      <v:imagedata o:title=""/>
                      <o:lock v:ext="edit" aspectratio="f"/>
                    </v:rect>
                  </w:pict>
                </mc:Fallback>
              </mc:AlternateContent>
            </w:r>
          </w:p>
          <w:p w14:paraId="619941BB">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column">
                        <wp:posOffset>3110230</wp:posOffset>
                      </wp:positionH>
                      <wp:positionV relativeFrom="paragraph">
                        <wp:posOffset>21590</wp:posOffset>
                      </wp:positionV>
                      <wp:extent cx="772795" cy="29718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772795" cy="2971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9C5371">
                                  <w:pPr>
                                    <w:rPr>
                                      <w:rFonts w:hint="default"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10</w:t>
                                  </w:r>
                                  <w:r>
                                    <w:rPr>
                                      <w:rFonts w:hint="eastAsia" w:cs="Times New Roman"/>
                                      <w:b/>
                                      <w:bCs/>
                                      <w:sz w:val="21"/>
                                      <w:szCs w:val="24"/>
                                      <w:lang w:val="en-US" w:eastAsia="zh-CN"/>
                                    </w:rPr>
                                    <w:t>、</w:t>
                                  </w: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1</w:t>
                                  </w:r>
                                  <w:r>
                                    <w:rPr>
                                      <w:rFonts w:hint="eastAsia" w:cs="Times New Roman"/>
                                      <w:b/>
                                      <w:bCs/>
                                      <w:sz w:val="21"/>
                                      <w:szCs w:val="24"/>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4.9pt;margin-top:1.7pt;height:23.4pt;width:60.85pt;z-index:251677696;mso-width-relative:page;mso-height-relative:page;" filled="f" stroked="f" coordsize="21600,21600" o:gfxdata="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AutnntoAAAAIAQAADwAAAAAAAAABACAAAAAiAAAA&#10;ZHJzL2Rvd25yZXYueG1sUEsBAhQAFAAAAAgAh07iQHx+azQ+AgAAZwQAAA4AAAAAAAAAAQAgAAAA&#10;KQEAAGRycy9lMm9Eb2MueG1sUEsFBgAAAAAGAAYAWQEAANkFAAAAAA==&#10;">
                      <v:fill on="f" focussize="0,0"/>
                      <v:stroke on="f" weight="0.5pt"/>
                      <v:imagedata o:title=""/>
                      <o:lock v:ext="edit" aspectratio="f"/>
                      <v:textbox>
                        <w:txbxContent>
                          <w:p w14:paraId="4A9C5371">
                            <w:pPr>
                              <w:rPr>
                                <w:rFonts w:hint="default"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10</w:t>
                            </w:r>
                            <w:r>
                              <w:rPr>
                                <w:rFonts w:hint="eastAsia" w:cs="Times New Roman"/>
                                <w:b/>
                                <w:bCs/>
                                <w:sz w:val="21"/>
                                <w:szCs w:val="24"/>
                                <w:lang w:val="en-US" w:eastAsia="zh-CN"/>
                              </w:rPr>
                              <w:t>、</w:t>
                            </w: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1</w:t>
                            </w:r>
                            <w:r>
                              <w:rPr>
                                <w:rFonts w:hint="eastAsia" w:cs="Times New Roman"/>
                                <w:b/>
                                <w:bCs/>
                                <w:sz w:val="21"/>
                                <w:szCs w:val="24"/>
                                <w:lang w:val="en-US" w:eastAsia="zh-CN"/>
                              </w:rPr>
                              <w:t>1</w:t>
                            </w:r>
                          </w:p>
                        </w:txbxContent>
                      </v:textbox>
                    </v:shape>
                  </w:pict>
                </mc:Fallback>
              </mc:AlternateContent>
            </w:r>
          </w:p>
          <w:p w14:paraId="4ED5EC11">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88960" behindDoc="0" locked="0" layoutInCell="1" allowOverlap="1">
                      <wp:simplePos x="0" y="0"/>
                      <wp:positionH relativeFrom="column">
                        <wp:posOffset>3282315</wp:posOffset>
                      </wp:positionH>
                      <wp:positionV relativeFrom="paragraph">
                        <wp:posOffset>197485</wp:posOffset>
                      </wp:positionV>
                      <wp:extent cx="526415" cy="28321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526415" cy="2832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7CE2FD">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cs="Times New Roman"/>
                                      <w:b/>
                                      <w:bCs/>
                                      <w:sz w:val="21"/>
                                      <w:szCs w:val="24"/>
                                      <w:lang w:val="en-US" w:eastAsia="zh-CN"/>
                                    </w:rPr>
                                    <w:t>1</w:t>
                                  </w:r>
                                  <w:r>
                                    <w:rPr>
                                      <w:rFonts w:hint="eastAsia" w:ascii="Times New Roman" w:hAnsi="Times New Roman" w:eastAsia="宋体" w:cs="Times New Roman"/>
                                      <w:b/>
                                      <w:bCs/>
                                      <w:sz w:val="21"/>
                                      <w:szCs w:val="24"/>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8.45pt;margin-top:15.55pt;height:22.3pt;width:41.45pt;z-index:251688960;mso-width-relative:page;mso-height-relative:page;" filled="f" stroked="f" coordsize="21600,21600" o:gfxdata="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IFde0dsAAAAJAQAADwAAAAAAAAABACAAAAAiAAAA&#10;ZHJzL2Rvd25yZXYueG1sUEsBAhQAFAAAAAgAh07iQHO9QRg9AgAAaQQAAA4AAAAAAAAAAQAgAAAA&#10;KgEAAGRycy9lMm9Eb2MueG1sUEsFBgAAAAAGAAYAWQEAANkFAAAAAA==&#10;">
                      <v:fill on="f" focussize="0,0"/>
                      <v:stroke on="f" weight="0.5pt"/>
                      <v:imagedata o:title=""/>
                      <o:lock v:ext="edit" aspectratio="f"/>
                      <v:textbox>
                        <w:txbxContent>
                          <w:p w14:paraId="777CE2FD">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cs="Times New Roman"/>
                                <w:b/>
                                <w:bCs/>
                                <w:sz w:val="21"/>
                                <w:szCs w:val="24"/>
                                <w:lang w:val="en-US" w:eastAsia="zh-CN"/>
                              </w:rPr>
                              <w:t>1</w:t>
                            </w:r>
                            <w:r>
                              <w:rPr>
                                <w:rFonts w:hint="eastAsia" w:ascii="Times New Roman" w:hAnsi="Times New Roman" w:eastAsia="宋体" w:cs="Times New Roman"/>
                                <w:b/>
                                <w:bCs/>
                                <w:sz w:val="21"/>
                                <w:szCs w:val="24"/>
                                <w:lang w:val="en-US" w:eastAsia="zh-CN"/>
                              </w:rPr>
                              <w:t>2</w:t>
                            </w:r>
                          </w:p>
                        </w:txbxContent>
                      </v:textbox>
                    </v:shape>
                  </w:pict>
                </mc:Fallback>
              </mc:AlternateContent>
            </w:r>
          </w:p>
          <w:p w14:paraId="1CBEF37B">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84864" behindDoc="0" locked="0" layoutInCell="1" allowOverlap="1">
                      <wp:simplePos x="0" y="0"/>
                      <wp:positionH relativeFrom="column">
                        <wp:posOffset>3023870</wp:posOffset>
                      </wp:positionH>
                      <wp:positionV relativeFrom="paragraph">
                        <wp:posOffset>27305</wp:posOffset>
                      </wp:positionV>
                      <wp:extent cx="376555" cy="29718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376555" cy="2971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3B20C9">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8.1pt;margin-top:2.15pt;height:23.4pt;width:29.65pt;z-index:251684864;mso-width-relative:page;mso-height-relative:page;" filled="f" stroked="f" coordsize="21600,21600" o:gfxdata="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&#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zHiPPZAAAACAEAAA8AAAAAAAAAAQAgAAAAIgAAAGRy&#10;cy9kb3ducmV2LnhtbFBLAQIUABQAAAAIAIdO4kBPXtyMPQIAAGcEAAAOAAAAAAAAAAEAIAAAACgB&#10;AABkcnMvZTJvRG9jLnhtbFBLBQYAAAAABgAGAFkBAADXBQAAAAA=&#10;">
                      <v:fill on="f" focussize="0,0"/>
                      <v:stroke on="f" weight="0.5pt"/>
                      <v:imagedata o:title=""/>
                      <o:lock v:ext="edit" aspectratio="f"/>
                      <v:textbox>
                        <w:txbxContent>
                          <w:p w14:paraId="2F3B20C9">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85888" behindDoc="0" locked="0" layoutInCell="1" allowOverlap="1">
                      <wp:simplePos x="0" y="0"/>
                      <wp:positionH relativeFrom="column">
                        <wp:posOffset>3222625</wp:posOffset>
                      </wp:positionH>
                      <wp:positionV relativeFrom="paragraph">
                        <wp:posOffset>31115</wp:posOffset>
                      </wp:positionV>
                      <wp:extent cx="376555" cy="29718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376555" cy="2971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8194B1">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3.75pt;margin-top:2.45pt;height:23.4pt;width:29.65pt;z-index:251685888;mso-width-relative:page;mso-height-relative:page;" filled="f" stroked="f" coordsize="21600,21600" o:gfxdata="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ReHeT2gAAAAgBAAAPAAAAAAAAAAEAIAAAACIAAABk&#10;cnMvZG93bnJldi54bWxQSwECFAAUAAAACACHTuJAFSEfZD0CAABnBAAADgAAAAAAAAABACAAAAAp&#10;AQAAZHJzL2Uyb0RvYy54bWxQSwUGAAAAAAYABgBZAQAA2AUAAAAA&#10;">
                      <v:fill on="f" focussize="0,0"/>
                      <v:stroke on="f" weight="0.5pt"/>
                      <v:imagedata o:title=""/>
                      <o:lock v:ext="edit" aspectratio="f"/>
                      <v:textbox>
                        <w:txbxContent>
                          <w:p w14:paraId="418194B1">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87936" behindDoc="0" locked="0" layoutInCell="1" allowOverlap="1">
                      <wp:simplePos x="0" y="0"/>
                      <wp:positionH relativeFrom="column">
                        <wp:posOffset>3646805</wp:posOffset>
                      </wp:positionH>
                      <wp:positionV relativeFrom="paragraph">
                        <wp:posOffset>32385</wp:posOffset>
                      </wp:positionV>
                      <wp:extent cx="376555" cy="29718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376555" cy="2971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D4F71B">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7.15pt;margin-top:2.55pt;height:23.4pt;width:29.65pt;z-index:251687936;mso-width-relative:page;mso-height-relative:page;" filled="f" stroked="f" coordsize="21600,21600" o:gfxdata="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HlKFdkAAAAIAQAADwAAAAAAAAABACAAAAAiAAAA&#10;ZHJzL2Rvd25yZXYueG1sUEsBAhQAFAAAAAgAh07iQPamI7Q/AgAAaQQAAA4AAAAAAAAAAQAgAAAA&#10;KAEAAGRycy9lMm9Eb2MueG1sUEsFBgAAAAAGAAYAWQEAANkFAAAAAA==&#10;">
                      <v:fill on="f" focussize="0,0"/>
                      <v:stroke on="f" weight="0.5pt"/>
                      <v:imagedata o:title=""/>
                      <o:lock v:ext="edit" aspectratio="f"/>
                      <v:textbox>
                        <w:txbxContent>
                          <w:p w14:paraId="21D4F71B">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86912" behindDoc="0" locked="0" layoutInCell="1" allowOverlap="1">
                      <wp:simplePos x="0" y="0"/>
                      <wp:positionH relativeFrom="column">
                        <wp:posOffset>3437890</wp:posOffset>
                      </wp:positionH>
                      <wp:positionV relativeFrom="paragraph">
                        <wp:posOffset>31115</wp:posOffset>
                      </wp:positionV>
                      <wp:extent cx="376555" cy="29718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376555" cy="2971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D2AC45">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7pt;margin-top:2.45pt;height:23.4pt;width:29.65pt;z-index:251686912;mso-width-relative:page;mso-height-relative:page;" filled="f" stroked="f" coordsize="21600,21600" o:gfxdata="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W33QL2QAAAAgBAAAPAAAAAAAAAAEAIAAAACIAAABk&#10;cnMvZG93bnJldi54bWxQSwECFAAUAAAACACHTuJAuqYrhj4CAABnBAAADgAAAAAAAAABACAAAAAo&#10;AQAAZHJzL2Uyb0RvYy54bWxQSwUGAAAAAAYABgBZAQAA2AUAAAAA&#10;">
                      <v:fill on="f" focussize="0,0"/>
                      <v:stroke on="f" weight="0.5pt"/>
                      <v:imagedata o:title=""/>
                      <o:lock v:ext="edit" aspectratio="f"/>
                      <v:textbox>
                        <w:txbxContent>
                          <w:p w14:paraId="01D2AC45">
                            <w:pPr>
                              <w:rPr>
                                <w:rFonts w:hint="default" w:cs="Times New Roman"/>
                                <w:b/>
                                <w:bCs/>
                                <w:sz w:val="21"/>
                                <w:szCs w:val="24"/>
                                <w:lang w:val="en-US" w:eastAsia="zh-CN"/>
                              </w:rPr>
                            </w:pPr>
                            <w:r>
                              <w:rPr>
                                <w:rFonts w:hint="eastAsia" w:ascii="宋体" w:hAnsi="宋体" w:eastAsia="宋体" w:cs="宋体"/>
                                <w:b/>
                                <w:bCs/>
                                <w:sz w:val="21"/>
                                <w:szCs w:val="24"/>
                                <w:lang w:val="en-US" w:eastAsia="zh-CN"/>
                              </w:rPr>
                              <w:t>○</w:t>
                            </w:r>
                          </w:p>
                        </w:txbxContent>
                      </v:textbox>
                    </v:shape>
                  </w:pict>
                </mc:Fallback>
              </mc:AlternateContent>
            </w:r>
          </w:p>
          <w:p w14:paraId="5196895A">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82816" behindDoc="0" locked="0" layoutInCell="1" allowOverlap="1">
                      <wp:simplePos x="0" y="0"/>
                      <wp:positionH relativeFrom="column">
                        <wp:posOffset>3340100</wp:posOffset>
                      </wp:positionH>
                      <wp:positionV relativeFrom="paragraph">
                        <wp:posOffset>147955</wp:posOffset>
                      </wp:positionV>
                      <wp:extent cx="629920" cy="1536700"/>
                      <wp:effectExtent l="6350" t="6350" r="11430" b="19050"/>
                      <wp:wrapNone/>
                      <wp:docPr id="17" name="矩形 17"/>
                      <wp:cNvGraphicFramePr/>
                      <a:graphic xmlns:a="http://schemas.openxmlformats.org/drawingml/2006/main">
                        <a:graphicData uri="http://schemas.microsoft.com/office/word/2010/wordprocessingShape">
                          <wps:wsp>
                            <wps:cNvSpPr/>
                            <wps:spPr>
                              <a:xfrm>
                                <a:off x="0" y="0"/>
                                <a:ext cx="629920" cy="1536700"/>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3pt;margin-top:11.65pt;height:121pt;width:49.6pt;z-index:251682816;v-text-anchor:middle;mso-width-relative:page;mso-height-relative:page;" filled="f" stroked="t" coordsize="21600,21600" o:gfxdata="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mI&#10;SxbZAAAACgEAAA8AAAAAAAAAAQAgAAAAIgAAAGRycy9kb3ducmV2LnhtbFBLAQIUABQAAAAIAIdO&#10;4kCnOP1pWwIAALYEAAAOAAAAAAAAAAEAIAAAACgBAABkcnMvZTJvRG9jLnhtbFBLBQYAAAAABgAG&#10;AFkBAAD1BQAAAAA=&#10;">
                      <v:fill on="f" focussize="0,0"/>
                      <v:stroke weight="1pt" color="#000000 [3213]" joinstyle="round"/>
                      <v:imagedata o:title=""/>
                      <o:lock v:ext="edit" aspectratio="f"/>
                    </v:rect>
                  </w:pict>
                </mc:Fallback>
              </mc:AlternateContent>
            </w:r>
          </w:p>
          <w:p w14:paraId="54C4BC9D">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column">
                        <wp:posOffset>3399790</wp:posOffset>
                      </wp:positionH>
                      <wp:positionV relativeFrom="paragraph">
                        <wp:posOffset>173355</wp:posOffset>
                      </wp:positionV>
                      <wp:extent cx="492760" cy="418465"/>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492760" cy="418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D20B81">
                                  <w:pPr>
                                    <w:jc w:val="center"/>
                                    <w:rPr>
                                      <w:rFonts w:hint="default"/>
                                      <w:lang w:val="en-US" w:eastAsia="zh-CN"/>
                                    </w:rPr>
                                  </w:pPr>
                                  <w:r>
                                    <w:rPr>
                                      <w:rFonts w:hint="eastAsia" w:cs="Times New Roman"/>
                                      <w:szCs w:val="21"/>
                                      <w:lang w:val="en-US" w:eastAsia="zh-CN"/>
                                    </w:rPr>
                                    <w:t>破碎车间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7.7pt;margin-top:13.65pt;height:32.95pt;width:38.8pt;z-index:251683840;mso-width-relative:page;mso-height-relative:page;" filled="f" stroked="f" coordsize="21600,21600" o:gfxdata="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&#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wWOZ7bAAAACQEAAA8AAAAAAAAAAQAgAAAAIgAAAGRy&#10;cy9kb3ducmV2LnhtbFBLAQIUABQAAAAIAIdO4kDBtu0xOwIAAGcEAAAOAAAAAAAAAAEAIAAAACoB&#10;AABkcnMvZTJvRG9jLnhtbFBLBQYAAAAABgAGAFkBAADXBQAAAAA=&#10;">
                      <v:fill on="f" focussize="0,0"/>
                      <v:stroke on="f" weight="0.5pt"/>
                      <v:imagedata o:title=""/>
                      <o:lock v:ext="edit" aspectratio="f"/>
                      <v:textbox>
                        <w:txbxContent>
                          <w:p w14:paraId="00D20B81">
                            <w:pPr>
                              <w:jc w:val="center"/>
                              <w:rPr>
                                <w:rFonts w:hint="default"/>
                                <w:lang w:val="en-US" w:eastAsia="zh-CN"/>
                              </w:rPr>
                            </w:pPr>
                            <w:r>
                              <w:rPr>
                                <w:rFonts w:hint="eastAsia" w:cs="Times New Roman"/>
                                <w:szCs w:val="21"/>
                                <w:lang w:val="en-US" w:eastAsia="zh-CN"/>
                              </w:rPr>
                              <w:t>破碎车间</w:t>
                            </w:r>
                          </w:p>
                        </w:txbxContent>
                      </v:textbox>
                    </v:shape>
                  </w:pict>
                </mc:Fallback>
              </mc:AlternateContent>
            </w:r>
          </w:p>
          <w:p w14:paraId="1DD4D1B6">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3472815</wp:posOffset>
                      </wp:positionH>
                      <wp:positionV relativeFrom="paragraph">
                        <wp:posOffset>240030</wp:posOffset>
                      </wp:positionV>
                      <wp:extent cx="414655" cy="28321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414655" cy="2832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4B954A">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3.45pt;margin-top:18.9pt;height:22.3pt;width:32.65pt;z-index:251672576;mso-width-relative:page;mso-height-relative:page;" filled="f" stroked="f" coordsize="21600,21600" o:gfxdata="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Kz/Qy/bAAAACQEAAA8AAAAAAAAAAQAgAAAAIgAA&#10;AGRycy9kb3ducmV2LnhtbFBLAQIUABQAAAAIAIdO4kDr48N0PgIAAGcEAAAOAAAAAAAAAAEAIAAA&#10;ACoBAABkcnMvZTJvRG9jLnhtbFBLBQYAAAAABgAGAFkBAADaBQAAAAA=&#10;">
                      <v:fill on="f" focussize="0,0"/>
                      <v:stroke on="f" weight="0.5pt"/>
                      <v:imagedata o:title=""/>
                      <o:lock v:ext="edit" aspectratio="f"/>
                      <v:textbox>
                        <w:txbxContent>
                          <w:p w14:paraId="554B954A">
                            <w:pPr>
                              <w:rPr>
                                <w:rFonts w:hint="default" w:ascii="Times New Roman" w:hAnsi="Times New Roman" w:eastAsia="宋体" w:cs="Times New Roman"/>
                                <w:b/>
                                <w:bCs/>
                                <w:sz w:val="21"/>
                                <w:szCs w:val="24"/>
                                <w:lang w:val="en-US" w:eastAsia="zh-CN"/>
                              </w:rPr>
                            </w:pPr>
                            <w:r>
                              <w:rPr>
                                <w:rFonts w:hint="default" w:ascii="Times New Roman" w:hAnsi="Times New Roman" w:eastAsia="宋体" w:cs="Times New Roman"/>
                                <w:b/>
                                <w:bCs/>
                                <w:sz w:val="21"/>
                                <w:szCs w:val="24"/>
                                <w:lang w:val="en-US" w:eastAsia="zh-CN"/>
                              </w:rPr>
                              <w:t>G</w:t>
                            </w:r>
                            <w:r>
                              <w:rPr>
                                <w:rFonts w:hint="eastAsia" w:ascii="Times New Roman" w:hAnsi="Times New Roman" w:eastAsia="宋体" w:cs="Times New Roman"/>
                                <w:b/>
                                <w:bCs/>
                                <w:sz w:val="21"/>
                                <w:szCs w:val="24"/>
                                <w:lang w:val="en-US" w:eastAsia="zh-CN"/>
                              </w:rPr>
                              <w:t>2</w:t>
                            </w:r>
                          </w:p>
                        </w:txbxContent>
                      </v:textbox>
                    </v:shape>
                  </w:pict>
                </mc:Fallback>
              </mc:AlternateContent>
            </w:r>
          </w:p>
          <w:p w14:paraId="2D0DC121">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740160" behindDoc="0" locked="0" layoutInCell="1" allowOverlap="1">
                      <wp:simplePos x="0" y="0"/>
                      <wp:positionH relativeFrom="column">
                        <wp:posOffset>629920</wp:posOffset>
                      </wp:positionH>
                      <wp:positionV relativeFrom="paragraph">
                        <wp:posOffset>172720</wp:posOffset>
                      </wp:positionV>
                      <wp:extent cx="2147570" cy="776605"/>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2147570" cy="7766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F58C11">
                                  <w:pPr>
                                    <w:widowControl w:val="0"/>
                                    <w:kinsoku/>
                                    <w:autoSpaceDE/>
                                    <w:autoSpaceDN/>
                                    <w:adjustRightInd/>
                                    <w:snapToGrid/>
                                    <w:spacing w:line="240" w:lineRule="auto"/>
                                    <w:jc w:val="center"/>
                                    <w:textAlignment w:val="auto"/>
                                    <w:rPr>
                                      <w:rFonts w:hint="eastAsia" w:ascii="Times New Roman" w:hAnsi="Times New Roman" w:eastAsia="宋体" w:cs="Times New Roman"/>
                                      <w:b w:val="0"/>
                                      <w:bCs w:val="0"/>
                                      <w:szCs w:val="21"/>
                                      <w:lang w:val="en-US" w:eastAsia="zh-CN"/>
                                    </w:rPr>
                                  </w:pPr>
                                  <w:r>
                                    <w:rPr>
                                      <w:rFonts w:hint="eastAsia" w:cs="Times New Roman"/>
                                      <w:b w:val="0"/>
                                      <w:bCs w:val="0"/>
                                      <w:sz w:val="21"/>
                                      <w:szCs w:val="24"/>
                                      <w:lang w:val="en-US" w:eastAsia="zh-CN"/>
                                    </w:rPr>
                                    <w:t>炭化车间及</w:t>
                                  </w:r>
                                  <w:r>
                                    <w:rPr>
                                      <w:rFonts w:hint="eastAsia" w:ascii="Times New Roman" w:hAnsi="Times New Roman" w:cs="Times New Roman"/>
                                      <w:b w:val="0"/>
                                      <w:bCs w:val="0"/>
                                      <w:szCs w:val="21"/>
                                      <w:lang w:val="en-US" w:eastAsia="zh-CN"/>
                                    </w:rPr>
                                    <w:t>固体肥</w:t>
                                  </w:r>
                                </w:p>
                                <w:p w14:paraId="1897C827">
                                  <w:pPr>
                                    <w:jc w:val="center"/>
                                    <w:rPr>
                                      <w:rFonts w:hint="default" w:ascii="Times New Roman" w:hAnsi="Times New Roman" w:eastAsia="宋体" w:cs="Times New Roman"/>
                                      <w:b w:val="0"/>
                                      <w:bCs w:val="0"/>
                                      <w:sz w:val="21"/>
                                      <w:szCs w:val="24"/>
                                      <w:lang w:val="en-US" w:eastAsia="zh-CN"/>
                                    </w:rPr>
                                  </w:pPr>
                                  <w:r>
                                    <w:rPr>
                                      <w:rFonts w:hint="default" w:ascii="Times New Roman" w:hAnsi="Times New Roman" w:cs="Times New Roman"/>
                                      <w:b w:val="0"/>
                                      <w:bCs w:val="0"/>
                                      <w:szCs w:val="21"/>
                                    </w:rPr>
                                    <w:t>车间</w:t>
                                  </w:r>
                                  <w:r>
                                    <w:rPr>
                                      <w:rFonts w:hint="eastAsia" w:cs="Times New Roman"/>
                                      <w:b w:val="0"/>
                                      <w:bCs w:val="0"/>
                                      <w:color w:val="auto"/>
                                      <w:szCs w:val="21"/>
                                      <w:lang w:val="en-US" w:eastAsia="zh-CN"/>
                                    </w:rPr>
                                    <w:t>未</w:t>
                                  </w:r>
                                  <w:r>
                                    <w:rPr>
                                      <w:rFonts w:hint="eastAsia" w:cs="Times New Roman"/>
                                      <w:b w:val="0"/>
                                      <w:bCs w:val="0"/>
                                      <w:color w:val="auto"/>
                                      <w:sz w:val="21"/>
                                      <w:szCs w:val="24"/>
                                      <w:lang w:val="en-US" w:eastAsia="zh-CN"/>
                                    </w:rPr>
                                    <w:t>收集到的逸散的颗粒物</w:t>
                                  </w:r>
                                  <w:r>
                                    <w:rPr>
                                      <w:rFonts w:hint="default" w:cs="Times New Roman"/>
                                      <w:b w:val="0"/>
                                      <w:bCs w:val="0"/>
                                      <w:color w:val="auto"/>
                                      <w:sz w:val="21"/>
                                      <w:szCs w:val="24"/>
                                      <w:lang w:val="en-US" w:eastAsia="zh-CN"/>
                                    </w:rPr>
                                    <w:t>G</w:t>
                                  </w:r>
                                  <w:r>
                                    <w:rPr>
                                      <w:rFonts w:hint="eastAsia" w:cs="Times New Roman"/>
                                      <w:b w:val="0"/>
                                      <w:bCs w:val="0"/>
                                      <w:color w:val="auto"/>
                                      <w:sz w:val="21"/>
                                      <w:szCs w:val="24"/>
                                      <w:lang w:val="en-US" w:eastAsia="zh-CN"/>
                                    </w:rPr>
                                    <w:t>13</w:t>
                                  </w:r>
                                  <w:r>
                                    <w:rPr>
                                      <w:rFonts w:hint="eastAsia" w:ascii="Times New Roman" w:hAnsi="Times New Roman" w:eastAsia="宋体" w:cs="Times New Roman"/>
                                      <w:b w:val="0"/>
                                      <w:bCs w:val="0"/>
                                      <w:color w:val="auto"/>
                                      <w:sz w:val="21"/>
                                      <w:szCs w:val="24"/>
                                      <w:lang w:val="en-US" w:eastAsia="zh-CN"/>
                                    </w:rPr>
                                    <w:t>；</w:t>
                                  </w:r>
                                  <w:r>
                                    <w:rPr>
                                      <w:rFonts w:hint="eastAsia" w:cs="Times New Roman"/>
                                      <w:b w:val="0"/>
                                      <w:bCs w:val="0"/>
                                      <w:color w:val="auto"/>
                                      <w:sz w:val="21"/>
                                      <w:szCs w:val="24"/>
                                      <w:lang w:val="en-US" w:eastAsia="zh-CN"/>
                                    </w:rPr>
                                    <w:t>出碳、</w:t>
                                  </w:r>
                                  <w:r>
                                    <w:rPr>
                                      <w:rFonts w:hint="eastAsia" w:ascii="Times New Roman" w:hAnsi="Times New Roman" w:eastAsia="宋体" w:cs="Times New Roman"/>
                                      <w:b w:val="0"/>
                                      <w:bCs w:val="0"/>
                                      <w:color w:val="auto"/>
                                      <w:sz w:val="21"/>
                                      <w:szCs w:val="24"/>
                                      <w:lang w:val="en-US" w:eastAsia="zh-CN"/>
                                    </w:rPr>
                                    <w:t>双膜储气柜膜材渗透及压力波动综合逸散VOC</w:t>
                                  </w:r>
                                  <w:r>
                                    <w:rPr>
                                      <w:rFonts w:hint="eastAsia" w:ascii="Times New Roman" w:hAnsi="Times New Roman" w:eastAsia="宋体" w:cs="Times New Roman"/>
                                      <w:b w:val="0"/>
                                      <w:bCs w:val="0"/>
                                      <w:color w:val="auto"/>
                                      <w:sz w:val="21"/>
                                      <w:szCs w:val="24"/>
                                      <w:vertAlign w:val="subscript"/>
                                      <w:lang w:val="en-US" w:eastAsia="zh-CN"/>
                                    </w:rPr>
                                    <w:t>S</w:t>
                                  </w:r>
                                  <w:r>
                                    <w:rPr>
                                      <w:rFonts w:hint="eastAsia" w:ascii="Times New Roman" w:hAnsi="Times New Roman" w:eastAsia="宋体" w:cs="Times New Roman"/>
                                      <w:b w:val="0"/>
                                      <w:bCs w:val="0"/>
                                      <w:color w:val="auto"/>
                                      <w:sz w:val="21"/>
                                      <w:szCs w:val="24"/>
                                      <w:lang w:val="en-US" w:eastAsia="zh-CN"/>
                                    </w:rPr>
                                    <w:t>G1</w:t>
                                  </w:r>
                                  <w:r>
                                    <w:rPr>
                                      <w:rFonts w:hint="eastAsia" w:cs="Times New Roman"/>
                                      <w:b w:val="0"/>
                                      <w:bCs w:val="0"/>
                                      <w:color w:val="auto"/>
                                      <w:sz w:val="21"/>
                                      <w:szCs w:val="24"/>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6pt;margin-top:13.6pt;height:61.15pt;width:169.1pt;z-index:251740160;mso-width-relative:page;mso-height-relative:page;" filled="f" stroked="f" coordsize="21600,21600" o:gfxdata="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2zrtA9sAAAAJAQAADwAAAAAAAAABACAAAAAiAAAA&#10;ZHJzL2Rvd25yZXYueG1sUEsBAhQAFAAAAAgAh07iQCRCe6Y9AgAAaAQAAA4AAAAAAAAAAQAgAAAA&#10;KgEAAGRycy9lMm9Eb2MueG1sUEsFBgAAAAAGAAYAWQEAANkFAAAAAA==&#10;">
                      <v:fill on="f" focussize="0,0"/>
                      <v:stroke on="f" weight="0.5pt"/>
                      <v:imagedata o:title=""/>
                      <o:lock v:ext="edit" aspectratio="f"/>
                      <v:textbox>
                        <w:txbxContent>
                          <w:p w14:paraId="52F58C11">
                            <w:pPr>
                              <w:widowControl w:val="0"/>
                              <w:kinsoku/>
                              <w:autoSpaceDE/>
                              <w:autoSpaceDN/>
                              <w:adjustRightInd/>
                              <w:snapToGrid/>
                              <w:spacing w:line="240" w:lineRule="auto"/>
                              <w:jc w:val="center"/>
                              <w:textAlignment w:val="auto"/>
                              <w:rPr>
                                <w:rFonts w:hint="eastAsia" w:ascii="Times New Roman" w:hAnsi="Times New Roman" w:eastAsia="宋体" w:cs="Times New Roman"/>
                                <w:b w:val="0"/>
                                <w:bCs w:val="0"/>
                                <w:szCs w:val="21"/>
                                <w:lang w:val="en-US" w:eastAsia="zh-CN"/>
                              </w:rPr>
                            </w:pPr>
                            <w:r>
                              <w:rPr>
                                <w:rFonts w:hint="eastAsia" w:cs="Times New Roman"/>
                                <w:b w:val="0"/>
                                <w:bCs w:val="0"/>
                                <w:sz w:val="21"/>
                                <w:szCs w:val="24"/>
                                <w:lang w:val="en-US" w:eastAsia="zh-CN"/>
                              </w:rPr>
                              <w:t>炭化车间及</w:t>
                            </w:r>
                            <w:r>
                              <w:rPr>
                                <w:rFonts w:hint="eastAsia" w:ascii="Times New Roman" w:hAnsi="Times New Roman" w:cs="Times New Roman"/>
                                <w:b w:val="0"/>
                                <w:bCs w:val="0"/>
                                <w:szCs w:val="21"/>
                                <w:lang w:val="en-US" w:eastAsia="zh-CN"/>
                              </w:rPr>
                              <w:t>固体肥</w:t>
                            </w:r>
                          </w:p>
                          <w:p w14:paraId="1897C827">
                            <w:pPr>
                              <w:jc w:val="center"/>
                              <w:rPr>
                                <w:rFonts w:hint="default" w:ascii="Times New Roman" w:hAnsi="Times New Roman" w:eastAsia="宋体" w:cs="Times New Roman"/>
                                <w:b w:val="0"/>
                                <w:bCs w:val="0"/>
                                <w:sz w:val="21"/>
                                <w:szCs w:val="24"/>
                                <w:lang w:val="en-US" w:eastAsia="zh-CN"/>
                              </w:rPr>
                            </w:pPr>
                            <w:r>
                              <w:rPr>
                                <w:rFonts w:hint="default" w:ascii="Times New Roman" w:hAnsi="Times New Roman" w:cs="Times New Roman"/>
                                <w:b w:val="0"/>
                                <w:bCs w:val="0"/>
                                <w:szCs w:val="21"/>
                              </w:rPr>
                              <w:t>车间</w:t>
                            </w:r>
                            <w:r>
                              <w:rPr>
                                <w:rFonts w:hint="eastAsia" w:cs="Times New Roman"/>
                                <w:b w:val="0"/>
                                <w:bCs w:val="0"/>
                                <w:color w:val="auto"/>
                                <w:szCs w:val="21"/>
                                <w:lang w:val="en-US" w:eastAsia="zh-CN"/>
                              </w:rPr>
                              <w:t>未</w:t>
                            </w:r>
                            <w:r>
                              <w:rPr>
                                <w:rFonts w:hint="eastAsia" w:cs="Times New Roman"/>
                                <w:b w:val="0"/>
                                <w:bCs w:val="0"/>
                                <w:color w:val="auto"/>
                                <w:sz w:val="21"/>
                                <w:szCs w:val="24"/>
                                <w:lang w:val="en-US" w:eastAsia="zh-CN"/>
                              </w:rPr>
                              <w:t>收集到的逸散的颗粒物</w:t>
                            </w:r>
                            <w:r>
                              <w:rPr>
                                <w:rFonts w:hint="default" w:cs="Times New Roman"/>
                                <w:b w:val="0"/>
                                <w:bCs w:val="0"/>
                                <w:color w:val="auto"/>
                                <w:sz w:val="21"/>
                                <w:szCs w:val="24"/>
                                <w:lang w:val="en-US" w:eastAsia="zh-CN"/>
                              </w:rPr>
                              <w:t>G</w:t>
                            </w:r>
                            <w:r>
                              <w:rPr>
                                <w:rFonts w:hint="eastAsia" w:cs="Times New Roman"/>
                                <w:b w:val="0"/>
                                <w:bCs w:val="0"/>
                                <w:color w:val="auto"/>
                                <w:sz w:val="21"/>
                                <w:szCs w:val="24"/>
                                <w:lang w:val="en-US" w:eastAsia="zh-CN"/>
                              </w:rPr>
                              <w:t>13</w:t>
                            </w:r>
                            <w:r>
                              <w:rPr>
                                <w:rFonts w:hint="eastAsia" w:ascii="Times New Roman" w:hAnsi="Times New Roman" w:eastAsia="宋体" w:cs="Times New Roman"/>
                                <w:b w:val="0"/>
                                <w:bCs w:val="0"/>
                                <w:color w:val="auto"/>
                                <w:sz w:val="21"/>
                                <w:szCs w:val="24"/>
                                <w:lang w:val="en-US" w:eastAsia="zh-CN"/>
                              </w:rPr>
                              <w:t>；</w:t>
                            </w:r>
                            <w:r>
                              <w:rPr>
                                <w:rFonts w:hint="eastAsia" w:cs="Times New Roman"/>
                                <w:b w:val="0"/>
                                <w:bCs w:val="0"/>
                                <w:color w:val="auto"/>
                                <w:sz w:val="21"/>
                                <w:szCs w:val="24"/>
                                <w:lang w:val="en-US" w:eastAsia="zh-CN"/>
                              </w:rPr>
                              <w:t>出碳、</w:t>
                            </w:r>
                            <w:r>
                              <w:rPr>
                                <w:rFonts w:hint="eastAsia" w:ascii="Times New Roman" w:hAnsi="Times New Roman" w:eastAsia="宋体" w:cs="Times New Roman"/>
                                <w:b w:val="0"/>
                                <w:bCs w:val="0"/>
                                <w:color w:val="auto"/>
                                <w:sz w:val="21"/>
                                <w:szCs w:val="24"/>
                                <w:lang w:val="en-US" w:eastAsia="zh-CN"/>
                              </w:rPr>
                              <w:t>双膜储气柜膜材渗透及压力波动综合逸散VOC</w:t>
                            </w:r>
                            <w:r>
                              <w:rPr>
                                <w:rFonts w:hint="eastAsia" w:ascii="Times New Roman" w:hAnsi="Times New Roman" w:eastAsia="宋体" w:cs="Times New Roman"/>
                                <w:b w:val="0"/>
                                <w:bCs w:val="0"/>
                                <w:color w:val="auto"/>
                                <w:sz w:val="21"/>
                                <w:szCs w:val="24"/>
                                <w:vertAlign w:val="subscript"/>
                                <w:lang w:val="en-US" w:eastAsia="zh-CN"/>
                              </w:rPr>
                              <w:t>S</w:t>
                            </w:r>
                            <w:r>
                              <w:rPr>
                                <w:rFonts w:hint="eastAsia" w:ascii="Times New Roman" w:hAnsi="Times New Roman" w:eastAsia="宋体" w:cs="Times New Roman"/>
                                <w:b w:val="0"/>
                                <w:bCs w:val="0"/>
                                <w:color w:val="auto"/>
                                <w:sz w:val="21"/>
                                <w:szCs w:val="24"/>
                                <w:lang w:val="en-US" w:eastAsia="zh-CN"/>
                              </w:rPr>
                              <w:t>G1</w:t>
                            </w:r>
                            <w:r>
                              <w:rPr>
                                <w:rFonts w:hint="eastAsia" w:cs="Times New Roman"/>
                                <w:b w:val="0"/>
                                <w:bCs w:val="0"/>
                                <w:color w:val="auto"/>
                                <w:sz w:val="21"/>
                                <w:szCs w:val="24"/>
                                <w:lang w:val="en-US" w:eastAsia="zh-CN"/>
                              </w:rPr>
                              <w:t>4</w:t>
                            </w:r>
                          </w:p>
                        </w:txbxContent>
                      </v:textbox>
                    </v:shape>
                  </w:pict>
                </mc:Fallback>
              </mc:AlternateContent>
            </w:r>
          </w:p>
          <w:p w14:paraId="4A45F8F0">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6FE4AC0F">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74C0D9CD">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626110</wp:posOffset>
                      </wp:positionH>
                      <wp:positionV relativeFrom="paragraph">
                        <wp:posOffset>164465</wp:posOffset>
                      </wp:positionV>
                      <wp:extent cx="3552190" cy="0"/>
                      <wp:effectExtent l="0" t="6350" r="0" b="6350"/>
                      <wp:wrapNone/>
                      <wp:docPr id="76" name="直接连接符 76"/>
                      <wp:cNvGraphicFramePr/>
                      <a:graphic xmlns:a="http://schemas.openxmlformats.org/drawingml/2006/main">
                        <a:graphicData uri="http://schemas.microsoft.com/office/word/2010/wordprocessingShape">
                          <wps:wsp>
                            <wps:cNvCnPr/>
                            <wps:spPr>
                              <a:xfrm>
                                <a:off x="0" y="0"/>
                                <a:ext cx="3552190" cy="0"/>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9.3pt;margin-top:12.95pt;height:0pt;width:279.7pt;z-index:251667456;mso-width-relative:page;mso-height-relative:page;" filled="f" stroked="t" coordsize="21600,21600" o:gfxdata="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CUZ8TXAAAACAEAAA8AAAAAAAAA&#10;AQAgAAAAIgAAAGRycy9kb3ducmV2LnhtbFBLAQIUABQAAAAIAIdO4kCBfkW/2QEAAJ0DAAAOAAAA&#10;AAAAAAEAIAAAACYBAABkcnMvZTJvRG9jLnhtbFBLBQYAAAAABgAGAFkBAABxBQAAAAA=&#10;">
                      <v:fill on="f" focussize="0,0"/>
                      <v:stroke weight="1pt" color="#000000 [3213]" joinstyle="round"/>
                      <v:imagedata o:title=""/>
                      <o:lock v:ext="edit" aspectratio="f"/>
                    </v:line>
                  </w:pict>
                </mc:Fallback>
              </mc:AlternateContent>
            </w:r>
          </w:p>
          <w:p w14:paraId="2FB2292A">
            <w:pPr>
              <w:pStyle w:val="5"/>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72" w:lineRule="auto"/>
              <w:jc w:val="center"/>
              <w:textAlignment w:val="auto"/>
              <w:outlineLvl w:val="3"/>
              <w:rPr>
                <w:rFonts w:hint="default"/>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图</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2-</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4 </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运营期废气产生源分布图</w:t>
            </w:r>
          </w:p>
          <w:p w14:paraId="0083836E">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0CD087D0">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89984" behindDoc="0" locked="0" layoutInCell="1" allowOverlap="1">
                      <wp:simplePos x="0" y="0"/>
                      <wp:positionH relativeFrom="column">
                        <wp:posOffset>6162675</wp:posOffset>
                      </wp:positionH>
                      <wp:positionV relativeFrom="paragraph">
                        <wp:posOffset>-3683635</wp:posOffset>
                      </wp:positionV>
                      <wp:extent cx="2147570" cy="128016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2147570" cy="12801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666E47">
                                  <w:pPr>
                                    <w:widowControl w:val="0"/>
                                    <w:kinsoku/>
                                    <w:autoSpaceDE/>
                                    <w:autoSpaceDN/>
                                    <w:adjustRightInd/>
                                    <w:snapToGrid/>
                                    <w:spacing w:line="240" w:lineRule="auto"/>
                                    <w:jc w:val="center"/>
                                    <w:textAlignment w:val="auto"/>
                                    <w:rPr>
                                      <w:rFonts w:hint="eastAsia" w:ascii="Times New Roman" w:hAnsi="Times New Roman" w:eastAsia="宋体" w:cs="Times New Roman"/>
                                      <w:b w:val="0"/>
                                      <w:bCs w:val="0"/>
                                      <w:szCs w:val="21"/>
                                      <w:lang w:val="en-US" w:eastAsia="zh-CN"/>
                                    </w:rPr>
                                  </w:pPr>
                                  <w:r>
                                    <w:rPr>
                                      <w:rFonts w:hint="eastAsia" w:cs="Times New Roman"/>
                                      <w:b w:val="0"/>
                                      <w:bCs w:val="0"/>
                                      <w:sz w:val="21"/>
                                      <w:szCs w:val="24"/>
                                      <w:lang w:val="en-US" w:eastAsia="zh-CN"/>
                                    </w:rPr>
                                    <w:t>炭化车间及</w:t>
                                  </w:r>
                                  <w:r>
                                    <w:rPr>
                                      <w:rFonts w:hint="eastAsia" w:ascii="Times New Roman" w:hAnsi="Times New Roman" w:cs="Times New Roman"/>
                                      <w:b w:val="0"/>
                                      <w:bCs w:val="0"/>
                                      <w:szCs w:val="21"/>
                                      <w:lang w:val="en-US" w:eastAsia="zh-CN"/>
                                    </w:rPr>
                                    <w:t>固体肥</w:t>
                                  </w:r>
                                </w:p>
                                <w:p w14:paraId="1864B325">
                                  <w:pPr>
                                    <w:jc w:val="center"/>
                                    <w:rPr>
                                      <w:rFonts w:hint="default" w:ascii="Times New Roman" w:hAnsi="Times New Roman" w:eastAsia="宋体" w:cs="Times New Roman"/>
                                      <w:b w:val="0"/>
                                      <w:bCs w:val="0"/>
                                      <w:sz w:val="21"/>
                                      <w:szCs w:val="24"/>
                                      <w:lang w:val="en-US" w:eastAsia="zh-CN"/>
                                    </w:rPr>
                                  </w:pPr>
                                  <w:r>
                                    <w:rPr>
                                      <w:rFonts w:hint="default" w:ascii="Times New Roman" w:hAnsi="Times New Roman" w:cs="Times New Roman"/>
                                      <w:b w:val="0"/>
                                      <w:bCs w:val="0"/>
                                      <w:szCs w:val="21"/>
                                    </w:rPr>
                                    <w:t>车间</w:t>
                                  </w:r>
                                  <w:r>
                                    <w:rPr>
                                      <w:rFonts w:hint="eastAsia" w:cs="Times New Roman"/>
                                      <w:b w:val="0"/>
                                      <w:bCs w:val="0"/>
                                      <w:szCs w:val="21"/>
                                      <w:lang w:val="en-US" w:eastAsia="zh-CN"/>
                                    </w:rPr>
                                    <w:t>未</w:t>
                                  </w:r>
                                  <w:r>
                                    <w:rPr>
                                      <w:rFonts w:hint="eastAsia" w:cs="Times New Roman"/>
                                      <w:b w:val="0"/>
                                      <w:bCs w:val="0"/>
                                      <w:sz w:val="21"/>
                                      <w:szCs w:val="24"/>
                                      <w:lang w:val="en-US" w:eastAsia="zh-CN"/>
                                    </w:rPr>
                                    <w:t>收集到的逸散的颗粒物</w:t>
                                  </w:r>
                                  <w:r>
                                    <w:rPr>
                                      <w:rFonts w:hint="default" w:cs="Times New Roman"/>
                                      <w:b w:val="0"/>
                                      <w:bCs w:val="0"/>
                                      <w:sz w:val="21"/>
                                      <w:szCs w:val="24"/>
                                      <w:lang w:val="en-US" w:eastAsia="zh-CN"/>
                                    </w:rPr>
                                    <w:t>G</w:t>
                                  </w:r>
                                  <w:r>
                                    <w:rPr>
                                      <w:rFonts w:hint="eastAsia" w:cs="Times New Roman"/>
                                      <w:b w:val="0"/>
                                      <w:bCs w:val="0"/>
                                      <w:sz w:val="21"/>
                                      <w:szCs w:val="24"/>
                                      <w:lang w:val="en-US" w:eastAsia="zh-CN"/>
                                    </w:rPr>
                                    <w:t>13；</w:t>
                                  </w:r>
                                  <w:r>
                                    <w:rPr>
                                      <w:rFonts w:hint="eastAsia" w:cs="Times New Roman"/>
                                      <w:b w:val="0"/>
                                      <w:bCs w:val="0"/>
                                      <w:color w:val="FF0000"/>
                                      <w:sz w:val="21"/>
                                      <w:szCs w:val="24"/>
                                      <w:lang w:val="en-US" w:eastAsia="zh-CN"/>
                                    </w:rPr>
                                    <w:t>腐熟干畜禽粪便堆存及生产工艺中未收集到的逸散恶臭气体G15；</w:t>
                                  </w:r>
                                  <w:r>
                                    <w:rPr>
                                      <w:rFonts w:hint="eastAsia" w:cs="Times New Roman"/>
                                      <w:snapToGrid/>
                                      <w:color w:val="FF0000"/>
                                      <w:kern w:val="2"/>
                                      <w:sz w:val="21"/>
                                      <w:szCs w:val="21"/>
                                      <w:highlight w:val="none"/>
                                      <w:lang w:val="en-US" w:eastAsia="zh-CN"/>
                                    </w:rPr>
                                    <w:t>装料、出炭、储罐呼吸等逸散的VOCS</w:t>
                                  </w:r>
                                  <w:r>
                                    <w:rPr>
                                      <w:rFonts w:hint="eastAsia" w:cs="Times New Roman"/>
                                      <w:b w:val="0"/>
                                      <w:bCs w:val="0"/>
                                      <w:color w:val="FF0000"/>
                                      <w:sz w:val="21"/>
                                      <w:szCs w:val="24"/>
                                      <w:lang w:val="en-US" w:eastAsia="zh-CN"/>
                                    </w:rPr>
                                    <w:t>G16；</w:t>
                                  </w:r>
                                  <w:r>
                                    <w:rPr>
                                      <w:rFonts w:hint="eastAsia" w:cs="Times New Roman"/>
                                      <w:b w:val="0"/>
                                      <w:bCs w:val="0"/>
                                      <w:sz w:val="21"/>
                                      <w:szCs w:val="24"/>
                                      <w:lang w:val="en-US" w:eastAsia="zh-CN"/>
                                    </w:rPr>
                                    <w:t>原料及产品运输道路扬尘</w:t>
                                  </w:r>
                                  <w:r>
                                    <w:rPr>
                                      <w:rFonts w:hint="default" w:cs="Times New Roman"/>
                                      <w:b w:val="0"/>
                                      <w:bCs w:val="0"/>
                                      <w:sz w:val="21"/>
                                      <w:szCs w:val="24"/>
                                      <w:lang w:val="en-US" w:eastAsia="zh-CN"/>
                                    </w:rPr>
                                    <w:t>G</w:t>
                                  </w:r>
                                  <w:r>
                                    <w:rPr>
                                      <w:rFonts w:hint="eastAsia" w:cs="Times New Roman"/>
                                      <w:b w:val="0"/>
                                      <w:bCs w:val="0"/>
                                      <w:sz w:val="21"/>
                                      <w:szCs w:val="24"/>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5.25pt;margin-top:-290.05pt;height:100.8pt;width:169.1pt;z-index:251689984;mso-width-relative:page;mso-height-relative:page;" filled="f" stroked="f" coordsize="21600,21600" o:gfxdata="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Cl51iLeAAAADgEAAA8AAAAAAAAAAQAgAAAA&#10;IgAAAGRycy9kb3ducmV2LnhtbFBLAQIUABQAAAAIAIdO4kDR0li8PgIAAGkEAAAOAAAAAAAAAAEA&#10;IAAAAC0BAABkcnMvZTJvRG9jLnhtbFBLBQYAAAAABgAGAFkBAADdBQAAAAA=&#10;">
                      <v:fill on="f" focussize="0,0"/>
                      <v:stroke on="f" weight="0.5pt"/>
                      <v:imagedata o:title=""/>
                      <o:lock v:ext="edit" aspectratio="f"/>
                      <v:textbox>
                        <w:txbxContent>
                          <w:p w14:paraId="22666E47">
                            <w:pPr>
                              <w:widowControl w:val="0"/>
                              <w:kinsoku/>
                              <w:autoSpaceDE/>
                              <w:autoSpaceDN/>
                              <w:adjustRightInd/>
                              <w:snapToGrid/>
                              <w:spacing w:line="240" w:lineRule="auto"/>
                              <w:jc w:val="center"/>
                              <w:textAlignment w:val="auto"/>
                              <w:rPr>
                                <w:rFonts w:hint="eastAsia" w:ascii="Times New Roman" w:hAnsi="Times New Roman" w:eastAsia="宋体" w:cs="Times New Roman"/>
                                <w:b w:val="0"/>
                                <w:bCs w:val="0"/>
                                <w:szCs w:val="21"/>
                                <w:lang w:val="en-US" w:eastAsia="zh-CN"/>
                              </w:rPr>
                            </w:pPr>
                            <w:r>
                              <w:rPr>
                                <w:rFonts w:hint="eastAsia" w:cs="Times New Roman"/>
                                <w:b w:val="0"/>
                                <w:bCs w:val="0"/>
                                <w:sz w:val="21"/>
                                <w:szCs w:val="24"/>
                                <w:lang w:val="en-US" w:eastAsia="zh-CN"/>
                              </w:rPr>
                              <w:t>炭化车间及</w:t>
                            </w:r>
                            <w:r>
                              <w:rPr>
                                <w:rFonts w:hint="eastAsia" w:ascii="Times New Roman" w:hAnsi="Times New Roman" w:cs="Times New Roman"/>
                                <w:b w:val="0"/>
                                <w:bCs w:val="0"/>
                                <w:szCs w:val="21"/>
                                <w:lang w:val="en-US" w:eastAsia="zh-CN"/>
                              </w:rPr>
                              <w:t>固体肥</w:t>
                            </w:r>
                          </w:p>
                          <w:p w14:paraId="1864B325">
                            <w:pPr>
                              <w:jc w:val="center"/>
                              <w:rPr>
                                <w:rFonts w:hint="default" w:ascii="Times New Roman" w:hAnsi="Times New Roman" w:eastAsia="宋体" w:cs="Times New Roman"/>
                                <w:b w:val="0"/>
                                <w:bCs w:val="0"/>
                                <w:sz w:val="21"/>
                                <w:szCs w:val="24"/>
                                <w:lang w:val="en-US" w:eastAsia="zh-CN"/>
                              </w:rPr>
                            </w:pPr>
                            <w:r>
                              <w:rPr>
                                <w:rFonts w:hint="default" w:ascii="Times New Roman" w:hAnsi="Times New Roman" w:cs="Times New Roman"/>
                                <w:b w:val="0"/>
                                <w:bCs w:val="0"/>
                                <w:szCs w:val="21"/>
                              </w:rPr>
                              <w:t>车间</w:t>
                            </w:r>
                            <w:r>
                              <w:rPr>
                                <w:rFonts w:hint="eastAsia" w:cs="Times New Roman"/>
                                <w:b w:val="0"/>
                                <w:bCs w:val="0"/>
                                <w:szCs w:val="21"/>
                                <w:lang w:val="en-US" w:eastAsia="zh-CN"/>
                              </w:rPr>
                              <w:t>未</w:t>
                            </w:r>
                            <w:r>
                              <w:rPr>
                                <w:rFonts w:hint="eastAsia" w:cs="Times New Roman"/>
                                <w:b w:val="0"/>
                                <w:bCs w:val="0"/>
                                <w:sz w:val="21"/>
                                <w:szCs w:val="24"/>
                                <w:lang w:val="en-US" w:eastAsia="zh-CN"/>
                              </w:rPr>
                              <w:t>收集到的逸散的颗粒物</w:t>
                            </w:r>
                            <w:r>
                              <w:rPr>
                                <w:rFonts w:hint="default" w:cs="Times New Roman"/>
                                <w:b w:val="0"/>
                                <w:bCs w:val="0"/>
                                <w:sz w:val="21"/>
                                <w:szCs w:val="24"/>
                                <w:lang w:val="en-US" w:eastAsia="zh-CN"/>
                              </w:rPr>
                              <w:t>G</w:t>
                            </w:r>
                            <w:r>
                              <w:rPr>
                                <w:rFonts w:hint="eastAsia" w:cs="Times New Roman"/>
                                <w:b w:val="0"/>
                                <w:bCs w:val="0"/>
                                <w:sz w:val="21"/>
                                <w:szCs w:val="24"/>
                                <w:lang w:val="en-US" w:eastAsia="zh-CN"/>
                              </w:rPr>
                              <w:t>13；</w:t>
                            </w:r>
                            <w:r>
                              <w:rPr>
                                <w:rFonts w:hint="eastAsia" w:cs="Times New Roman"/>
                                <w:b w:val="0"/>
                                <w:bCs w:val="0"/>
                                <w:color w:val="FF0000"/>
                                <w:sz w:val="21"/>
                                <w:szCs w:val="24"/>
                                <w:lang w:val="en-US" w:eastAsia="zh-CN"/>
                              </w:rPr>
                              <w:t>腐熟干畜禽粪便堆存及生产工艺中未收集到的逸散恶臭气体G15；</w:t>
                            </w:r>
                            <w:r>
                              <w:rPr>
                                <w:rFonts w:hint="eastAsia" w:cs="Times New Roman"/>
                                <w:snapToGrid/>
                                <w:color w:val="FF0000"/>
                                <w:kern w:val="2"/>
                                <w:sz w:val="21"/>
                                <w:szCs w:val="21"/>
                                <w:highlight w:val="none"/>
                                <w:lang w:val="en-US" w:eastAsia="zh-CN"/>
                              </w:rPr>
                              <w:t>装料、出炭、储罐呼吸等逸散的VOCS</w:t>
                            </w:r>
                            <w:r>
                              <w:rPr>
                                <w:rFonts w:hint="eastAsia" w:cs="Times New Roman"/>
                                <w:b w:val="0"/>
                                <w:bCs w:val="0"/>
                                <w:color w:val="FF0000"/>
                                <w:sz w:val="21"/>
                                <w:szCs w:val="24"/>
                                <w:lang w:val="en-US" w:eastAsia="zh-CN"/>
                              </w:rPr>
                              <w:t>G16；</w:t>
                            </w:r>
                            <w:r>
                              <w:rPr>
                                <w:rFonts w:hint="eastAsia" w:cs="Times New Roman"/>
                                <w:b w:val="0"/>
                                <w:bCs w:val="0"/>
                                <w:sz w:val="21"/>
                                <w:szCs w:val="24"/>
                                <w:lang w:val="en-US" w:eastAsia="zh-CN"/>
                              </w:rPr>
                              <w:t>原料及产品运输道路扬尘</w:t>
                            </w:r>
                            <w:r>
                              <w:rPr>
                                <w:rFonts w:hint="default" w:cs="Times New Roman"/>
                                <w:b w:val="0"/>
                                <w:bCs w:val="0"/>
                                <w:sz w:val="21"/>
                                <w:szCs w:val="24"/>
                                <w:lang w:val="en-US" w:eastAsia="zh-CN"/>
                              </w:rPr>
                              <w:t>G</w:t>
                            </w:r>
                            <w:r>
                              <w:rPr>
                                <w:rFonts w:hint="eastAsia" w:cs="Times New Roman"/>
                                <w:b w:val="0"/>
                                <w:bCs w:val="0"/>
                                <w:sz w:val="21"/>
                                <w:szCs w:val="24"/>
                                <w:lang w:val="en-US" w:eastAsia="zh-CN"/>
                              </w:rPr>
                              <w:t>1</w:t>
                            </w:r>
                          </w:p>
                        </w:txbxContent>
                      </v:textbox>
                    </v:shape>
                  </w:pict>
                </mc:Fallback>
              </mc:AlternateContent>
            </w:r>
          </w:p>
          <w:p w14:paraId="0C2ED4A5">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工艺流程简述：</w:t>
            </w:r>
          </w:p>
          <w:p w14:paraId="2EF0F62D">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①</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原材料进厂</w:t>
            </w:r>
          </w:p>
          <w:p w14:paraId="1AFF7717">
            <w:pPr>
              <w:adjustRightInd w:val="0"/>
              <w:snapToGrid w:val="0"/>
              <w:spacing w:line="360" w:lineRule="auto"/>
              <w:ind w:firstLine="480" w:firstLineChars="200"/>
              <w:jc w:val="left"/>
              <w:rPr>
                <w:rFonts w:hint="default" w:ascii="Times New Roman" w:hAnsi="Times New Roman" w:eastAsia="宋体" w:cs="Times New Roman"/>
                <w:b w:val="0"/>
                <w:bCs w:val="0"/>
                <w:color w:val="000000" w:themeColor="text1"/>
                <w:kern w:val="2"/>
                <w:sz w:val="22"/>
                <w:szCs w:val="22"/>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农户收集果园废弃果木枝条、农作物秸秆后，统一堆放于田间果园临时堆场；原料采用密闭车辆袋装转运至厂区，到厂后</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及时</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人工卸料破碎，原料随到随加工，厂区不设置贮存堆场。</w:t>
            </w:r>
          </w:p>
          <w:p w14:paraId="2A6828AD">
            <w:pPr>
              <w:adjustRightInd w:val="0"/>
              <w:snapToGrid w:val="0"/>
              <w:spacing w:line="360" w:lineRule="auto"/>
              <w:ind w:firstLine="480" w:firstLineChars="200"/>
              <w:jc w:val="left"/>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经粉碎处理的</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矿源腐殖酸</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由密闭运输车</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辆袋装输送进厂，</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贮存</w:t>
            </w:r>
            <w:r>
              <w:rPr>
                <w:rFonts w:hint="eastAsia" w:cs="Times New Roman"/>
                <w:b w:val="0"/>
                <w:bCs w:val="0"/>
                <w:color w:val="000000" w:themeColor="text1"/>
                <w:kern w:val="2"/>
                <w:sz w:val="24"/>
                <w:szCs w:val="24"/>
                <w:lang w:val="en-US" w:eastAsia="zh-CN" w:bidi="ar-SA"/>
                <w14:textFill>
                  <w14:solidFill>
                    <w14:schemeClr w14:val="tx1"/>
                  </w14:solidFill>
                </w14:textFill>
              </w:rPr>
              <w:t>于库房。</w:t>
            </w:r>
          </w:p>
          <w:p w14:paraId="6CE2E050">
            <w:pPr>
              <w:adjustRightInd w:val="0"/>
              <w:snapToGrid w:val="0"/>
              <w:spacing w:line="360" w:lineRule="auto"/>
              <w:ind w:firstLine="480" w:firstLineChars="200"/>
              <w:jc w:val="left"/>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该工序主要产生固废、噪声</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、废气</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。固废为秸秆中的土块及石子；噪声为运输车辆产生的噪声</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；废气为车辆运输扬尘（G1）。</w:t>
            </w:r>
          </w:p>
          <w:p w14:paraId="77EC2792">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②</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树枝</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及</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秸秆</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粉碎工序</w:t>
            </w:r>
          </w:p>
          <w:p w14:paraId="64F4CD50">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用粉碎机将</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废弃的果木树枝及农业秸秆粉碎成2-6cm小条，为炭化做准备。该工序主要产生废气、噪声。废气为粉碎产生</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颗粒物</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（G2）</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；噪声为粉碎机产生的噪声。</w:t>
            </w:r>
          </w:p>
          <w:p w14:paraId="7320F094">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③</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上料</w:t>
            </w:r>
          </w:p>
          <w:p w14:paraId="5CC92BE6">
            <w:pPr>
              <w:pStyle w:val="27"/>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通过全封闭运输皮带，将粉碎的果木树枝及农业秸秆输送至炭化炉进行炭化。该工序主要产生废气、噪声。废气为粉碎后的树枝及秸秆下料至炭化炉内产生的</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颗粒物</w:t>
            </w:r>
            <w:r>
              <w:rPr>
                <w:rFonts w:hint="default" w:ascii="Times New Roman" w:hAnsi="Times New Roman" w:cs="Times New Roman"/>
                <w:b w:val="0"/>
                <w:bCs w:val="0"/>
                <w:color w:val="000000" w:themeColor="text1"/>
                <w:kern w:val="2"/>
                <w:sz w:val="24"/>
                <w:szCs w:val="24"/>
                <w:lang w:val="en-US" w:eastAsia="zh-CN" w:bidi="ar-SA"/>
                <w14:textFill>
                  <w14:solidFill>
                    <w14:schemeClr w14:val="tx1"/>
                  </w14:solidFill>
                </w14:textFill>
              </w:rPr>
              <w:t>（G3）</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；噪声为运输皮带产生的噪声。</w:t>
            </w:r>
          </w:p>
          <w:p w14:paraId="227E7A4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（2）产污环节</w:t>
            </w:r>
          </w:p>
          <w:p w14:paraId="23866EC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根据上述生产工艺，对应产污环节详见表</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w:t>
            </w:r>
            <w:r>
              <w:rPr>
                <w:rFonts w:hint="eastAsia" w:cs="Times New Roman"/>
                <w:color w:val="000000" w:themeColor="text1"/>
                <w:kern w:val="0"/>
                <w:sz w:val="24"/>
                <w:szCs w:val="24"/>
                <w:highlight w:val="none"/>
                <w:lang w:val="en-US" w:eastAsia="zh-CN" w:bidi="ar"/>
                <w14:textFill>
                  <w14:solidFill>
                    <w14:schemeClr w14:val="tx1"/>
                  </w14:solidFill>
                </w14:textFill>
              </w:rPr>
              <w:t>13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636C8576">
            <w:pPr>
              <w:adjustRightInd w:val="0"/>
              <w:snapToGrid w:val="0"/>
              <w:jc w:val="center"/>
              <w:rPr>
                <w:rFonts w:hint="eastAsia" w:ascii="Times New Roman" w:hAnsi="Times New Roman" w:cs="Times New Roman"/>
                <w:b/>
                <w:bCs/>
                <w:color w:val="000000" w:themeColor="text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表</w:t>
            </w:r>
            <w:r>
              <w:rPr>
                <w:rFonts w:hint="default" w:ascii="Times New Roman" w:hAnsi="Times New Roman" w:cs="Times New Roman"/>
                <w:b/>
                <w:bCs/>
                <w:color w:val="000000" w:themeColor="text1"/>
                <w:szCs w:val="21"/>
                <w:highlight w:val="none"/>
                <w:lang w:val="en-US" w:eastAsia="zh-CN"/>
                <w14:textFill>
                  <w14:solidFill>
                    <w14:schemeClr w14:val="tx1"/>
                  </w14:solidFill>
                </w14:textFill>
              </w:rPr>
              <w:t>2-</w:t>
            </w:r>
            <w:r>
              <w:rPr>
                <w:rFonts w:hint="eastAsia" w:cs="Times New Roman"/>
                <w:b/>
                <w:bCs/>
                <w:color w:val="000000" w:themeColor="text1"/>
                <w:szCs w:val="21"/>
                <w:highlight w:val="none"/>
                <w:lang w:val="en-US" w:eastAsia="zh-CN"/>
                <w14:textFill>
                  <w14:solidFill>
                    <w14:schemeClr w14:val="tx1"/>
                  </w14:solidFill>
                </w14:textFill>
              </w:rPr>
              <w:t>13</w:t>
            </w:r>
            <w:r>
              <w:rPr>
                <w:rFonts w:hint="default" w:ascii="Times New Roman" w:hAnsi="Times New Roman" w:cs="Times New Roman"/>
                <w:b/>
                <w:bCs/>
                <w:color w:val="000000" w:themeColor="text1"/>
                <w:szCs w:val="21"/>
                <w:highlight w:val="none"/>
                <w14:textFill>
                  <w14:solidFill>
                    <w14:schemeClr w14:val="tx1"/>
                  </w14:solidFill>
                </w14:textFill>
              </w:rPr>
              <w:t xml:space="preserve">   </w:t>
            </w:r>
            <w:r>
              <w:rPr>
                <w:rFonts w:hint="eastAsia" w:ascii="Times New Roman" w:hAnsi="Times New Roman" w:cs="Times New Roman"/>
                <w:b/>
                <w:bCs/>
                <w:color w:val="000000" w:themeColor="text1"/>
                <w:szCs w:val="21"/>
                <w:highlight w:val="none"/>
                <w:lang w:val="en-US" w:eastAsia="zh-CN"/>
                <w14:textFill>
                  <w14:solidFill>
                    <w14:schemeClr w14:val="tx1"/>
                  </w14:solidFill>
                </w14:textFill>
              </w:rPr>
              <w:t>产污环节一览表</w:t>
            </w:r>
          </w:p>
          <w:tbl>
            <w:tblPr>
              <w:tblStyle w:val="30"/>
              <w:tblW w:w="4998" w:type="pct"/>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4"/>
              <w:gridCol w:w="2092"/>
              <w:gridCol w:w="1509"/>
              <w:gridCol w:w="904"/>
              <w:gridCol w:w="2812"/>
            </w:tblGrid>
            <w:tr w14:paraId="08A6CC4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tcBorders>
                    <w:tl2br w:val="nil"/>
                    <w:tr2bl w:val="nil"/>
                  </w:tcBorders>
                  <w:noWrap w:val="0"/>
                  <w:vAlign w:val="center"/>
                </w:tcPr>
                <w:p w14:paraId="0CE63143">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类别</w:t>
                  </w:r>
                </w:p>
              </w:tc>
              <w:tc>
                <w:tcPr>
                  <w:tcW w:w="2092" w:type="dxa"/>
                  <w:tcBorders>
                    <w:tl2br w:val="nil"/>
                    <w:tr2bl w:val="nil"/>
                  </w:tcBorders>
                  <w:noWrap w:val="0"/>
                  <w:vAlign w:val="center"/>
                </w:tcPr>
                <w:p w14:paraId="6398167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产污节点</w:t>
                  </w:r>
                </w:p>
              </w:tc>
              <w:tc>
                <w:tcPr>
                  <w:tcW w:w="1509" w:type="dxa"/>
                  <w:tcBorders>
                    <w:tl2br w:val="nil"/>
                    <w:tr2bl w:val="nil"/>
                  </w:tcBorders>
                  <w:noWrap w:val="0"/>
                  <w:vAlign w:val="center"/>
                </w:tcPr>
                <w:p w14:paraId="2321558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污染物</w:t>
                  </w:r>
                </w:p>
              </w:tc>
              <w:tc>
                <w:tcPr>
                  <w:tcW w:w="904" w:type="dxa"/>
                  <w:tcBorders>
                    <w:tl2br w:val="nil"/>
                    <w:tr2bl w:val="nil"/>
                  </w:tcBorders>
                  <w:noWrap w:val="0"/>
                  <w:vAlign w:val="center"/>
                </w:tcPr>
                <w:p w14:paraId="46C37AD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特征</w:t>
                  </w:r>
                </w:p>
              </w:tc>
              <w:tc>
                <w:tcPr>
                  <w:tcW w:w="2812" w:type="dxa"/>
                  <w:tcBorders>
                    <w:tl2br w:val="nil"/>
                    <w:tr2bl w:val="nil"/>
                  </w:tcBorders>
                  <w:noWrap w:val="0"/>
                  <w:vAlign w:val="center"/>
                </w:tcPr>
                <w:p w14:paraId="7556AB1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bCs w:val="0"/>
                      <w:i w:val="0"/>
                      <w:iCs w:val="0"/>
                      <w:snapToGrid w:val="0"/>
                      <w:color w:val="000000" w:themeColor="text1"/>
                      <w:kern w:val="0"/>
                      <w:sz w:val="21"/>
                      <w:szCs w:val="21"/>
                      <w:highlight w:val="none"/>
                      <w:u w:val="none"/>
                      <w:lang w:val="en-US" w:eastAsia="zh-CN" w:bidi="ar"/>
                      <w14:textFill>
                        <w14:solidFill>
                          <w14:schemeClr w14:val="tx1"/>
                        </w14:solidFill>
                      </w14:textFill>
                    </w:rPr>
                    <w:t>措施</w:t>
                  </w:r>
                </w:p>
              </w:tc>
            </w:tr>
            <w:tr w14:paraId="3201BFB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restart"/>
                  <w:tcBorders>
                    <w:tl2br w:val="nil"/>
                    <w:tr2bl w:val="nil"/>
                  </w:tcBorders>
                  <w:noWrap w:val="0"/>
                  <w:vAlign w:val="center"/>
                </w:tcPr>
                <w:p w14:paraId="19B4DA5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废气</w:t>
                  </w:r>
                </w:p>
              </w:tc>
              <w:tc>
                <w:tcPr>
                  <w:tcW w:w="2092" w:type="dxa"/>
                  <w:tcBorders>
                    <w:tl2br w:val="nil"/>
                    <w:tr2bl w:val="nil"/>
                  </w:tcBorders>
                  <w:noWrap w:val="0"/>
                  <w:vAlign w:val="center"/>
                </w:tcPr>
                <w:p w14:paraId="06803C3C">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原料运输</w:t>
                  </w:r>
                </w:p>
              </w:tc>
              <w:tc>
                <w:tcPr>
                  <w:tcW w:w="1509" w:type="dxa"/>
                  <w:tcBorders>
                    <w:tl2br w:val="nil"/>
                    <w:tr2bl w:val="nil"/>
                  </w:tcBorders>
                  <w:noWrap w:val="0"/>
                  <w:vAlign w:val="center"/>
                </w:tcPr>
                <w:p w14:paraId="4887B177">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颗粒物（G1）</w:t>
                  </w:r>
                </w:p>
              </w:tc>
              <w:tc>
                <w:tcPr>
                  <w:tcW w:w="904" w:type="dxa"/>
                  <w:tcBorders>
                    <w:tl2br w:val="nil"/>
                    <w:tr2bl w:val="nil"/>
                  </w:tcBorders>
                  <w:noWrap w:val="0"/>
                  <w:vAlign w:val="center"/>
                </w:tcPr>
                <w:p w14:paraId="406854B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间歇</w:t>
                  </w:r>
                </w:p>
              </w:tc>
              <w:tc>
                <w:tcPr>
                  <w:tcW w:w="2812" w:type="dxa"/>
                  <w:tcBorders>
                    <w:tl2br w:val="nil"/>
                    <w:tr2bl w:val="nil"/>
                  </w:tcBorders>
                  <w:noWrap w:val="0"/>
                  <w:vAlign w:val="center"/>
                </w:tcPr>
                <w:p w14:paraId="06EC9E5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路面洒水抑尘</w:t>
                  </w:r>
                </w:p>
              </w:tc>
            </w:tr>
            <w:tr w14:paraId="61EAB40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2510488A">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3B53C2C6">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农林</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秸秆</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废弃物</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破碎</w:t>
                  </w:r>
                </w:p>
              </w:tc>
              <w:tc>
                <w:tcPr>
                  <w:tcW w:w="1509" w:type="dxa"/>
                  <w:tcBorders>
                    <w:tl2br w:val="nil"/>
                    <w:tr2bl w:val="nil"/>
                  </w:tcBorders>
                  <w:noWrap w:val="0"/>
                  <w:vAlign w:val="center"/>
                </w:tcPr>
                <w:p w14:paraId="322C54DC">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颗粒物（G2）</w:t>
                  </w:r>
                </w:p>
              </w:tc>
              <w:tc>
                <w:tcPr>
                  <w:tcW w:w="904" w:type="dxa"/>
                  <w:tcBorders>
                    <w:tl2br w:val="nil"/>
                    <w:tr2bl w:val="nil"/>
                  </w:tcBorders>
                  <w:noWrap w:val="0"/>
                  <w:vAlign w:val="center"/>
                </w:tcPr>
                <w:p w14:paraId="02424D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17AC2C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集气罩收集后</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经</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布袋除尘器</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处理后，经15m高排气筒排放</w:t>
                  </w:r>
                  <w:r>
                    <w:rPr>
                      <w:rFonts w:hint="eastAsia" w:cs="Times New Roman"/>
                      <w:color w:val="000000" w:themeColor="text1"/>
                      <w:sz w:val="21"/>
                      <w:szCs w:val="21"/>
                      <w:highlight w:val="none"/>
                      <w:lang w:val="en-US" w:eastAsia="zh-CN"/>
                      <w14:textFill>
                        <w14:solidFill>
                          <w14:schemeClr w14:val="tx1"/>
                        </w14:solidFill>
                      </w14:textFill>
                    </w:rPr>
                    <w:t>（DA001）</w:t>
                  </w:r>
                </w:p>
              </w:tc>
            </w:tr>
            <w:tr w14:paraId="733AC15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10543F0A">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55A25A6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炭化炉</w:t>
                  </w:r>
                  <w:r>
                    <w:rPr>
                      <w:rFonts w:hint="eastAsia" w:cs="Times New Roman"/>
                      <w:snapToGrid/>
                      <w:color w:val="000000" w:themeColor="text1"/>
                      <w:kern w:val="2"/>
                      <w:sz w:val="21"/>
                      <w:szCs w:val="21"/>
                      <w:highlight w:val="none"/>
                      <w:lang w:val="en-US" w:eastAsia="zh-CN"/>
                      <w14:textFill>
                        <w14:solidFill>
                          <w14:schemeClr w14:val="tx1"/>
                        </w14:solidFill>
                      </w14:textFill>
                    </w:rPr>
                    <w:t>秸秆</w:t>
                  </w:r>
                  <w:r>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t>下料</w:t>
                  </w:r>
                </w:p>
              </w:tc>
              <w:tc>
                <w:tcPr>
                  <w:tcW w:w="1509" w:type="dxa"/>
                  <w:tcBorders>
                    <w:tl2br w:val="nil"/>
                    <w:tr2bl w:val="nil"/>
                  </w:tcBorders>
                  <w:noWrap w:val="0"/>
                  <w:vAlign w:val="center"/>
                </w:tcPr>
                <w:p w14:paraId="12A67E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颗粒物（G3）</w:t>
                  </w:r>
                </w:p>
              </w:tc>
              <w:tc>
                <w:tcPr>
                  <w:tcW w:w="904" w:type="dxa"/>
                  <w:tcBorders>
                    <w:tl2br w:val="nil"/>
                    <w:tr2bl w:val="nil"/>
                  </w:tcBorders>
                  <w:noWrap w:val="0"/>
                  <w:vAlign w:val="center"/>
                </w:tcPr>
                <w:p w14:paraId="56DC44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4F4195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集气罩收集后</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经</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布袋除尘器</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处理后，经15m高排气筒排放</w:t>
                  </w:r>
                  <w:r>
                    <w:rPr>
                      <w:rFonts w:hint="eastAsia" w:cs="Times New Roman"/>
                      <w:color w:val="000000" w:themeColor="text1"/>
                      <w:sz w:val="21"/>
                      <w:szCs w:val="21"/>
                      <w:highlight w:val="none"/>
                      <w:lang w:val="en-US" w:eastAsia="zh-CN"/>
                      <w14:textFill>
                        <w14:solidFill>
                          <w14:schemeClr w14:val="tx1"/>
                        </w14:solidFill>
                      </w14:textFill>
                    </w:rPr>
                    <w:t>（DA002）</w:t>
                  </w:r>
                </w:p>
              </w:tc>
            </w:tr>
            <w:tr w14:paraId="28CEC60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03A32676">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56E4045B">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炭块粉碎</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筛分；有机肥造粒、灌装</w:t>
                  </w:r>
                </w:p>
              </w:tc>
              <w:tc>
                <w:tcPr>
                  <w:tcW w:w="1509" w:type="dxa"/>
                  <w:tcBorders>
                    <w:tl2br w:val="nil"/>
                    <w:tr2bl w:val="nil"/>
                  </w:tcBorders>
                  <w:noWrap w:val="0"/>
                  <w:vAlign w:val="center"/>
                </w:tcPr>
                <w:p w14:paraId="502CB8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颗粒物（G6</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G</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7、</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G</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8、</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G</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9</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904" w:type="dxa"/>
                  <w:tcBorders>
                    <w:tl2br w:val="nil"/>
                    <w:tr2bl w:val="nil"/>
                  </w:tcBorders>
                  <w:noWrap w:val="0"/>
                  <w:vAlign w:val="center"/>
                </w:tcPr>
                <w:p w14:paraId="698985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060183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集气罩收集后</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经</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布袋除尘器</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处理后，经15m高排气筒排放</w:t>
                  </w:r>
                  <w:r>
                    <w:rPr>
                      <w:rFonts w:hint="eastAsia" w:cs="Times New Roman"/>
                      <w:color w:val="000000" w:themeColor="text1"/>
                      <w:sz w:val="21"/>
                      <w:szCs w:val="21"/>
                      <w:highlight w:val="none"/>
                      <w:lang w:val="en-US" w:eastAsia="zh-CN"/>
                      <w14:textFill>
                        <w14:solidFill>
                          <w14:schemeClr w14:val="tx1"/>
                        </w14:solidFill>
                      </w14:textFill>
                    </w:rPr>
                    <w:t>（DA003）</w:t>
                  </w:r>
                </w:p>
              </w:tc>
            </w:tr>
            <w:tr w14:paraId="4789671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592C09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25F57947">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炭化炉炭化</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出碳</w:t>
                  </w:r>
                </w:p>
              </w:tc>
              <w:tc>
                <w:tcPr>
                  <w:tcW w:w="1509" w:type="dxa"/>
                  <w:tcBorders>
                    <w:tl2br w:val="nil"/>
                    <w:tr2bl w:val="nil"/>
                  </w:tcBorders>
                  <w:noWrap w:val="0"/>
                  <w:vAlign w:val="center"/>
                </w:tcPr>
                <w:p w14:paraId="5CF3E438">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非甲烷总烃</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（G4）</w:t>
                  </w:r>
                </w:p>
              </w:tc>
              <w:tc>
                <w:tcPr>
                  <w:tcW w:w="904" w:type="dxa"/>
                  <w:tcBorders>
                    <w:tl2br w:val="nil"/>
                    <w:tr2bl w:val="nil"/>
                  </w:tcBorders>
                  <w:noWrap w:val="0"/>
                  <w:vAlign w:val="center"/>
                </w:tcPr>
                <w:p w14:paraId="74E881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2D40D2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加强通风</w:t>
                  </w:r>
                </w:p>
              </w:tc>
            </w:tr>
            <w:tr w14:paraId="6D55973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04D9B6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1B97420C">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木焦油蒸馏、分装</w:t>
                  </w:r>
                </w:p>
              </w:tc>
              <w:tc>
                <w:tcPr>
                  <w:tcW w:w="1509" w:type="dxa"/>
                  <w:tcBorders>
                    <w:tl2br w:val="nil"/>
                    <w:tr2bl w:val="nil"/>
                  </w:tcBorders>
                  <w:noWrap w:val="0"/>
                  <w:vAlign w:val="center"/>
                </w:tcPr>
                <w:p w14:paraId="668640FC">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非甲烷总烃</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G5</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904" w:type="dxa"/>
                  <w:tcBorders>
                    <w:tl2br w:val="nil"/>
                    <w:tr2bl w:val="nil"/>
                  </w:tcBorders>
                  <w:noWrap w:val="0"/>
                  <w:vAlign w:val="center"/>
                </w:tcPr>
                <w:p w14:paraId="5A0606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7C4414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加强通风</w:t>
                  </w:r>
                </w:p>
              </w:tc>
            </w:tr>
            <w:tr w14:paraId="03853BB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0EBCA74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2871A1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热风炉</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燃烧工序</w:t>
                  </w:r>
                </w:p>
              </w:tc>
              <w:tc>
                <w:tcPr>
                  <w:tcW w:w="1509" w:type="dxa"/>
                  <w:tcBorders>
                    <w:tl2br w:val="nil"/>
                    <w:tr2bl w:val="nil"/>
                  </w:tcBorders>
                  <w:noWrap w:val="0"/>
                  <w:vAlign w:val="center"/>
                </w:tcPr>
                <w:p w14:paraId="4A3EC5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颗粒物、二氧化硫、氮氧化物（</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G</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10）</w:t>
                  </w:r>
                </w:p>
              </w:tc>
              <w:tc>
                <w:tcPr>
                  <w:tcW w:w="904" w:type="dxa"/>
                  <w:tcBorders>
                    <w:tl2br w:val="nil"/>
                    <w:tr2bl w:val="nil"/>
                  </w:tcBorders>
                  <w:noWrap w:val="0"/>
                  <w:vAlign w:val="center"/>
                </w:tcPr>
                <w:p w14:paraId="3F4B99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45E07B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废气经</w:t>
                  </w:r>
                  <w:r>
                    <w:rPr>
                      <w:rFonts w:hint="eastAsia" w:cs="Times New Roman"/>
                      <w:color w:val="000000" w:themeColor="text1"/>
                      <w:sz w:val="21"/>
                      <w:szCs w:val="21"/>
                      <w:highlight w:val="none"/>
                      <w:lang w:val="en-US" w:eastAsia="zh-CN"/>
                      <w14:textFill>
                        <w14:solidFill>
                          <w14:schemeClr w14:val="tx1"/>
                        </w14:solidFill>
                      </w14:textFill>
                    </w:rPr>
                    <w:t>静电</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除尘器</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处理后，经15m高排气筒排放</w:t>
                  </w:r>
                  <w:r>
                    <w:rPr>
                      <w:rFonts w:hint="eastAsia" w:cs="Times New Roman"/>
                      <w:color w:val="000000" w:themeColor="text1"/>
                      <w:sz w:val="21"/>
                      <w:szCs w:val="21"/>
                      <w:highlight w:val="none"/>
                      <w:lang w:val="en-US" w:eastAsia="zh-CN"/>
                      <w14:textFill>
                        <w14:solidFill>
                          <w14:schemeClr w14:val="tx1"/>
                        </w14:solidFill>
                      </w14:textFill>
                    </w:rPr>
                    <w:t>（DA004）</w:t>
                  </w:r>
                </w:p>
              </w:tc>
            </w:tr>
            <w:tr w14:paraId="7B9B11C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1D1D4F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7B56308D">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氢氧化钙烘干逸散的颗粒物</w:t>
                  </w:r>
                </w:p>
              </w:tc>
              <w:tc>
                <w:tcPr>
                  <w:tcW w:w="1509" w:type="dxa"/>
                  <w:tcBorders>
                    <w:tl2br w:val="nil"/>
                    <w:tr2bl w:val="nil"/>
                  </w:tcBorders>
                  <w:noWrap w:val="0"/>
                  <w:vAlign w:val="center"/>
                </w:tcPr>
                <w:p w14:paraId="11E3F355">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颗粒物（G11）</w:t>
                  </w:r>
                </w:p>
              </w:tc>
              <w:tc>
                <w:tcPr>
                  <w:tcW w:w="904" w:type="dxa"/>
                  <w:tcBorders>
                    <w:tl2br w:val="nil"/>
                    <w:tr2bl w:val="nil"/>
                  </w:tcBorders>
                  <w:noWrap w:val="0"/>
                  <w:vAlign w:val="center"/>
                </w:tcPr>
                <w:p w14:paraId="7A6B293A">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00C1FCBB">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封闭收集</w:t>
                  </w:r>
                  <w: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t>，加强通风</w:t>
                  </w:r>
                </w:p>
              </w:tc>
            </w:tr>
            <w:tr w14:paraId="2E58510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2B9C36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3C386B79">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生石灰（氧化钙）包装和装运逸散的颗粒物</w:t>
                  </w:r>
                </w:p>
              </w:tc>
              <w:tc>
                <w:tcPr>
                  <w:tcW w:w="1509" w:type="dxa"/>
                  <w:tcBorders>
                    <w:tl2br w:val="nil"/>
                    <w:tr2bl w:val="nil"/>
                  </w:tcBorders>
                  <w:noWrap w:val="0"/>
                  <w:vAlign w:val="center"/>
                </w:tcPr>
                <w:p w14:paraId="6710514D">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颗粒物（G12）</w:t>
                  </w:r>
                </w:p>
              </w:tc>
              <w:tc>
                <w:tcPr>
                  <w:tcW w:w="904" w:type="dxa"/>
                  <w:tcBorders>
                    <w:tl2br w:val="nil"/>
                    <w:tr2bl w:val="nil"/>
                  </w:tcBorders>
                  <w:noWrap w:val="0"/>
                  <w:vAlign w:val="center"/>
                </w:tcPr>
                <w:p w14:paraId="7A4EDACF">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4E36720D">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封闭收集，经仓顶自带布袋除尘器处理后高空排放</w:t>
                  </w:r>
                </w:p>
              </w:tc>
            </w:tr>
            <w:tr w14:paraId="3821772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40EAA0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0F9791BE">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炭化车间及固体肥</w:t>
                  </w:r>
                </w:p>
                <w:p w14:paraId="044D13E0">
                  <w:pPr>
                    <w:keepNext w:val="0"/>
                    <w:keepLines w:val="0"/>
                    <w:widowControl/>
                    <w:suppressLineNumbers w:val="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车间未收集到的逸散的颗粒物</w:t>
                  </w:r>
                </w:p>
              </w:tc>
              <w:tc>
                <w:tcPr>
                  <w:tcW w:w="1509" w:type="dxa"/>
                  <w:tcBorders>
                    <w:tl2br w:val="nil"/>
                    <w:tr2bl w:val="nil"/>
                  </w:tcBorders>
                  <w:noWrap w:val="0"/>
                  <w:vAlign w:val="center"/>
                </w:tcPr>
                <w:p w14:paraId="001118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颗粒物</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（G</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13</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p>
              </w:tc>
              <w:tc>
                <w:tcPr>
                  <w:tcW w:w="904" w:type="dxa"/>
                  <w:tcBorders>
                    <w:tl2br w:val="nil"/>
                    <w:tr2bl w:val="nil"/>
                  </w:tcBorders>
                  <w:noWrap w:val="0"/>
                  <w:vAlign w:val="center"/>
                </w:tcPr>
                <w:p w14:paraId="24B311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4BAC29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t>加强通风</w:t>
                  </w:r>
                </w:p>
              </w:tc>
            </w:tr>
            <w:tr w14:paraId="253E79A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0CBDF3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6774884B">
                  <w:pPr>
                    <w:keepNext w:val="0"/>
                    <w:keepLines w:val="0"/>
                    <w:widowControl/>
                    <w:suppressLineNumbers w:val="0"/>
                    <w:jc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双膜储气柜膜材渗透及压力波动综合逸散VOC</w:t>
                  </w:r>
                  <w:r>
                    <w:rPr>
                      <w:rFonts w:hint="default" w:ascii="Times New Roman" w:hAnsi="Times New Roman" w:eastAsia="宋体" w:cs="Times New Roman"/>
                      <w:color w:val="000000" w:themeColor="text1"/>
                      <w:kern w:val="0"/>
                      <w:sz w:val="21"/>
                      <w:szCs w:val="21"/>
                      <w:highlight w:val="none"/>
                      <w:vertAlign w:val="subscript"/>
                      <w:lang w:val="en-US" w:eastAsia="zh-CN" w:bidi="ar"/>
                      <w14:textFill>
                        <w14:solidFill>
                          <w14:schemeClr w14:val="tx1"/>
                        </w14:solidFill>
                      </w14:textFill>
                    </w:rPr>
                    <w:t>S</w:t>
                  </w:r>
                </w:p>
              </w:tc>
              <w:tc>
                <w:tcPr>
                  <w:tcW w:w="1509" w:type="dxa"/>
                  <w:tcBorders>
                    <w:tl2br w:val="nil"/>
                    <w:tr2bl w:val="nil"/>
                  </w:tcBorders>
                  <w:noWrap w:val="0"/>
                  <w:vAlign w:val="center"/>
                </w:tcPr>
                <w:p w14:paraId="1C08C2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非甲烷总烃</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G</w:t>
                  </w:r>
                  <w:r>
                    <w:rPr>
                      <w:rFonts w:hint="eastAsia" w:cs="Times New Roman"/>
                      <w:color w:val="000000" w:themeColor="text1"/>
                      <w:kern w:val="0"/>
                      <w:sz w:val="21"/>
                      <w:szCs w:val="21"/>
                      <w:highlight w:val="none"/>
                      <w:lang w:val="en-US" w:eastAsia="zh-CN" w:bidi="ar"/>
                      <w14:textFill>
                        <w14:solidFill>
                          <w14:schemeClr w14:val="tx1"/>
                        </w14:solidFill>
                      </w14:textFill>
                    </w:rPr>
                    <w:t>14</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904" w:type="dxa"/>
                  <w:tcBorders>
                    <w:tl2br w:val="nil"/>
                    <w:tr2bl w:val="nil"/>
                  </w:tcBorders>
                  <w:noWrap w:val="0"/>
                  <w:vAlign w:val="center"/>
                </w:tcPr>
                <w:p w14:paraId="7DD9BB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5C5EFD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color w:val="000000" w:themeColor="text1"/>
                      <w:highlight w:val="none"/>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t>加强通风</w:t>
                  </w:r>
                </w:p>
              </w:tc>
            </w:tr>
            <w:tr w14:paraId="1BF758A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tcBorders>
                    <w:tl2br w:val="nil"/>
                    <w:tr2bl w:val="nil"/>
                  </w:tcBorders>
                  <w:shd w:val="clear" w:color="auto" w:fill="auto"/>
                  <w:noWrap w:val="0"/>
                  <w:vAlign w:val="center"/>
                </w:tcPr>
                <w:p w14:paraId="2228FA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废水</w:t>
                  </w:r>
                </w:p>
              </w:tc>
              <w:tc>
                <w:tcPr>
                  <w:tcW w:w="2092" w:type="dxa"/>
                  <w:tcBorders>
                    <w:tl2br w:val="nil"/>
                    <w:tr2bl w:val="nil"/>
                  </w:tcBorders>
                  <w:shd w:val="clear" w:color="auto" w:fill="auto"/>
                  <w:noWrap w:val="0"/>
                  <w:vAlign w:val="center"/>
                </w:tcPr>
                <w:p w14:paraId="7DADDBA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员工盥洗</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生活污水</w:t>
                  </w:r>
                </w:p>
              </w:tc>
              <w:tc>
                <w:tcPr>
                  <w:tcW w:w="1509" w:type="dxa"/>
                  <w:tcBorders>
                    <w:tl2br w:val="nil"/>
                    <w:tr2bl w:val="nil"/>
                  </w:tcBorders>
                  <w:shd w:val="clear" w:color="auto" w:fill="auto"/>
                  <w:noWrap w:val="0"/>
                  <w:vAlign w:val="center"/>
                </w:tcPr>
                <w:p w14:paraId="6C8E71E3">
                  <w:pPr>
                    <w:adjustRightInd w:val="0"/>
                    <w:snapToGri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pH、SS、</w:t>
                  </w:r>
                </w:p>
                <w:p w14:paraId="3A22D2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COD</w:t>
                  </w:r>
                  <w:r>
                    <w:rPr>
                      <w:rFonts w:hint="default" w:ascii="Times New Roman" w:hAnsi="Times New Roman" w:eastAsia="宋体" w:cs="Times New Roman"/>
                      <w:color w:val="000000" w:themeColor="text1"/>
                      <w:sz w:val="21"/>
                      <w:szCs w:val="21"/>
                      <w:vertAlign w:val="subscript"/>
                      <w14:textFill>
                        <w14:solidFill>
                          <w14:schemeClr w14:val="tx1"/>
                        </w14:solidFill>
                      </w14:textFill>
                    </w:rPr>
                    <w:t>cr</w:t>
                  </w:r>
                  <w:r>
                    <w:rPr>
                      <w:rFonts w:hint="default" w:ascii="Times New Roman" w:hAnsi="Times New Roman" w:eastAsia="宋体" w:cs="Times New Roman"/>
                      <w:color w:val="000000" w:themeColor="text1"/>
                      <w:sz w:val="21"/>
                      <w:szCs w:val="21"/>
                      <w14:textFill>
                        <w14:solidFill>
                          <w14:schemeClr w14:val="tx1"/>
                        </w14:solidFill>
                      </w14:textFill>
                    </w:rPr>
                    <w:t>、BOD</w:t>
                  </w:r>
                  <w:r>
                    <w:rPr>
                      <w:rFonts w:hint="default" w:ascii="Times New Roman" w:hAnsi="Times New Roman" w:eastAsia="宋体" w:cs="Times New Roman"/>
                      <w:color w:val="000000" w:themeColor="text1"/>
                      <w:sz w:val="21"/>
                      <w:szCs w:val="21"/>
                      <w:vertAlign w:val="subscript"/>
                      <w14:textFill>
                        <w14:solidFill>
                          <w14:schemeClr w14:val="tx1"/>
                        </w14:solidFill>
                      </w14:textFill>
                    </w:rPr>
                    <w:t>5</w:t>
                  </w:r>
                  <w:r>
                    <w:rPr>
                      <w:rFonts w:hint="default" w:ascii="Times New Roman" w:hAnsi="Times New Roman" w:eastAsia="宋体" w:cs="Times New Roman"/>
                      <w:color w:val="000000" w:themeColor="text1"/>
                      <w:sz w:val="21"/>
                      <w:szCs w:val="21"/>
                      <w14:textFill>
                        <w14:solidFill>
                          <w14:schemeClr w14:val="tx1"/>
                        </w14:solidFill>
                      </w14:textFill>
                    </w:rPr>
                    <w:t>、NH</w:t>
                  </w:r>
                  <w:r>
                    <w:rPr>
                      <w:rFonts w:hint="default" w:ascii="Times New Roman" w:hAnsi="Times New Roman" w:eastAsia="宋体" w:cs="Times New Roman"/>
                      <w:color w:val="000000" w:themeColor="text1"/>
                      <w:sz w:val="21"/>
                      <w:szCs w:val="21"/>
                      <w:vertAlign w:val="sub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-N</w:t>
                  </w:r>
                </w:p>
              </w:tc>
              <w:tc>
                <w:tcPr>
                  <w:tcW w:w="904" w:type="dxa"/>
                  <w:tcBorders>
                    <w:tl2br w:val="nil"/>
                    <w:tr2bl w:val="nil"/>
                  </w:tcBorders>
                  <w:shd w:val="clear" w:color="auto" w:fill="auto"/>
                  <w:noWrap w:val="0"/>
                  <w:vAlign w:val="center"/>
                </w:tcPr>
                <w:p w14:paraId="18C011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间断</w:t>
                  </w:r>
                </w:p>
              </w:tc>
              <w:tc>
                <w:tcPr>
                  <w:tcW w:w="2812" w:type="dxa"/>
                  <w:tcBorders>
                    <w:tl2br w:val="nil"/>
                    <w:tr2bl w:val="nil"/>
                  </w:tcBorders>
                  <w:shd w:val="clear" w:color="auto" w:fill="auto"/>
                  <w:noWrap w:val="0"/>
                  <w:vAlign w:val="center"/>
                </w:tcPr>
                <w:p w14:paraId="0A76C1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经厂区内化粪池收集后，定期拉运至呼图壁县工业园区化工园污水处理厂处理</w:t>
                  </w:r>
                </w:p>
              </w:tc>
            </w:tr>
            <w:tr w14:paraId="41EB3D8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tcBorders>
                    <w:tl2br w:val="nil"/>
                    <w:tr2bl w:val="nil"/>
                  </w:tcBorders>
                  <w:noWrap w:val="0"/>
                  <w:vAlign w:val="center"/>
                </w:tcPr>
                <w:p w14:paraId="337544F8">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噪声</w:t>
                  </w:r>
                </w:p>
              </w:tc>
              <w:tc>
                <w:tcPr>
                  <w:tcW w:w="2092" w:type="dxa"/>
                  <w:tcBorders>
                    <w:tl2br w:val="nil"/>
                    <w:tr2bl w:val="nil"/>
                  </w:tcBorders>
                  <w:noWrap w:val="0"/>
                  <w:vAlign w:val="center"/>
                </w:tcPr>
                <w:p w14:paraId="282A4C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水泵、除尘器、破碎机等</w:t>
                  </w:r>
                </w:p>
              </w:tc>
              <w:tc>
                <w:tcPr>
                  <w:tcW w:w="1509" w:type="dxa"/>
                  <w:tcBorders>
                    <w:tl2br w:val="nil"/>
                    <w:tr2bl w:val="nil"/>
                  </w:tcBorders>
                  <w:noWrap w:val="0"/>
                  <w:vAlign w:val="center"/>
                </w:tcPr>
                <w:p w14:paraId="0D7C8799">
                  <w:pPr>
                    <w:keepNext w:val="0"/>
                    <w:keepLines w:val="0"/>
                    <w:widowControl/>
                    <w:suppressLineNumbers w:val="0"/>
                    <w:jc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等效连续</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A</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声级</w:t>
                  </w:r>
                </w:p>
              </w:tc>
              <w:tc>
                <w:tcPr>
                  <w:tcW w:w="904" w:type="dxa"/>
                  <w:tcBorders>
                    <w:tl2br w:val="nil"/>
                    <w:tr2bl w:val="nil"/>
                  </w:tcBorders>
                  <w:noWrap w:val="0"/>
                  <w:vAlign w:val="center"/>
                </w:tcPr>
                <w:p w14:paraId="5DDBEF32">
                  <w:pPr>
                    <w:keepNext w:val="0"/>
                    <w:keepLines w:val="0"/>
                    <w:widowControl/>
                    <w:suppressLineNumbers w:val="0"/>
                    <w:jc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连续</w:t>
                  </w:r>
                </w:p>
              </w:tc>
              <w:tc>
                <w:tcPr>
                  <w:tcW w:w="2812" w:type="dxa"/>
                  <w:tcBorders>
                    <w:tl2br w:val="nil"/>
                    <w:tr2bl w:val="nil"/>
                  </w:tcBorders>
                  <w:noWrap w:val="0"/>
                  <w:vAlign w:val="center"/>
                </w:tcPr>
                <w:p w14:paraId="303ECB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选用低噪声设备</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厂房隔声、消声、</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基础</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减震</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等</w:t>
                  </w:r>
                </w:p>
              </w:tc>
            </w:tr>
            <w:tr w14:paraId="51D5A28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restart"/>
                  <w:tcBorders>
                    <w:tl2br w:val="nil"/>
                    <w:tr2bl w:val="nil"/>
                  </w:tcBorders>
                  <w:noWrap w:val="0"/>
                  <w:vAlign w:val="center"/>
                </w:tcPr>
                <w:p w14:paraId="14C62A7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固废</w:t>
                  </w:r>
                </w:p>
              </w:tc>
              <w:tc>
                <w:tcPr>
                  <w:tcW w:w="2092" w:type="dxa"/>
                  <w:tcBorders>
                    <w:tl2br w:val="nil"/>
                    <w:tr2bl w:val="nil"/>
                  </w:tcBorders>
                  <w:noWrap w:val="0"/>
                  <w:vAlign w:val="center"/>
                </w:tcPr>
                <w:p w14:paraId="399762B6">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秸秆破碎</w:t>
                  </w:r>
                </w:p>
              </w:tc>
              <w:tc>
                <w:tcPr>
                  <w:tcW w:w="1509" w:type="dxa"/>
                  <w:tcBorders>
                    <w:tl2br w:val="nil"/>
                    <w:tr2bl w:val="nil"/>
                  </w:tcBorders>
                  <w:noWrap w:val="0"/>
                  <w:vAlign w:val="center"/>
                </w:tcPr>
                <w:p w14:paraId="291FD5C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土块及石子</w:t>
                  </w:r>
                </w:p>
              </w:tc>
              <w:tc>
                <w:tcPr>
                  <w:tcW w:w="904" w:type="dxa"/>
                  <w:tcBorders>
                    <w:tl2br w:val="nil"/>
                    <w:tr2bl w:val="nil"/>
                  </w:tcBorders>
                  <w:noWrap w:val="0"/>
                  <w:vAlign w:val="center"/>
                </w:tcPr>
                <w:p w14:paraId="6B31CDD3">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间断</w:t>
                  </w:r>
                </w:p>
              </w:tc>
              <w:tc>
                <w:tcPr>
                  <w:tcW w:w="2812" w:type="dxa"/>
                  <w:tcBorders>
                    <w:tl2br w:val="nil"/>
                    <w:tr2bl w:val="nil"/>
                  </w:tcBorders>
                  <w:noWrap w:val="0"/>
                  <w:vAlign w:val="center"/>
                </w:tcPr>
                <w:p w14:paraId="44DCAEF2">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返回农户进行低洼处填埋</w:t>
                  </w:r>
                </w:p>
              </w:tc>
            </w:tr>
            <w:tr w14:paraId="750E6E70">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741F8F2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3D1189C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除尘灰</w:t>
                  </w:r>
                </w:p>
              </w:tc>
              <w:tc>
                <w:tcPr>
                  <w:tcW w:w="1509" w:type="dxa"/>
                  <w:tcBorders>
                    <w:tl2br w:val="nil"/>
                    <w:tr2bl w:val="nil"/>
                  </w:tcBorders>
                  <w:noWrap w:val="0"/>
                  <w:vAlign w:val="center"/>
                </w:tcPr>
                <w:p w14:paraId="5E69240C">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除尘灰</w:t>
                  </w:r>
                </w:p>
              </w:tc>
              <w:tc>
                <w:tcPr>
                  <w:tcW w:w="904" w:type="dxa"/>
                  <w:tcBorders>
                    <w:tl2br w:val="nil"/>
                    <w:tr2bl w:val="nil"/>
                  </w:tcBorders>
                  <w:noWrap w:val="0"/>
                  <w:vAlign w:val="center"/>
                </w:tcPr>
                <w:p w14:paraId="5C123B30">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间断</w:t>
                  </w:r>
                </w:p>
              </w:tc>
              <w:tc>
                <w:tcPr>
                  <w:tcW w:w="2812" w:type="dxa"/>
                  <w:tcBorders>
                    <w:tl2br w:val="nil"/>
                    <w:tr2bl w:val="nil"/>
                  </w:tcBorders>
                  <w:noWrap w:val="0"/>
                  <w:vAlign w:val="center"/>
                </w:tcPr>
                <w:p w14:paraId="772F9C1E">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除尘</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器</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收集</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的</w:t>
                  </w:r>
                  <w: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粉尘全部回用于生产线</w:t>
                  </w:r>
                </w:p>
              </w:tc>
            </w:tr>
            <w:tr w14:paraId="7BCB0ACC">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3F37AF9F">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75FD990D">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废包装材料</w:t>
                  </w:r>
                </w:p>
              </w:tc>
              <w:tc>
                <w:tcPr>
                  <w:tcW w:w="1509" w:type="dxa"/>
                  <w:tcBorders>
                    <w:tl2br w:val="nil"/>
                    <w:tr2bl w:val="nil"/>
                  </w:tcBorders>
                  <w:noWrap w:val="0"/>
                  <w:vAlign w:val="center"/>
                </w:tcPr>
                <w:p w14:paraId="32630C44">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废包装材料</w:t>
                  </w:r>
                </w:p>
              </w:tc>
              <w:tc>
                <w:tcPr>
                  <w:tcW w:w="904" w:type="dxa"/>
                  <w:tcBorders>
                    <w:tl2br w:val="nil"/>
                    <w:tr2bl w:val="nil"/>
                  </w:tcBorders>
                  <w:noWrap w:val="0"/>
                  <w:vAlign w:val="center"/>
                </w:tcPr>
                <w:p w14:paraId="7A7041D7">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间断</w:t>
                  </w:r>
                </w:p>
              </w:tc>
              <w:tc>
                <w:tcPr>
                  <w:tcW w:w="2812" w:type="dxa"/>
                  <w:tcBorders>
                    <w:tl2br w:val="nil"/>
                    <w:tr2bl w:val="nil"/>
                  </w:tcBorders>
                  <w:noWrap w:val="0"/>
                  <w:vAlign w:val="center"/>
                </w:tcPr>
                <w:p w14:paraId="2E5A212A">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收集后外售</w:t>
                  </w:r>
                </w:p>
              </w:tc>
            </w:tr>
            <w:tr w14:paraId="3EBE7BD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020BBC35">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shd w:val="clear" w:color="auto" w:fill="auto"/>
                  <w:noWrap w:val="0"/>
                  <w:vAlign w:val="center"/>
                </w:tcPr>
                <w:p w14:paraId="7F3B91E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设备检修</w:t>
                  </w:r>
                </w:p>
              </w:tc>
              <w:tc>
                <w:tcPr>
                  <w:tcW w:w="1509" w:type="dxa"/>
                  <w:tcBorders>
                    <w:tl2br w:val="nil"/>
                    <w:tr2bl w:val="nil"/>
                  </w:tcBorders>
                  <w:shd w:val="clear" w:color="auto" w:fill="auto"/>
                  <w:noWrap w:val="0"/>
                  <w:vAlign w:val="center"/>
                </w:tcPr>
                <w:p w14:paraId="278530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snapToGrid w:val="0"/>
                      <w:color w:val="000000" w:themeColor="text1"/>
                      <w:sz w:val="21"/>
                      <w:szCs w:val="21"/>
                      <w:highlight w:val="none"/>
                      <w:vertAlign w:val="baseline"/>
                      <w:lang w:val="en-US" w:eastAsia="zh-CN"/>
                      <w14:textFill>
                        <w14:solidFill>
                          <w14:schemeClr w14:val="tx1"/>
                        </w14:solidFill>
                      </w14:textFill>
                    </w:rPr>
                    <w:t>废矿物油、废矿物油桶及</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含油废抹布</w:t>
                  </w:r>
                </w:p>
              </w:tc>
              <w:tc>
                <w:tcPr>
                  <w:tcW w:w="904" w:type="dxa"/>
                  <w:tcBorders>
                    <w:tl2br w:val="nil"/>
                    <w:tr2bl w:val="nil"/>
                  </w:tcBorders>
                  <w:shd w:val="clear" w:color="auto" w:fill="auto"/>
                  <w:noWrap w:val="0"/>
                  <w:vAlign w:val="center"/>
                </w:tcPr>
                <w:p w14:paraId="75118C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间断</w:t>
                  </w:r>
                </w:p>
              </w:tc>
              <w:tc>
                <w:tcPr>
                  <w:tcW w:w="2812" w:type="dxa"/>
                  <w:tcBorders>
                    <w:tl2br w:val="nil"/>
                    <w:tr2bl w:val="nil"/>
                  </w:tcBorders>
                  <w:shd w:val="clear" w:color="auto" w:fill="auto"/>
                  <w:noWrap w:val="0"/>
                  <w:vAlign w:val="center"/>
                </w:tcPr>
                <w:p w14:paraId="53CC96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b w:val="0"/>
                      <w:bCs w:val="0"/>
                      <w:color w:val="000000" w:themeColor="text1"/>
                      <w:spacing w:val="7"/>
                      <w:sz w:val="21"/>
                      <w:szCs w:val="21"/>
                      <w:highlight w:val="none"/>
                      <w:lang w:val="en-US" w:eastAsia="zh-CN"/>
                      <w14:textFill>
                        <w14:solidFill>
                          <w14:schemeClr w14:val="tx1"/>
                        </w14:solidFill>
                      </w14:textFill>
                    </w:rPr>
                    <w:t>集中</w:t>
                  </w:r>
                  <w:r>
                    <w:rPr>
                      <w:rFonts w:hint="eastAsia" w:cs="Times New Roman"/>
                      <w:b w:val="0"/>
                      <w:bCs w:val="0"/>
                      <w:color w:val="000000" w:themeColor="text1"/>
                      <w:spacing w:val="7"/>
                      <w:sz w:val="21"/>
                      <w:szCs w:val="21"/>
                      <w:highlight w:val="none"/>
                      <w:lang w:val="en-US" w:eastAsia="zh-CN"/>
                      <w14:textFill>
                        <w14:solidFill>
                          <w14:schemeClr w14:val="tx1"/>
                        </w14:solidFill>
                      </w14:textFill>
                    </w:rPr>
                    <w:t>分类</w:t>
                  </w:r>
                  <w:r>
                    <w:rPr>
                      <w:rFonts w:hint="default" w:ascii="Times New Roman" w:hAnsi="Times New Roman" w:eastAsia="宋体" w:cs="Times New Roman"/>
                      <w:b w:val="0"/>
                      <w:bCs w:val="0"/>
                      <w:color w:val="000000" w:themeColor="text1"/>
                      <w:spacing w:val="7"/>
                      <w:sz w:val="21"/>
                      <w:szCs w:val="21"/>
                      <w:highlight w:val="none"/>
                      <w:lang w:val="en-US" w:eastAsia="zh-CN"/>
                      <w14:textFill>
                        <w14:solidFill>
                          <w14:schemeClr w14:val="tx1"/>
                        </w14:solidFill>
                      </w14:textFill>
                    </w:rPr>
                    <w:t>收集后暂存于</w:t>
                  </w:r>
                  <w:r>
                    <w:rPr>
                      <w:rFonts w:hint="eastAsia"/>
                      <w:snapToGrid w:val="0"/>
                      <w:color w:val="000000" w:themeColor="text1"/>
                      <w:sz w:val="21"/>
                      <w:szCs w:val="21"/>
                      <w:highlight w:val="none"/>
                      <w:vertAlign w:val="baseline"/>
                      <w:lang w:val="en-US" w:eastAsia="zh-CN"/>
                      <w14:textFill>
                        <w14:solidFill>
                          <w14:schemeClr w14:val="tx1"/>
                        </w14:solidFill>
                      </w14:textFill>
                    </w:rPr>
                    <w:t>危废贮存库</w:t>
                  </w:r>
                  <w:r>
                    <w:rPr>
                      <w:rFonts w:hint="default" w:ascii="Times New Roman" w:hAnsi="Times New Roman" w:eastAsia="宋体" w:cs="Times New Roman"/>
                      <w:b w:val="0"/>
                      <w:bCs w:val="0"/>
                      <w:color w:val="000000" w:themeColor="text1"/>
                      <w:spacing w:val="7"/>
                      <w:sz w:val="21"/>
                      <w:szCs w:val="21"/>
                      <w:highlight w:val="none"/>
                      <w:lang w:val="en-US" w:eastAsia="zh-CN"/>
                      <w14:textFill>
                        <w14:solidFill>
                          <w14:schemeClr w14:val="tx1"/>
                        </w14:solidFill>
                      </w14:textFill>
                    </w:rPr>
                    <w:t>内，定期委托有处置资质的单位进行回收处理</w:t>
                  </w:r>
                </w:p>
              </w:tc>
            </w:tr>
            <w:tr w14:paraId="5D8EC94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tcBorders>
                    <w:tl2br w:val="nil"/>
                    <w:tr2bl w:val="nil"/>
                  </w:tcBorders>
                  <w:noWrap w:val="0"/>
                  <w:vAlign w:val="center"/>
                </w:tcPr>
                <w:p w14:paraId="0929C0E8">
                  <w:pPr>
                    <w:keepNext w:val="0"/>
                    <w:keepLines w:val="0"/>
                    <w:pageBreakBefore w:val="0"/>
                    <w:widowControl/>
                    <w:suppressLineNumbers w:val="0"/>
                    <w:kinsoku/>
                    <w:wordWrap/>
                    <w:overflowPunct/>
                    <w:topLinePunct w:val="0"/>
                    <w:autoSpaceDE/>
                    <w:autoSpaceDN/>
                    <w:bidi w:val="0"/>
                    <w:adjustRightInd/>
                    <w:snapToGrid/>
                    <w:spacing w:line="240" w:lineRule="auto"/>
                    <w:ind w:left="0" w:right="0" w:firstLine="0" w:firstLineChars="0"/>
                    <w:jc w:val="center"/>
                    <w:textAlignment w:val="cente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2092" w:type="dxa"/>
                  <w:tcBorders>
                    <w:tl2br w:val="nil"/>
                    <w:tr2bl w:val="nil"/>
                  </w:tcBorders>
                  <w:noWrap w:val="0"/>
                  <w:vAlign w:val="center"/>
                </w:tcPr>
                <w:p w14:paraId="7B3BE0B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员工办公生活</w:t>
                  </w:r>
                </w:p>
              </w:tc>
              <w:tc>
                <w:tcPr>
                  <w:tcW w:w="1509" w:type="dxa"/>
                  <w:tcBorders>
                    <w:tl2br w:val="nil"/>
                    <w:tr2bl w:val="nil"/>
                  </w:tcBorders>
                  <w:noWrap w:val="0"/>
                  <w:vAlign w:val="center"/>
                </w:tcPr>
                <w:p w14:paraId="7BFE17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生活垃圾</w:t>
                  </w:r>
                </w:p>
              </w:tc>
              <w:tc>
                <w:tcPr>
                  <w:tcW w:w="904" w:type="dxa"/>
                  <w:tcBorders>
                    <w:tl2br w:val="nil"/>
                    <w:tr2bl w:val="nil"/>
                  </w:tcBorders>
                  <w:noWrap w:val="0"/>
                  <w:vAlign w:val="center"/>
                </w:tcPr>
                <w:p w14:paraId="126EA8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间断</w:t>
                  </w:r>
                </w:p>
              </w:tc>
              <w:tc>
                <w:tcPr>
                  <w:tcW w:w="2812" w:type="dxa"/>
                  <w:tcBorders>
                    <w:tl2br w:val="nil"/>
                    <w:tr2bl w:val="nil"/>
                  </w:tcBorders>
                  <w:noWrap w:val="0"/>
                  <w:vAlign w:val="center"/>
                </w:tcPr>
                <w:p w14:paraId="425CD8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zh-CN" w:eastAsia="zh-CN" w:bidi="ar"/>
                      <w14:textFill>
                        <w14:solidFill>
                          <w14:schemeClr w14:val="tx1"/>
                        </w14:solidFill>
                      </w14:textFill>
                    </w:rPr>
                    <w:t>收集后由环卫部门统一处理</w:t>
                  </w:r>
                </w:p>
              </w:tc>
            </w:tr>
          </w:tbl>
          <w:p w14:paraId="49B06C61">
            <w:pPr>
              <w:pStyle w:val="27"/>
              <w:adjustRightInd w:val="0"/>
              <w:snapToGrid w:val="0"/>
              <w:spacing w:before="0" w:beforeAutospacing="0" w:after="0" w:afterAutospacing="0"/>
              <w:jc w:val="both"/>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tc>
      </w:tr>
      <w:tr w14:paraId="064C47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noWrap w:val="0"/>
            <w:vAlign w:val="center"/>
          </w:tcPr>
          <w:p w14:paraId="0B88BC18">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eastAsia" w:ascii="宋体" w:hAnsi="宋体" w:eastAsia="宋体" w:cs="宋体"/>
                <w:bCs/>
                <w:color w:val="000000" w:themeColor="text1"/>
                <w:kern w:val="2"/>
                <w:sz w:val="24"/>
                <w:szCs w:val="24"/>
                <w:highlight w:val="none"/>
                <w14:textFill>
                  <w14:solidFill>
                    <w14:schemeClr w14:val="tx1"/>
                  </w14:solidFill>
                </w14:textFill>
              </w:rPr>
              <w:t>与项目有关的原有环境污染问题</w:t>
            </w:r>
          </w:p>
        </w:tc>
        <w:tc>
          <w:tcPr>
            <w:tcW w:w="8190" w:type="dxa"/>
            <w:noWrap w:val="0"/>
            <w:vAlign w:val="center"/>
          </w:tcPr>
          <w:p w14:paraId="001E1E4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本项目位于新疆昌吉回族自治州呼图壁县大丰镇红柳塘村丹霞路28号，租赁呼图壁县大丰镇红柳塘村股份经济合作社现有场地。该场地原由呼图壁县大丰镇红柳塘村村民委员会建设</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呼图壁县农业园区大丰镇红柳塘村农作物秸秆初加工综合利用产业区建设项目</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（以下简称</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原项目</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w:t>
            </w:r>
          </w:p>
          <w:p w14:paraId="18DF7A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原项目相关手续及建设情况如下：</w:t>
            </w:r>
          </w:p>
          <w:p w14:paraId="6A0603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立项及环保手续情况：2022年2月3日，呼图壁县发展和改革委员会以《关于〈呼图壁县农业园区大丰镇红柳塘村农作物秸秆初加工综合利用产业区建设项目可行性研究报告（代项目建议书）〉的批复》（呼发改投资〔2023〕18号）对原项目予以立项；2023年2月9日，昌吉州生态环境局呼图壁县分局复函明确，原项目无需履行环评审批手续。</w:t>
            </w:r>
          </w:p>
          <w:p w14:paraId="31824EE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建设及验收情况：原项目于2023年4月动工建设，同年8月完成工程竣工验收，建设内容包括生产车间1间、办公楼1间及配套配电室、消防水池等设施。项目工程竣工</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后</w:t>
            </w:r>
            <w:r>
              <w:rPr>
                <w:rFonts w:hint="default" w:ascii="Times New Roman" w:hAnsi="Times New Roman" w:eastAsia="宋体" w:cs="Times New Roman"/>
                <w:color w:val="000000" w:themeColor="text1"/>
                <w:sz w:val="24"/>
                <w:szCs w:val="24"/>
                <w14:textFill>
                  <w14:solidFill>
                    <w14:schemeClr w14:val="tx1"/>
                  </w14:solidFill>
                </w14:textFill>
              </w:rPr>
              <w:t>未进行生产，未产生环境信访投诉，未受到生态环境相关行政处罚。</w:t>
            </w:r>
          </w:p>
          <w:p w14:paraId="19AB3AB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后续处置情况：截至2024年9月，原项目生产设备已全部清运，现场无遗留环境问题。</w:t>
            </w:r>
          </w:p>
          <w:p w14:paraId="00F54AB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本项目实施情况：</w:t>
            </w:r>
          </w:p>
          <w:p w14:paraId="7250E27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本项目于2026年4月在原项目已建生产车间内安装了4台炭化炉，设备建成后始终未投入生产，全过程无污染物外排，不存在违法排污行为。目前，本项目已停止后续建设工作，待取得</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环评</w:t>
            </w:r>
            <w:r>
              <w:rPr>
                <w:rFonts w:hint="default" w:ascii="Times New Roman" w:hAnsi="Times New Roman" w:eastAsia="宋体" w:cs="Times New Roman"/>
                <w:color w:val="000000" w:themeColor="text1"/>
                <w:sz w:val="24"/>
                <w:szCs w:val="24"/>
                <w14:textFill>
                  <w14:solidFill>
                    <w14:schemeClr w14:val="tx1"/>
                  </w14:solidFill>
                </w14:textFill>
              </w:rPr>
              <w:t>批复后，再行建设农林秸秆废弃物破碎车间、固体肥车间、液体肥车间、热储能车间等。</w:t>
            </w:r>
          </w:p>
          <w:p w14:paraId="4AB43D3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综上，原项目及本项目前期实施过程均未造成环境污染，不存在与本项目有关的原有污染情况及主要环境问题。</w:t>
            </w:r>
          </w:p>
          <w:p w14:paraId="4B8AE244">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22C8DFC2">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540501E2">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4B147D77">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5DD70DC3">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036B58AA">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220E1F17">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0204308E">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12D8AC0E">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6B6BEA67">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3852CD30">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530256F3">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6AFA39C8">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3C1CEFB0">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5B705A6D">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4D8902F0">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216C6FEE">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11F36BEA">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36182DE3">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p w14:paraId="1CDE7866">
            <w:pPr>
              <w:pStyle w:val="27"/>
              <w:adjustRightInd w:val="0"/>
              <w:snapToGrid w:val="0"/>
              <w:spacing w:before="0" w:beforeAutospacing="0" w:after="0" w:afterAutospacing="0"/>
              <w:jc w:val="both"/>
              <w:rPr>
                <w:rFonts w:hint="default" w:ascii="宋体" w:hAnsi="宋体" w:eastAsia="宋体" w:cs="宋体"/>
                <w:bCs/>
                <w:color w:val="000000" w:themeColor="text1"/>
                <w:kern w:val="2"/>
                <w:sz w:val="24"/>
                <w:szCs w:val="24"/>
                <w14:textFill>
                  <w14:solidFill>
                    <w14:schemeClr w14:val="tx1"/>
                  </w14:solidFill>
                </w14:textFill>
              </w:rPr>
            </w:pPr>
          </w:p>
        </w:tc>
      </w:tr>
    </w:tbl>
    <w:p w14:paraId="734009D7">
      <w:pPr>
        <w:pStyle w:val="27"/>
        <w:jc w:val="center"/>
        <w:outlineLvl w:val="0"/>
        <w:rPr>
          <w:rFonts w:hint="default" w:ascii="Times New Roman" w:hAnsi="Times New Roman" w:eastAsia="宋体" w:cs="Times New Roman"/>
          <w:b/>
          <w:bCs/>
          <w:snapToGrid w:val="0"/>
          <w:color w:val="000000" w:themeColor="text1"/>
          <w:sz w:val="30"/>
          <w:szCs w:val="30"/>
          <w14:textFill>
            <w14:solidFill>
              <w14:schemeClr w14:val="tx1"/>
            </w14:solidFill>
          </w14:textFill>
        </w:rPr>
      </w:pPr>
      <w:r>
        <w:rPr>
          <w:rFonts w:hint="default" w:ascii="Times New Roman" w:hAnsi="Times New Roman" w:eastAsia="宋体" w:cs="Times New Roman"/>
          <w:b/>
          <w:bCs/>
          <w:snapToGrid w:val="0"/>
          <w:color w:val="000000" w:themeColor="text1"/>
          <w:sz w:val="30"/>
          <w:szCs w:val="30"/>
          <w14:textFill>
            <w14:solidFill>
              <w14:schemeClr w14:val="tx1"/>
            </w14:solidFill>
          </w14:textFill>
        </w:rPr>
        <w:t>三、区域环境质量现状、环境保护目标及评价标准</w:t>
      </w:r>
      <w:bookmarkEnd w:id="5"/>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33F4E2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800" w:type="dxa"/>
            <w:noWrap w:val="0"/>
            <w:vAlign w:val="center"/>
          </w:tcPr>
          <w:p w14:paraId="75862C17">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区域</w:t>
            </w:r>
          </w:p>
          <w:p w14:paraId="4F67E229">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环境</w:t>
            </w:r>
          </w:p>
          <w:p w14:paraId="04995A28">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质量</w:t>
            </w:r>
          </w:p>
          <w:p w14:paraId="47EEC95D">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现状</w:t>
            </w:r>
          </w:p>
        </w:tc>
        <w:tc>
          <w:tcPr>
            <w:tcW w:w="8190" w:type="dxa"/>
            <w:noWrap w:val="0"/>
            <w:vAlign w:val="center"/>
          </w:tcPr>
          <w:p w14:paraId="4FFBD05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eastAsia" w:ascii="Times New Roman" w:hAnsi="Times New Roman" w:cs="Times New Roman"/>
                <w:b/>
                <w:bCs/>
                <w:color w:val="000000" w:themeColor="text1"/>
                <w:kern w:val="0"/>
                <w:sz w:val="24"/>
                <w:szCs w:val="24"/>
                <w:highlight w:val="none"/>
                <w:lang w:val="en-US" w:eastAsia="zh-CN"/>
                <w14:textFill>
                  <w14:solidFill>
                    <w14:schemeClr w14:val="tx1"/>
                  </w14:solidFill>
                </w14:textFill>
              </w:rPr>
              <w:t>1、</w:t>
            </w:r>
            <w:r>
              <w:rPr>
                <w:rFonts w:hint="default" w:ascii="Times New Roman" w:hAnsi="Times New Roman" w:cs="Times New Roman"/>
                <w:b/>
                <w:bCs/>
                <w:color w:val="000000" w:themeColor="text1"/>
                <w:kern w:val="0"/>
                <w:sz w:val="24"/>
                <w:szCs w:val="24"/>
                <w:highlight w:val="none"/>
                <w14:textFill>
                  <w14:solidFill>
                    <w14:schemeClr w14:val="tx1"/>
                  </w14:solidFill>
                </w14:textFill>
              </w:rPr>
              <w:t>环境空气质量现状调查与评价</w:t>
            </w:r>
          </w:p>
          <w:p w14:paraId="0B6433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1.1基本因子达标判定</w:t>
            </w:r>
          </w:p>
          <w:p w14:paraId="5D4F38D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根据《环境影响评价技术导</w:t>
            </w:r>
            <w:r>
              <w:rPr>
                <w:rFonts w:hint="default" w:ascii="Times New Roman" w:hAnsi="Times New Roman" w:cs="Times New Roman"/>
                <w:color w:val="000000" w:themeColor="text1"/>
                <w:sz w:val="24"/>
                <w:szCs w:val="24"/>
                <w14:textFill>
                  <w14:solidFill>
                    <w14:schemeClr w14:val="tx1"/>
                  </w14:solidFill>
                </w14:textFill>
              </w:rPr>
              <w:t>则大气环境》（HJ2.2-2018）中关于环境空气质量现状调查与评价的要求，本次应调查项目所在区域环境质量达标情况以及评价范围内有环境质量标准的评价因子的环境质量监测数据。</w:t>
            </w:r>
          </w:p>
          <w:p w14:paraId="07EE778A">
            <w:pPr>
              <w:keepNext w:val="0"/>
              <w:keepLines w:val="0"/>
              <w:pageBreakBefore w:val="0"/>
              <w:widowControl w:val="0"/>
              <w:kinsoku/>
              <w:wordWrap w:val="0"/>
              <w:overflowPunct/>
              <w:topLinePunct/>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lang w:val="en-US"/>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本项目区位于新疆昌吉回族自治州呼图壁县，本次区域环境空气质量现状数据选择距离项目区较近、气候、地形条件相似的昌吉回族自治州</w:t>
            </w:r>
            <w:r>
              <w:rPr>
                <w:rFonts w:hint="default" w:ascii="Times New Roman" w:hAnsi="Times New Roman" w:eastAsia="宋体" w:cs="Times New Roman"/>
                <w:color w:val="000000" w:themeColor="text1"/>
                <w:kern w:val="2"/>
                <w:sz w:val="24"/>
                <w:szCs w:val="24"/>
                <w:highlight w:val="none"/>
                <w:lang w:val="en-US" w:eastAsia="en-US" w:bidi="ar-SA"/>
                <w14:textFill>
                  <w14:solidFill>
                    <w14:schemeClr w14:val="tx1"/>
                  </w14:solidFill>
                </w14:textFill>
              </w:rPr>
              <w:t>20</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25</w:t>
            </w:r>
            <w:r>
              <w:rPr>
                <w:rFonts w:hint="default" w:ascii="Times New Roman" w:hAnsi="Times New Roman" w:eastAsia="宋体" w:cs="Times New Roman"/>
                <w:color w:val="000000" w:themeColor="text1"/>
                <w:kern w:val="2"/>
                <w:sz w:val="24"/>
                <w:szCs w:val="24"/>
                <w:highlight w:val="none"/>
                <w:lang w:val="en-US" w:eastAsia="en-US" w:bidi="ar-SA"/>
                <w14:textFill>
                  <w14:solidFill>
                    <w14:schemeClr w14:val="tx1"/>
                  </w14:solidFill>
                </w14:textFill>
              </w:rPr>
              <w:t>年</w:t>
            </w:r>
            <w:r>
              <w:rPr>
                <w:rFonts w:hint="default" w:ascii="Times New Roman" w:hAnsi="Times New Roman" w:cs="Times New Roman"/>
                <w:color w:val="000000" w:themeColor="text1"/>
                <w:sz w:val="24"/>
                <w:szCs w:val="32"/>
                <w14:textFill>
                  <w14:solidFill>
                    <w14:schemeClr w14:val="tx1"/>
                  </w14:solidFill>
                </w14:textFill>
              </w:rPr>
              <w:t>监测的数据作为本项目评价依据</w:t>
            </w:r>
            <w:r>
              <w:rPr>
                <w:rFonts w:hint="eastAsia" w:ascii="Times New Roman" w:hAnsi="Times New Roman" w:cs="Times New Roman"/>
                <w:color w:val="000000" w:themeColor="text1"/>
                <w:sz w:val="24"/>
                <w:szCs w:val="32"/>
                <w:lang w:eastAsia="zh-CN"/>
                <w14:textFill>
                  <w14:solidFill>
                    <w14:schemeClr w14:val="tx1"/>
                  </w14:solidFill>
                </w14:textFill>
              </w:rPr>
              <w:t>（</w:t>
            </w:r>
            <w:r>
              <w:rPr>
                <w:rFonts w:hint="eastAsia" w:ascii="Times New Roman" w:hAnsi="Times New Roman" w:cs="Times New Roman"/>
                <w:color w:val="000000" w:themeColor="text1"/>
                <w:sz w:val="24"/>
                <w:szCs w:val="32"/>
                <w:lang w:val="en-US" w:eastAsia="zh-CN"/>
                <w14:textFill>
                  <w14:solidFill>
                    <w14:schemeClr w14:val="tx1"/>
                  </w14:solidFill>
                </w14:textFill>
              </w:rPr>
              <w:t>数据来源为中国环境影响评价网环境空气质量模型技术支持服务系统（</w:t>
            </w:r>
            <w:r>
              <w:rPr>
                <w:rFonts w:hint="eastAsia" w:ascii="Times New Roman" w:hAnsi="Times New Roman" w:cs="Times New Roman"/>
                <w:color w:val="000000" w:themeColor="text1"/>
                <w:sz w:val="24"/>
                <w:szCs w:val="32"/>
                <w:lang w:val="en-US" w:eastAsia="zh-CN"/>
                <w14:textFill>
                  <w14:solidFill>
                    <w14:schemeClr w14:val="tx1"/>
                  </w14:solidFill>
                </w14:textFill>
              </w:rPr>
              <w:fldChar w:fldCharType="begin"/>
            </w:r>
            <w:r>
              <w:rPr>
                <w:rFonts w:hint="eastAsia" w:ascii="Times New Roman" w:hAnsi="Times New Roman" w:cs="Times New Roman"/>
                <w:color w:val="000000" w:themeColor="text1"/>
                <w:sz w:val="24"/>
                <w:szCs w:val="32"/>
                <w:lang w:val="en-US" w:eastAsia="zh-CN"/>
                <w14:textFill>
                  <w14:solidFill>
                    <w14:schemeClr w14:val="tx1"/>
                  </w14:solidFill>
                </w14:textFill>
              </w:rPr>
              <w:instrText xml:space="preserve"> HYPERLINK "http://data.lem.org.cn/eamds/apply/tostepone.html" </w:instrText>
            </w:r>
            <w:r>
              <w:rPr>
                <w:rFonts w:hint="eastAsia" w:ascii="Times New Roman" w:hAnsi="Times New Roman" w:cs="Times New Roman"/>
                <w:color w:val="000000" w:themeColor="text1"/>
                <w:sz w:val="24"/>
                <w:szCs w:val="32"/>
                <w:lang w:val="en-US" w:eastAsia="zh-CN"/>
                <w14:textFill>
                  <w14:solidFill>
                    <w14:schemeClr w14:val="tx1"/>
                  </w14:solidFill>
                </w14:textFill>
              </w:rPr>
              <w:fldChar w:fldCharType="separate"/>
            </w:r>
            <w:r>
              <w:rPr>
                <w:rFonts w:hint="eastAsia" w:ascii="Times New Roman" w:hAnsi="Times New Roman" w:cs="Times New Roman"/>
                <w:color w:val="000000" w:themeColor="text1"/>
                <w:sz w:val="24"/>
                <w:szCs w:val="32"/>
                <w:lang w:val="en-US" w:eastAsia="zh-CN"/>
                <w14:textFill>
                  <w14:solidFill>
                    <w14:schemeClr w14:val="tx1"/>
                  </w14:solidFill>
                </w14:textFill>
              </w:rPr>
              <w:t>http://data.lem.org.cn/eamds/apply/tostepone.html</w:t>
            </w:r>
            <w:r>
              <w:rPr>
                <w:rFonts w:hint="eastAsia" w:ascii="Times New Roman" w:hAnsi="Times New Roman" w:cs="Times New Roman"/>
                <w:color w:val="000000" w:themeColor="text1"/>
                <w:sz w:val="24"/>
                <w:szCs w:val="32"/>
                <w:lang w:val="en-US" w:eastAsia="zh-CN"/>
                <w14:textFill>
                  <w14:solidFill>
                    <w14:schemeClr w14:val="tx1"/>
                  </w14:solidFill>
                </w14:textFill>
              </w:rPr>
              <w:fldChar w:fldCharType="end"/>
            </w:r>
            <w:r>
              <w:rPr>
                <w:rFonts w:hint="eastAsia" w:ascii="Times New Roman" w:hAnsi="Times New Roman" w:cs="Times New Roman"/>
                <w:color w:val="000000" w:themeColor="text1"/>
                <w:sz w:val="24"/>
                <w:szCs w:val="32"/>
                <w:lang w:val="en-US" w:eastAsia="zh-CN"/>
                <w14:textFill>
                  <w14:solidFill>
                    <w14:schemeClr w14:val="tx1"/>
                  </w14:solidFill>
                </w14:textFill>
              </w:rPr>
              <w:t>）</w:t>
            </w:r>
            <w:r>
              <w:rPr>
                <w:rFonts w:hint="eastAsia" w:ascii="Times New Roman" w:hAnsi="Times New Roman" w:cs="Times New Roman"/>
                <w:color w:val="000000" w:themeColor="text1"/>
                <w:sz w:val="24"/>
                <w:szCs w:val="32"/>
                <w:lang w:eastAsia="zh-CN"/>
                <w14:textFill>
                  <w14:solidFill>
                    <w14:schemeClr w14:val="tx1"/>
                  </w14:solidFill>
                </w14:textFill>
              </w:rPr>
              <w:t>，</w:t>
            </w:r>
            <w:r>
              <w:rPr>
                <w:rFonts w:hint="eastAsia" w:ascii="Times New Roman" w:hAnsi="Times New Roman" w:cs="Times New Roman"/>
                <w:color w:val="000000" w:themeColor="text1"/>
                <w:sz w:val="24"/>
                <w:szCs w:val="32"/>
                <w:lang w:val="en-US" w:eastAsia="zh-CN"/>
                <w14:textFill>
                  <w14:solidFill>
                    <w14:schemeClr w14:val="tx1"/>
                  </w14:solidFill>
                </w14:textFill>
              </w:rPr>
              <w:t>本项目距离</w:t>
            </w:r>
            <w:r>
              <w:rPr>
                <w:rFonts w:hint="eastAsia" w:ascii="Times New Roman" w:hAnsi="Times New Roman" w:eastAsia="宋体" w:cs="Times New Roman"/>
                <w:color w:val="000000" w:themeColor="text1"/>
                <w:sz w:val="24"/>
                <w:lang w:val="en-US" w:eastAsia="zh-CN"/>
                <w14:textFill>
                  <w14:solidFill>
                    <w14:schemeClr w14:val="tx1"/>
                  </w14:solidFill>
                </w14:textFill>
              </w:rPr>
              <w:t>昌吉回族自治州昌吉市</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约55km。</w:t>
            </w:r>
          </w:p>
          <w:p w14:paraId="1787BA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（1）监测项目</w:t>
            </w:r>
          </w:p>
          <w:p w14:paraId="25BBDC9C">
            <w:pPr>
              <w:keepNext w:val="0"/>
              <w:keepLines w:val="0"/>
              <w:pageBreakBefore w:val="0"/>
              <w:widowControl w:val="0"/>
              <w:kinsoku/>
              <w:wordWrap/>
              <w:overflowPunct/>
              <w:topLinePunct w:val="0"/>
              <w:autoSpaceDE/>
              <w:autoSpaceDN/>
              <w:bidi w:val="0"/>
              <w:adjustRightInd w:val="0"/>
              <w:snapToGrid w:val="0"/>
              <w:spacing w:line="360" w:lineRule="auto"/>
              <w:ind w:firstLine="52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bCs/>
                <w:color w:val="000000" w:themeColor="text1"/>
                <w:spacing w:val="10"/>
                <w:sz w:val="24"/>
                <w:szCs w:val="32"/>
                <w:lang w:val="zh-CN"/>
                <w14:textFill>
                  <w14:solidFill>
                    <w14:schemeClr w14:val="tx1"/>
                  </w14:solidFill>
                </w14:textFill>
              </w:rPr>
              <w:t>SO</w:t>
            </w:r>
            <w:r>
              <w:rPr>
                <w:rFonts w:hint="default" w:ascii="Times New Roman" w:hAnsi="Times New Roman" w:cs="Times New Roman"/>
                <w:bCs/>
                <w:color w:val="000000" w:themeColor="text1"/>
                <w:spacing w:val="10"/>
                <w:sz w:val="24"/>
                <w:szCs w:val="32"/>
                <w:vertAlign w:val="subscript"/>
                <w:lang w:val="zh-CN"/>
                <w14:textFill>
                  <w14:solidFill>
                    <w14:schemeClr w14:val="tx1"/>
                  </w14:solidFill>
                </w14:textFill>
              </w:rPr>
              <w:t>2</w:t>
            </w:r>
            <w:r>
              <w:rPr>
                <w:rFonts w:hint="default" w:ascii="Times New Roman" w:hAnsi="Times New Roman" w:cs="Times New Roman"/>
                <w:bCs/>
                <w:color w:val="000000" w:themeColor="text1"/>
                <w:spacing w:val="10"/>
                <w:sz w:val="24"/>
                <w:szCs w:val="32"/>
                <w:lang w:val="zh-CN"/>
                <w14:textFill>
                  <w14:solidFill>
                    <w14:schemeClr w14:val="tx1"/>
                  </w14:solidFill>
                </w14:textFill>
              </w:rPr>
              <w:t>、NO</w:t>
            </w:r>
            <w:r>
              <w:rPr>
                <w:rFonts w:hint="default" w:ascii="Times New Roman" w:hAnsi="Times New Roman" w:cs="Times New Roman"/>
                <w:bCs/>
                <w:color w:val="000000" w:themeColor="text1"/>
                <w:spacing w:val="10"/>
                <w:sz w:val="24"/>
                <w:szCs w:val="32"/>
                <w:vertAlign w:val="subscript"/>
                <w:lang w:val="zh-CN"/>
                <w14:textFill>
                  <w14:solidFill>
                    <w14:schemeClr w14:val="tx1"/>
                  </w14:solidFill>
                </w14:textFill>
              </w:rPr>
              <w:t>2</w:t>
            </w:r>
            <w:r>
              <w:rPr>
                <w:rFonts w:hint="default" w:ascii="Times New Roman" w:hAnsi="Times New Roman" w:cs="Times New Roman"/>
                <w:bCs/>
                <w:color w:val="000000" w:themeColor="text1"/>
                <w:spacing w:val="10"/>
                <w:sz w:val="24"/>
                <w:szCs w:val="32"/>
                <w:lang w:val="zh-CN"/>
                <w14:textFill>
                  <w14:solidFill>
                    <w14:schemeClr w14:val="tx1"/>
                  </w14:solidFill>
                </w14:textFill>
              </w:rPr>
              <w:t>、PM</w:t>
            </w:r>
            <w:r>
              <w:rPr>
                <w:rFonts w:hint="default" w:ascii="Times New Roman" w:hAnsi="Times New Roman" w:cs="Times New Roman"/>
                <w:bCs/>
                <w:color w:val="000000" w:themeColor="text1"/>
                <w:spacing w:val="10"/>
                <w:sz w:val="24"/>
                <w:szCs w:val="32"/>
                <w:vertAlign w:val="subscript"/>
                <w:lang w:val="zh-CN"/>
                <w14:textFill>
                  <w14:solidFill>
                    <w14:schemeClr w14:val="tx1"/>
                  </w14:solidFill>
                </w14:textFill>
              </w:rPr>
              <w:t>10</w:t>
            </w:r>
            <w:r>
              <w:rPr>
                <w:rFonts w:hint="default" w:ascii="Times New Roman" w:hAnsi="Times New Roman" w:cs="Times New Roman"/>
                <w:bCs/>
                <w:color w:val="000000" w:themeColor="text1"/>
                <w:spacing w:val="10"/>
                <w:sz w:val="24"/>
                <w:szCs w:val="32"/>
                <w:lang w:val="zh-CN"/>
                <w14:textFill>
                  <w14:solidFill>
                    <w14:schemeClr w14:val="tx1"/>
                  </w14:solidFill>
                </w14:textFill>
              </w:rPr>
              <w:t>、PM</w:t>
            </w:r>
            <w:r>
              <w:rPr>
                <w:rFonts w:hint="default" w:ascii="Times New Roman" w:hAnsi="Times New Roman" w:cs="Times New Roman"/>
                <w:bCs/>
                <w:color w:val="000000" w:themeColor="text1"/>
                <w:spacing w:val="10"/>
                <w:sz w:val="24"/>
                <w:szCs w:val="32"/>
                <w:vertAlign w:val="subscript"/>
                <w:lang w:val="zh-CN"/>
                <w14:textFill>
                  <w14:solidFill>
                    <w14:schemeClr w14:val="tx1"/>
                  </w14:solidFill>
                </w14:textFill>
              </w:rPr>
              <w:t>2.5</w:t>
            </w:r>
            <w:r>
              <w:rPr>
                <w:rFonts w:hint="default" w:ascii="Times New Roman" w:hAnsi="Times New Roman" w:cs="Times New Roman"/>
                <w:bCs/>
                <w:color w:val="000000" w:themeColor="text1"/>
                <w:spacing w:val="10"/>
                <w:sz w:val="24"/>
                <w:szCs w:val="32"/>
                <w:lang w:val="zh-CN"/>
                <w14:textFill>
                  <w14:solidFill>
                    <w14:schemeClr w14:val="tx1"/>
                  </w14:solidFill>
                </w14:textFill>
              </w:rPr>
              <w:t>、CO、O</w:t>
            </w:r>
            <w:r>
              <w:rPr>
                <w:rFonts w:hint="default" w:ascii="Times New Roman" w:hAnsi="Times New Roman" w:cs="Times New Roman"/>
                <w:bCs/>
                <w:color w:val="000000" w:themeColor="text1"/>
                <w:spacing w:val="10"/>
                <w:sz w:val="24"/>
                <w:szCs w:val="32"/>
                <w:vertAlign w:val="subscript"/>
                <w:lang w:val="zh-CN"/>
                <w14:textFill>
                  <w14:solidFill>
                    <w14:schemeClr w14:val="tx1"/>
                  </w14:solidFill>
                </w14:textFill>
              </w:rPr>
              <w:t>3</w:t>
            </w:r>
            <w:r>
              <w:rPr>
                <w:rFonts w:hint="default" w:ascii="Times New Roman" w:hAnsi="Times New Roman" w:cs="Times New Roman"/>
                <w:bCs/>
                <w:color w:val="000000" w:themeColor="text1"/>
                <w:spacing w:val="10"/>
                <w:sz w:val="24"/>
                <w:szCs w:val="32"/>
                <w14:textFill>
                  <w14:solidFill>
                    <w14:schemeClr w14:val="tx1"/>
                  </w14:solidFill>
                </w14:textFill>
              </w:rPr>
              <w:t>。</w:t>
            </w:r>
          </w:p>
          <w:p w14:paraId="4AACEB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（2）评价标准</w:t>
            </w:r>
          </w:p>
          <w:p w14:paraId="11531A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根据本项目所在区域的环境功能区划，常规污染物执行</w:t>
            </w:r>
            <w:r>
              <w:rPr>
                <w:rFonts w:hint="default" w:ascii="Times New Roman" w:hAnsi="Times New Roman" w:cs="Times New Roman"/>
                <w:color w:val="000000" w:themeColor="text1"/>
                <w:sz w:val="24"/>
                <w:szCs w:val="32"/>
                <w:highlight w:val="none"/>
                <w14:textFill>
                  <w14:solidFill>
                    <w14:schemeClr w14:val="tx1"/>
                  </w14:solidFill>
                </w14:textFill>
              </w:rPr>
              <w:t>《环境空气质量标准》（GB3095-20</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26</w:t>
            </w:r>
            <w:r>
              <w:rPr>
                <w:rFonts w:hint="default" w:ascii="Times New Roman" w:hAnsi="Times New Roman" w:cs="Times New Roman"/>
                <w:color w:val="000000" w:themeColor="text1"/>
                <w:sz w:val="24"/>
                <w:szCs w:val="32"/>
                <w:highlight w:val="none"/>
                <w14:textFill>
                  <w14:solidFill>
                    <w14:schemeClr w14:val="tx1"/>
                  </w14:solidFill>
                </w14:textFill>
              </w:rPr>
              <w:t>）中</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表1过渡阶段浓度限值的</w:t>
            </w:r>
            <w:r>
              <w:rPr>
                <w:rFonts w:hint="default" w:ascii="Times New Roman" w:hAnsi="Times New Roman" w:cs="Times New Roman"/>
                <w:color w:val="000000" w:themeColor="text1"/>
                <w:sz w:val="24"/>
                <w:szCs w:val="32"/>
                <w:highlight w:val="none"/>
                <w14:textFill>
                  <w14:solidFill>
                    <w14:schemeClr w14:val="tx1"/>
                  </w14:solidFill>
                </w14:textFill>
              </w:rPr>
              <w:t>二级标准</w:t>
            </w:r>
            <w:r>
              <w:rPr>
                <w:rFonts w:hint="default" w:ascii="Times New Roman" w:hAnsi="Times New Roman" w:cs="Times New Roman"/>
                <w:color w:val="000000" w:themeColor="text1"/>
                <w:sz w:val="24"/>
                <w:szCs w:val="32"/>
                <w14:textFill>
                  <w14:solidFill>
                    <w14:schemeClr w14:val="tx1"/>
                  </w14:solidFill>
                </w14:textFill>
              </w:rPr>
              <w:t>。</w:t>
            </w:r>
          </w:p>
          <w:p w14:paraId="2E31F20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（3）评价方法</w:t>
            </w:r>
          </w:p>
          <w:p w14:paraId="6ECE44B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评价方法采用最大质量浓度占相应标准质量浓度限值的百分比及超标率对监测结果进行评价分析。计算公式如下：</w:t>
            </w:r>
          </w:p>
          <w:p w14:paraId="4D5D70B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center"/>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position w:val="-6"/>
                <w:sz w:val="24"/>
                <w:szCs w:val="32"/>
                <w14:textFill>
                  <w14:solidFill>
                    <w14:schemeClr w14:val="tx1"/>
                  </w14:solidFill>
                </w14:textFill>
              </w:rPr>
              <w:object>
                <v:shape id="_x0000_i1033" o:spt="75" type="#_x0000_t75" style="height:15.75pt;width:102.7pt;" o:ole="t" filled="f" o:preferrelative="t" stroked="f" coordsize="21600,21600">
                  <v:path/>
                  <v:fill on="f" focussize="0,0"/>
                  <v:stroke on="f"/>
                  <v:imagedata r:id="rId16" o:title=""/>
                  <o:lock v:ext="edit" aspectratio="t"/>
                  <w10:wrap type="none"/>
                  <w10:anchorlock/>
                </v:shape>
                <o:OLEObject Type="Embed" ProgID="Equation.3" ShapeID="_x0000_i1033" DrawAspect="Content" ObjectID="_1468075731" r:id="rId15">
                  <o:LockedField>false</o:LockedField>
                </o:OLEObject>
              </w:object>
            </w:r>
          </w:p>
          <w:p w14:paraId="6006D0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式中：Pi—某种污染物的最大地面质量浓度占标率，%；</w:t>
            </w:r>
          </w:p>
          <w:p w14:paraId="4DFF387B">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Ci—某种污染物的实际监测浓度，mg/m</w:t>
            </w:r>
            <w:r>
              <w:rPr>
                <w:rFonts w:hint="default" w:ascii="Times New Roman" w:hAnsi="Times New Roman" w:cs="Times New Roman"/>
                <w:color w:val="000000" w:themeColor="text1"/>
                <w:sz w:val="24"/>
                <w:szCs w:val="32"/>
                <w:vertAlign w:val="superscript"/>
                <w14:textFill>
                  <w14:solidFill>
                    <w14:schemeClr w14:val="tx1"/>
                  </w14:solidFill>
                </w14:textFill>
              </w:rPr>
              <w:t>3</w:t>
            </w:r>
            <w:r>
              <w:rPr>
                <w:rFonts w:hint="default" w:ascii="Times New Roman" w:hAnsi="Times New Roman" w:cs="Times New Roman"/>
                <w:color w:val="000000" w:themeColor="text1"/>
                <w:sz w:val="24"/>
                <w:szCs w:val="32"/>
                <w14:textFill>
                  <w14:solidFill>
                    <w14:schemeClr w14:val="tx1"/>
                  </w14:solidFill>
                </w14:textFill>
              </w:rPr>
              <w:t>；</w:t>
            </w:r>
          </w:p>
          <w:p w14:paraId="083E2718">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Coi—某种污染物的环境空气标准浓度，mg/m</w:t>
            </w:r>
            <w:r>
              <w:rPr>
                <w:rFonts w:hint="default" w:ascii="Times New Roman" w:hAnsi="Times New Roman" w:cs="Times New Roman"/>
                <w:color w:val="000000" w:themeColor="text1"/>
                <w:sz w:val="24"/>
                <w:szCs w:val="32"/>
                <w:vertAlign w:val="superscript"/>
                <w14:textFill>
                  <w14:solidFill>
                    <w14:schemeClr w14:val="tx1"/>
                  </w14:solidFill>
                </w14:textFill>
              </w:rPr>
              <w:t>3</w:t>
            </w:r>
            <w:r>
              <w:rPr>
                <w:rFonts w:hint="default" w:ascii="Times New Roman" w:hAnsi="Times New Roman" w:cs="Times New Roman"/>
                <w:color w:val="000000" w:themeColor="text1"/>
                <w:sz w:val="24"/>
                <w:szCs w:val="32"/>
                <w14:textFill>
                  <w14:solidFill>
                    <w14:schemeClr w14:val="tx1"/>
                  </w14:solidFill>
                </w14:textFill>
              </w:rPr>
              <w:t>。</w:t>
            </w:r>
          </w:p>
          <w:p w14:paraId="5C407C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（4）监测结果</w:t>
            </w:r>
          </w:p>
          <w:p w14:paraId="51A229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昌吉回族自治州</w:t>
            </w:r>
            <w:r>
              <w:rPr>
                <w:rFonts w:hint="default" w:ascii="Times New Roman" w:hAnsi="Times New Roman" w:cs="Times New Roman"/>
                <w:color w:val="000000" w:themeColor="text1"/>
                <w:sz w:val="24"/>
                <w:szCs w:val="32"/>
                <w:lang w:eastAsia="zh-CN"/>
                <w14:textFill>
                  <w14:solidFill>
                    <w14:schemeClr w14:val="tx1"/>
                  </w14:solidFill>
                </w14:textFill>
              </w:rPr>
              <w:t>202</w:t>
            </w:r>
            <w:r>
              <w:rPr>
                <w:rFonts w:hint="eastAsia" w:ascii="Times New Roman" w:hAnsi="Times New Roman" w:cs="Times New Roman"/>
                <w:color w:val="000000" w:themeColor="text1"/>
                <w:sz w:val="24"/>
                <w:szCs w:val="32"/>
                <w:lang w:val="en-US" w:eastAsia="zh-CN"/>
                <w14:textFill>
                  <w14:solidFill>
                    <w14:schemeClr w14:val="tx1"/>
                  </w14:solidFill>
                </w14:textFill>
              </w:rPr>
              <w:t>5</w:t>
            </w:r>
            <w:r>
              <w:rPr>
                <w:rFonts w:hint="default" w:ascii="Times New Roman" w:hAnsi="Times New Roman" w:cs="Times New Roman"/>
                <w:color w:val="000000" w:themeColor="text1"/>
                <w:sz w:val="24"/>
                <w:szCs w:val="32"/>
                <w:lang w:val="en-US" w:eastAsia="zh-CN"/>
                <w14:textFill>
                  <w14:solidFill>
                    <w14:schemeClr w14:val="tx1"/>
                  </w14:solidFill>
                </w14:textFill>
              </w:rPr>
              <w:t>年</w:t>
            </w:r>
            <w:r>
              <w:rPr>
                <w:rFonts w:hint="default" w:ascii="Times New Roman" w:hAnsi="Times New Roman" w:cs="Times New Roman"/>
                <w:color w:val="000000" w:themeColor="text1"/>
                <w:sz w:val="24"/>
                <w:szCs w:val="32"/>
                <w:lang w:eastAsia="zh-CN"/>
                <w14:textFill>
                  <w14:solidFill>
                    <w14:schemeClr w14:val="tx1"/>
                  </w14:solidFill>
                </w14:textFill>
              </w:rPr>
              <w:t>空气质量达标区判定结果见</w:t>
            </w:r>
            <w:r>
              <w:rPr>
                <w:rFonts w:hint="eastAsia" w:ascii="Times New Roman" w:hAnsi="Times New Roman" w:cs="Times New Roman"/>
                <w:color w:val="000000" w:themeColor="text1"/>
                <w:sz w:val="24"/>
                <w:szCs w:val="32"/>
                <w:lang w:val="en-US" w:eastAsia="zh-CN"/>
                <w14:textFill>
                  <w14:solidFill>
                    <w14:schemeClr w14:val="tx1"/>
                  </w14:solidFill>
                </w14:textFill>
              </w:rPr>
              <w:t>表3-1</w:t>
            </w:r>
            <w:r>
              <w:rPr>
                <w:rFonts w:hint="default" w:ascii="Times New Roman" w:hAnsi="Times New Roman" w:cs="Times New Roman"/>
                <w:color w:val="000000" w:themeColor="text1"/>
                <w:sz w:val="24"/>
                <w:szCs w:val="32"/>
                <w14:textFill>
                  <w14:solidFill>
                    <w14:schemeClr w14:val="tx1"/>
                  </w14:solidFill>
                </w14:textFill>
              </w:rPr>
              <w:t>。</w:t>
            </w:r>
          </w:p>
          <w:p w14:paraId="28DE6FC7">
            <w:pPr>
              <w:spacing w:line="240" w:lineRule="auto"/>
              <w:ind w:firstLine="0" w:firstLineChars="0"/>
              <w:jc w:val="center"/>
              <w:rPr>
                <w:b/>
                <w:bCs/>
                <w:color w:val="000000" w:themeColor="text1"/>
                <w:sz w:val="21"/>
                <w:szCs w:val="21"/>
                <w14:textFill>
                  <w14:solidFill>
                    <w14:schemeClr w14:val="tx1"/>
                  </w14:solidFill>
                </w14:textFill>
              </w:rPr>
            </w:pPr>
            <w:r>
              <w:rPr>
                <w:rFonts w:hint="eastAsia" w:hAnsi="宋体"/>
                <w:b/>
                <w:bCs/>
                <w:color w:val="000000" w:themeColor="text1"/>
                <w:sz w:val="21"/>
                <w:szCs w:val="21"/>
                <w14:textFill>
                  <w14:solidFill>
                    <w14:schemeClr w14:val="tx1"/>
                  </w14:solidFill>
                </w14:textFill>
              </w:rPr>
              <w:t>表</w:t>
            </w:r>
            <w:r>
              <w:rPr>
                <w:rFonts w:hint="eastAsia" w:hAnsi="宋体"/>
                <w:b/>
                <w:bCs/>
                <w:color w:val="000000" w:themeColor="text1"/>
                <w:sz w:val="21"/>
                <w:szCs w:val="21"/>
                <w:lang w:val="en-US" w:eastAsia="zh-CN"/>
                <w14:textFill>
                  <w14:solidFill>
                    <w14:schemeClr w14:val="tx1"/>
                  </w14:solidFill>
                </w14:textFill>
              </w:rPr>
              <w:t>3-1</w:t>
            </w:r>
            <w:r>
              <w:rPr>
                <w:b/>
                <w:bCs/>
                <w:color w:val="000000" w:themeColor="text1"/>
                <w:sz w:val="21"/>
                <w:szCs w:val="21"/>
                <w14:textFill>
                  <w14:solidFill>
                    <w14:schemeClr w14:val="tx1"/>
                  </w14:solidFill>
                </w14:textFill>
              </w:rPr>
              <w:t xml:space="preserve">   </w:t>
            </w:r>
            <w:r>
              <w:rPr>
                <w:rFonts w:hint="eastAsia" w:hAnsi="宋体"/>
                <w:b/>
                <w:bCs/>
                <w:color w:val="000000" w:themeColor="text1"/>
                <w:sz w:val="21"/>
                <w:szCs w:val="21"/>
                <w14:textFill>
                  <w14:solidFill>
                    <w14:schemeClr w14:val="tx1"/>
                  </w14:solidFill>
                </w14:textFill>
              </w:rPr>
              <w:t>区域空气质量现状评价结果</w:t>
            </w:r>
            <w:r>
              <w:rPr>
                <w:rFonts w:hint="eastAsia" w:hAnsi="宋体"/>
                <w:b/>
                <w:bCs/>
                <w:color w:val="000000" w:themeColor="text1"/>
                <w:sz w:val="21"/>
                <w:szCs w:val="21"/>
                <w:lang w:val="en-US" w:eastAsia="zh-CN"/>
                <w14:textFill>
                  <w14:solidFill>
                    <w14:schemeClr w14:val="tx1"/>
                  </w14:solidFill>
                </w14:textFill>
              </w:rPr>
              <w:t xml:space="preserve">   </w:t>
            </w:r>
            <w:r>
              <w:rPr>
                <w:rFonts w:hint="eastAsia" w:hAnsi="宋体"/>
                <w:b/>
                <w:bCs/>
                <w:color w:val="000000" w:themeColor="text1"/>
                <w:sz w:val="21"/>
                <w:szCs w:val="21"/>
                <w14:textFill>
                  <w14:solidFill>
                    <w14:schemeClr w14:val="tx1"/>
                  </w14:solidFill>
                </w14:textFill>
              </w:rPr>
              <w:t>单位：</w:t>
            </w:r>
            <w:r>
              <w:rPr>
                <w:b/>
                <w:bCs/>
                <w:color w:val="000000" w:themeColor="text1"/>
                <w:sz w:val="21"/>
                <w:szCs w:val="21"/>
                <w14:textFill>
                  <w14:solidFill>
                    <w14:schemeClr w14:val="tx1"/>
                  </w14:solidFill>
                </w14:textFill>
              </w:rPr>
              <w:t>μg/m</w:t>
            </w:r>
            <w:r>
              <w:rPr>
                <w:b/>
                <w:bCs/>
                <w:color w:val="000000" w:themeColor="text1"/>
                <w:sz w:val="21"/>
                <w:szCs w:val="21"/>
                <w:vertAlign w:val="superscript"/>
                <w14:textFill>
                  <w14:solidFill>
                    <w14:schemeClr w14:val="tx1"/>
                  </w14:solidFill>
                </w14:textFill>
              </w:rPr>
              <w:t>3</w:t>
            </w:r>
          </w:p>
          <w:tbl>
            <w:tblPr>
              <w:tblStyle w:val="29"/>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345"/>
              <w:gridCol w:w="2011"/>
              <w:gridCol w:w="1260"/>
              <w:gridCol w:w="1150"/>
              <w:gridCol w:w="1013"/>
              <w:gridCol w:w="1196"/>
            </w:tblGrid>
            <w:tr w14:paraId="20AC920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vMerge w:val="restart"/>
                  <w:tcBorders>
                    <w:tl2br w:val="nil"/>
                    <w:tr2bl w:val="nil"/>
                  </w:tcBorders>
                  <w:noWrap w:val="0"/>
                  <w:vAlign w:val="center"/>
                </w:tcPr>
                <w:p w14:paraId="514AF859">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评价因子</w:t>
                  </w:r>
                </w:p>
              </w:tc>
              <w:tc>
                <w:tcPr>
                  <w:tcW w:w="1261" w:type="pct"/>
                  <w:vMerge w:val="restart"/>
                  <w:tcBorders>
                    <w:tl2br w:val="nil"/>
                    <w:tr2bl w:val="nil"/>
                  </w:tcBorders>
                  <w:noWrap w:val="0"/>
                  <w:vAlign w:val="center"/>
                </w:tcPr>
                <w:p w14:paraId="408EBF95">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年评价指标</w:t>
                  </w:r>
                </w:p>
              </w:tc>
              <w:tc>
                <w:tcPr>
                  <w:tcW w:w="790" w:type="pct"/>
                  <w:vMerge w:val="restart"/>
                  <w:tcBorders>
                    <w:tl2br w:val="nil"/>
                    <w:tr2bl w:val="nil"/>
                  </w:tcBorders>
                  <w:noWrap w:val="0"/>
                  <w:vAlign w:val="center"/>
                </w:tcPr>
                <w:p w14:paraId="15EDA8E3">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现状浓度</w:t>
                  </w:r>
                  <w:r>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μg/m</w:t>
                  </w:r>
                  <w:r>
                    <w:rPr>
                      <w:rFonts w:hint="eastAsia" w:ascii="Times New Roman" w:hAnsi="Times New Roman" w:eastAsia="宋体" w:cs="Times New Roman"/>
                      <w:b/>
                      <w:bCs/>
                      <w:snapToGrid w:val="0"/>
                      <w:color w:val="000000" w:themeColor="text1"/>
                      <w:sz w:val="21"/>
                      <w:szCs w:val="21"/>
                      <w:highlight w:val="none"/>
                      <w:vertAlign w:val="superscript"/>
                      <w:lang w:val="en-US" w:eastAsia="zh-CN"/>
                      <w14:textFill>
                        <w14:solidFill>
                          <w14:schemeClr w14:val="tx1"/>
                        </w14:solidFill>
                      </w14:textFill>
                    </w:rPr>
                    <w:t>3</w:t>
                  </w:r>
                </w:p>
              </w:tc>
              <w:tc>
                <w:tcPr>
                  <w:tcW w:w="721" w:type="pct"/>
                  <w:tcBorders>
                    <w:tl2br w:val="nil"/>
                    <w:tr2bl w:val="nil"/>
                  </w:tcBorders>
                  <w:noWrap w:val="0"/>
                  <w:vAlign w:val="center"/>
                </w:tcPr>
                <w:p w14:paraId="2AB043FB">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标准限值</w:t>
                  </w:r>
                </w:p>
              </w:tc>
              <w:tc>
                <w:tcPr>
                  <w:tcW w:w="635" w:type="pct"/>
                  <w:vMerge w:val="restart"/>
                  <w:tcBorders>
                    <w:tl2br w:val="nil"/>
                    <w:tr2bl w:val="nil"/>
                  </w:tcBorders>
                  <w:noWrap w:val="0"/>
                  <w:vAlign w:val="center"/>
                </w:tcPr>
                <w:p w14:paraId="5B33732E">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占标率</w:t>
                  </w:r>
                  <w:r>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w:t>
                  </w:r>
                </w:p>
              </w:tc>
              <w:tc>
                <w:tcPr>
                  <w:tcW w:w="750" w:type="pct"/>
                  <w:vMerge w:val="restart"/>
                  <w:tcBorders>
                    <w:tl2br w:val="nil"/>
                    <w:tr2bl w:val="nil"/>
                  </w:tcBorders>
                  <w:noWrap w:val="0"/>
                  <w:vAlign w:val="center"/>
                </w:tcPr>
                <w:p w14:paraId="30819154">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达标情况</w:t>
                  </w:r>
                </w:p>
              </w:tc>
            </w:tr>
            <w:tr w14:paraId="04C2996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vMerge w:val="continue"/>
                  <w:tcBorders>
                    <w:tl2br w:val="nil"/>
                    <w:tr2bl w:val="nil"/>
                  </w:tcBorders>
                  <w:noWrap w:val="0"/>
                  <w:vAlign w:val="center"/>
                </w:tcPr>
                <w:p w14:paraId="1E01379F">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p>
              </w:tc>
              <w:tc>
                <w:tcPr>
                  <w:tcW w:w="1261" w:type="pct"/>
                  <w:vMerge w:val="continue"/>
                  <w:tcBorders>
                    <w:tl2br w:val="nil"/>
                    <w:tr2bl w:val="nil"/>
                  </w:tcBorders>
                  <w:noWrap w:val="0"/>
                  <w:vAlign w:val="center"/>
                </w:tcPr>
                <w:p w14:paraId="304D78AB">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p>
              </w:tc>
              <w:tc>
                <w:tcPr>
                  <w:tcW w:w="790" w:type="pct"/>
                  <w:vMerge w:val="continue"/>
                  <w:tcBorders>
                    <w:tl2br w:val="nil"/>
                    <w:tr2bl w:val="nil"/>
                  </w:tcBorders>
                  <w:noWrap w:val="0"/>
                  <w:vAlign w:val="center"/>
                </w:tcPr>
                <w:p w14:paraId="60729D01">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p>
              </w:tc>
              <w:tc>
                <w:tcPr>
                  <w:tcW w:w="721" w:type="pct"/>
                  <w:tcBorders>
                    <w:tl2br w:val="nil"/>
                    <w:tr2bl w:val="nil"/>
                  </w:tcBorders>
                  <w:noWrap w:val="0"/>
                  <w:vAlign w:val="center"/>
                </w:tcPr>
                <w:p w14:paraId="5D0B617C">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snapToGrid w:val="0"/>
                      <w:color w:val="000000" w:themeColor="text1"/>
                      <w:sz w:val="21"/>
                      <w:szCs w:val="21"/>
                      <w:highlight w:val="none"/>
                      <w:vertAlign w:val="baseline"/>
                      <w:lang w:val="en-US" w:eastAsia="zh-CN"/>
                      <w14:textFill>
                        <w14:solidFill>
                          <w14:schemeClr w14:val="tx1"/>
                        </w14:solidFill>
                      </w14:textFill>
                    </w:rPr>
                    <w:t>μg/m</w:t>
                  </w:r>
                  <w:r>
                    <w:rPr>
                      <w:rFonts w:hint="eastAsia" w:ascii="Times New Roman" w:hAnsi="Times New Roman" w:eastAsia="宋体" w:cs="Times New Roman"/>
                      <w:b/>
                      <w:bCs/>
                      <w:snapToGrid w:val="0"/>
                      <w:color w:val="000000" w:themeColor="text1"/>
                      <w:sz w:val="21"/>
                      <w:szCs w:val="21"/>
                      <w:highlight w:val="none"/>
                      <w:vertAlign w:val="superscript"/>
                      <w:lang w:val="en-US" w:eastAsia="zh-CN"/>
                      <w14:textFill>
                        <w14:solidFill>
                          <w14:schemeClr w14:val="tx1"/>
                        </w14:solidFill>
                      </w14:textFill>
                    </w:rPr>
                    <w:t>3</w:t>
                  </w:r>
                </w:p>
              </w:tc>
              <w:tc>
                <w:tcPr>
                  <w:tcW w:w="635" w:type="pct"/>
                  <w:vMerge w:val="continue"/>
                  <w:tcBorders>
                    <w:tl2br w:val="nil"/>
                    <w:tr2bl w:val="nil"/>
                  </w:tcBorders>
                  <w:noWrap w:val="0"/>
                  <w:vAlign w:val="center"/>
                </w:tcPr>
                <w:p w14:paraId="5BBAFAD2">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p>
              </w:tc>
              <w:tc>
                <w:tcPr>
                  <w:tcW w:w="750" w:type="pct"/>
                  <w:vMerge w:val="continue"/>
                  <w:tcBorders>
                    <w:tl2br w:val="nil"/>
                    <w:tr2bl w:val="nil"/>
                  </w:tcBorders>
                  <w:noWrap w:val="0"/>
                  <w:vAlign w:val="center"/>
                </w:tcPr>
                <w:p w14:paraId="1CB30F2C">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p>
              </w:tc>
            </w:tr>
            <w:tr w14:paraId="02F21FC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tcBorders>
                    <w:tl2br w:val="nil"/>
                    <w:tr2bl w:val="nil"/>
                  </w:tcBorders>
                  <w:noWrap w:val="0"/>
                  <w:vAlign w:val="center"/>
                </w:tcPr>
                <w:p w14:paraId="61F09475">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SO</w:t>
                  </w:r>
                  <w:r>
                    <w:rPr>
                      <w:rFonts w:hint="default" w:ascii="Times New Roman" w:hAnsi="Times New Roman" w:eastAsia="宋体" w:cs="Times New Roman"/>
                      <w:snapToGrid w:val="0"/>
                      <w:color w:val="000000" w:themeColor="text1"/>
                      <w:sz w:val="21"/>
                      <w:szCs w:val="21"/>
                      <w:highlight w:val="none"/>
                      <w:vertAlign w:val="subscript"/>
                      <w:lang w:val="en-US" w:eastAsia="zh-CN"/>
                      <w14:textFill>
                        <w14:solidFill>
                          <w14:schemeClr w14:val="tx1"/>
                        </w14:solidFill>
                      </w14:textFill>
                    </w:rPr>
                    <w:t>2</w:t>
                  </w:r>
                </w:p>
              </w:tc>
              <w:tc>
                <w:tcPr>
                  <w:tcW w:w="1261" w:type="pct"/>
                  <w:tcBorders>
                    <w:tl2br w:val="nil"/>
                    <w:tr2bl w:val="nil"/>
                  </w:tcBorders>
                  <w:noWrap w:val="0"/>
                  <w:vAlign w:val="center"/>
                </w:tcPr>
                <w:p w14:paraId="166BE25B">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年平均</w:t>
                  </w:r>
                </w:p>
              </w:tc>
              <w:tc>
                <w:tcPr>
                  <w:tcW w:w="790" w:type="pct"/>
                  <w:tcBorders>
                    <w:tl2br w:val="nil"/>
                    <w:tr2bl w:val="nil"/>
                  </w:tcBorders>
                  <w:noWrap w:val="0"/>
                  <w:vAlign w:val="center"/>
                </w:tcPr>
                <w:p w14:paraId="235C96F0">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7</w:t>
                  </w:r>
                </w:p>
              </w:tc>
              <w:tc>
                <w:tcPr>
                  <w:tcW w:w="721" w:type="pct"/>
                  <w:tcBorders>
                    <w:tl2br w:val="nil"/>
                    <w:tr2bl w:val="nil"/>
                  </w:tcBorders>
                  <w:noWrap w:val="0"/>
                  <w:vAlign w:val="center"/>
                </w:tcPr>
                <w:p w14:paraId="0F958B58">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60</w:t>
                  </w:r>
                </w:p>
              </w:tc>
              <w:tc>
                <w:tcPr>
                  <w:tcW w:w="1131" w:type="dxa"/>
                  <w:tcBorders>
                    <w:tl2br w:val="nil"/>
                    <w:tr2bl w:val="nil"/>
                  </w:tcBorders>
                  <w:noWrap w:val="0"/>
                  <w:vAlign w:val="center"/>
                </w:tcPr>
                <w:p w14:paraId="56010162">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11.67</w:t>
                  </w:r>
                </w:p>
              </w:tc>
              <w:tc>
                <w:tcPr>
                  <w:tcW w:w="750" w:type="pct"/>
                  <w:tcBorders>
                    <w:tl2br w:val="nil"/>
                    <w:tr2bl w:val="nil"/>
                  </w:tcBorders>
                  <w:noWrap w:val="0"/>
                  <w:vAlign w:val="center"/>
                </w:tcPr>
                <w:p w14:paraId="6050C643">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达标</w:t>
                  </w:r>
                </w:p>
              </w:tc>
            </w:tr>
            <w:tr w14:paraId="0359CC2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tcBorders>
                    <w:tl2br w:val="nil"/>
                    <w:tr2bl w:val="nil"/>
                  </w:tcBorders>
                  <w:noWrap w:val="0"/>
                  <w:vAlign w:val="center"/>
                </w:tcPr>
                <w:p w14:paraId="3FCD8660">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NO</w:t>
                  </w:r>
                  <w:r>
                    <w:rPr>
                      <w:rFonts w:hint="default" w:ascii="Times New Roman" w:hAnsi="Times New Roman" w:eastAsia="宋体" w:cs="Times New Roman"/>
                      <w:snapToGrid w:val="0"/>
                      <w:color w:val="000000" w:themeColor="text1"/>
                      <w:sz w:val="21"/>
                      <w:szCs w:val="21"/>
                      <w:highlight w:val="none"/>
                      <w:vertAlign w:val="subscript"/>
                      <w:lang w:val="en-US" w:eastAsia="zh-CN"/>
                      <w14:textFill>
                        <w14:solidFill>
                          <w14:schemeClr w14:val="tx1"/>
                        </w14:solidFill>
                      </w14:textFill>
                    </w:rPr>
                    <w:t>2</w:t>
                  </w:r>
                </w:p>
              </w:tc>
              <w:tc>
                <w:tcPr>
                  <w:tcW w:w="1261" w:type="pct"/>
                  <w:tcBorders>
                    <w:tl2br w:val="nil"/>
                    <w:tr2bl w:val="nil"/>
                  </w:tcBorders>
                  <w:noWrap w:val="0"/>
                  <w:vAlign w:val="center"/>
                </w:tcPr>
                <w:p w14:paraId="5659E8E5">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年平均</w:t>
                  </w:r>
                </w:p>
              </w:tc>
              <w:tc>
                <w:tcPr>
                  <w:tcW w:w="790" w:type="pct"/>
                  <w:tcBorders>
                    <w:tl2br w:val="nil"/>
                    <w:tr2bl w:val="nil"/>
                  </w:tcBorders>
                  <w:noWrap w:val="0"/>
                  <w:vAlign w:val="center"/>
                </w:tcPr>
                <w:p w14:paraId="7592FD4E">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25</w:t>
                  </w:r>
                </w:p>
              </w:tc>
              <w:tc>
                <w:tcPr>
                  <w:tcW w:w="721" w:type="pct"/>
                  <w:tcBorders>
                    <w:tl2br w:val="nil"/>
                    <w:tr2bl w:val="nil"/>
                  </w:tcBorders>
                  <w:noWrap w:val="0"/>
                  <w:vAlign w:val="center"/>
                </w:tcPr>
                <w:p w14:paraId="326FB503">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40</w:t>
                  </w:r>
                </w:p>
              </w:tc>
              <w:tc>
                <w:tcPr>
                  <w:tcW w:w="1131" w:type="dxa"/>
                  <w:tcBorders>
                    <w:tl2br w:val="nil"/>
                    <w:tr2bl w:val="nil"/>
                  </w:tcBorders>
                  <w:noWrap w:val="0"/>
                  <w:vAlign w:val="center"/>
                </w:tcPr>
                <w:p w14:paraId="09DB7947">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62.50</w:t>
                  </w:r>
                </w:p>
              </w:tc>
              <w:tc>
                <w:tcPr>
                  <w:tcW w:w="750" w:type="pct"/>
                  <w:tcBorders>
                    <w:tl2br w:val="nil"/>
                    <w:tr2bl w:val="nil"/>
                  </w:tcBorders>
                  <w:noWrap w:val="0"/>
                  <w:vAlign w:val="center"/>
                </w:tcPr>
                <w:p w14:paraId="08279035">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达标</w:t>
                  </w:r>
                </w:p>
              </w:tc>
            </w:tr>
            <w:tr w14:paraId="1B86E79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tcBorders>
                    <w:tl2br w:val="nil"/>
                    <w:tr2bl w:val="nil"/>
                  </w:tcBorders>
                  <w:noWrap w:val="0"/>
                  <w:vAlign w:val="center"/>
                </w:tcPr>
                <w:p w14:paraId="3BA17551">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CO</w:t>
                  </w:r>
                </w:p>
              </w:tc>
              <w:tc>
                <w:tcPr>
                  <w:tcW w:w="1261" w:type="pct"/>
                  <w:tcBorders>
                    <w:tl2br w:val="nil"/>
                    <w:tr2bl w:val="nil"/>
                  </w:tcBorders>
                  <w:noWrap w:val="0"/>
                  <w:vAlign w:val="center"/>
                </w:tcPr>
                <w:p w14:paraId="4D4BCE9B">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第</w:t>
                  </w: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95</w:t>
                  </w: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百分位数日平均</w:t>
                  </w:r>
                </w:p>
              </w:tc>
              <w:tc>
                <w:tcPr>
                  <w:tcW w:w="790" w:type="pct"/>
                  <w:tcBorders>
                    <w:tl2br w:val="nil"/>
                    <w:tr2bl w:val="nil"/>
                  </w:tcBorders>
                  <w:noWrap w:val="0"/>
                  <w:vAlign w:val="center"/>
                </w:tcPr>
                <w:p w14:paraId="0424ABD9">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1600</w:t>
                  </w:r>
                </w:p>
              </w:tc>
              <w:tc>
                <w:tcPr>
                  <w:tcW w:w="721" w:type="pct"/>
                  <w:tcBorders>
                    <w:tl2br w:val="nil"/>
                    <w:tr2bl w:val="nil"/>
                  </w:tcBorders>
                  <w:noWrap w:val="0"/>
                  <w:vAlign w:val="center"/>
                </w:tcPr>
                <w:p w14:paraId="16A2719A">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4</w:t>
                  </w: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000</w:t>
                  </w:r>
                </w:p>
              </w:tc>
              <w:tc>
                <w:tcPr>
                  <w:tcW w:w="1131" w:type="dxa"/>
                  <w:tcBorders>
                    <w:tl2br w:val="nil"/>
                    <w:tr2bl w:val="nil"/>
                  </w:tcBorders>
                  <w:noWrap w:val="0"/>
                  <w:vAlign w:val="center"/>
                </w:tcPr>
                <w:p w14:paraId="77F61B45">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40.00</w:t>
                  </w:r>
                </w:p>
              </w:tc>
              <w:tc>
                <w:tcPr>
                  <w:tcW w:w="750" w:type="pct"/>
                  <w:tcBorders>
                    <w:tl2br w:val="nil"/>
                    <w:tr2bl w:val="nil"/>
                  </w:tcBorders>
                  <w:noWrap w:val="0"/>
                  <w:vAlign w:val="center"/>
                </w:tcPr>
                <w:p w14:paraId="69FAD0C2">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达标</w:t>
                  </w:r>
                </w:p>
              </w:tc>
            </w:tr>
            <w:tr w14:paraId="4A66D86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tcBorders>
                    <w:tl2br w:val="nil"/>
                    <w:tr2bl w:val="nil"/>
                  </w:tcBorders>
                  <w:noWrap w:val="0"/>
                  <w:vAlign w:val="center"/>
                </w:tcPr>
                <w:p w14:paraId="04538A03">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O</w:t>
                  </w:r>
                  <w:r>
                    <w:rPr>
                      <w:rFonts w:hint="default" w:ascii="Times New Roman" w:hAnsi="Times New Roman" w:eastAsia="宋体" w:cs="Times New Roman"/>
                      <w:snapToGrid w:val="0"/>
                      <w:color w:val="000000" w:themeColor="text1"/>
                      <w:sz w:val="21"/>
                      <w:szCs w:val="21"/>
                      <w:highlight w:val="none"/>
                      <w:vertAlign w:val="subscript"/>
                      <w:lang w:val="en-US" w:eastAsia="zh-CN"/>
                      <w14:textFill>
                        <w14:solidFill>
                          <w14:schemeClr w14:val="tx1"/>
                        </w14:solidFill>
                      </w14:textFill>
                    </w:rPr>
                    <w:t>3</w:t>
                  </w:r>
                </w:p>
              </w:tc>
              <w:tc>
                <w:tcPr>
                  <w:tcW w:w="1261" w:type="pct"/>
                  <w:tcBorders>
                    <w:tl2br w:val="nil"/>
                    <w:tr2bl w:val="nil"/>
                  </w:tcBorders>
                  <w:noWrap w:val="0"/>
                  <w:vAlign w:val="center"/>
                </w:tcPr>
                <w:p w14:paraId="0B4F2D96">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第</w:t>
                  </w: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90</w:t>
                  </w: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百分位数日平均</w:t>
                  </w:r>
                </w:p>
              </w:tc>
              <w:tc>
                <w:tcPr>
                  <w:tcW w:w="790" w:type="pct"/>
                  <w:tcBorders>
                    <w:tl2br w:val="nil"/>
                    <w:tr2bl w:val="nil"/>
                  </w:tcBorders>
                  <w:noWrap w:val="0"/>
                  <w:vAlign w:val="center"/>
                </w:tcPr>
                <w:p w14:paraId="2535E980">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131</w:t>
                  </w:r>
                </w:p>
              </w:tc>
              <w:tc>
                <w:tcPr>
                  <w:tcW w:w="721" w:type="pct"/>
                  <w:tcBorders>
                    <w:tl2br w:val="nil"/>
                    <w:tr2bl w:val="nil"/>
                  </w:tcBorders>
                  <w:noWrap w:val="0"/>
                  <w:vAlign w:val="center"/>
                </w:tcPr>
                <w:p w14:paraId="6803A1BD">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160</w:t>
                  </w:r>
                </w:p>
              </w:tc>
              <w:tc>
                <w:tcPr>
                  <w:tcW w:w="1131" w:type="dxa"/>
                  <w:tcBorders>
                    <w:tl2br w:val="nil"/>
                    <w:tr2bl w:val="nil"/>
                  </w:tcBorders>
                  <w:noWrap w:val="0"/>
                  <w:vAlign w:val="center"/>
                </w:tcPr>
                <w:p w14:paraId="3506B7D2">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81.88</w:t>
                  </w:r>
                </w:p>
              </w:tc>
              <w:tc>
                <w:tcPr>
                  <w:tcW w:w="750" w:type="pct"/>
                  <w:tcBorders>
                    <w:tl2br w:val="nil"/>
                    <w:tr2bl w:val="nil"/>
                  </w:tcBorders>
                  <w:noWrap w:val="0"/>
                  <w:vAlign w:val="center"/>
                </w:tcPr>
                <w:p w14:paraId="2E85B1AF">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达标</w:t>
                  </w:r>
                </w:p>
              </w:tc>
            </w:tr>
            <w:tr w14:paraId="1870B73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tcBorders>
                    <w:tl2br w:val="nil"/>
                    <w:tr2bl w:val="nil"/>
                  </w:tcBorders>
                  <w:noWrap w:val="0"/>
                  <w:vAlign w:val="center"/>
                </w:tcPr>
                <w:p w14:paraId="1F7B9F08">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PM</w:t>
                  </w:r>
                  <w:r>
                    <w:rPr>
                      <w:rFonts w:hint="default" w:ascii="Times New Roman" w:hAnsi="Times New Roman" w:eastAsia="宋体" w:cs="Times New Roman"/>
                      <w:snapToGrid w:val="0"/>
                      <w:color w:val="000000" w:themeColor="text1"/>
                      <w:sz w:val="21"/>
                      <w:szCs w:val="21"/>
                      <w:highlight w:val="none"/>
                      <w:vertAlign w:val="subscript"/>
                      <w:lang w:val="en-US" w:eastAsia="zh-CN"/>
                      <w14:textFill>
                        <w14:solidFill>
                          <w14:schemeClr w14:val="tx1"/>
                        </w14:solidFill>
                      </w14:textFill>
                    </w:rPr>
                    <w:t>10</w:t>
                  </w:r>
                </w:p>
              </w:tc>
              <w:tc>
                <w:tcPr>
                  <w:tcW w:w="1261" w:type="pct"/>
                  <w:tcBorders>
                    <w:tl2br w:val="nil"/>
                    <w:tr2bl w:val="nil"/>
                  </w:tcBorders>
                  <w:noWrap w:val="0"/>
                  <w:vAlign w:val="center"/>
                </w:tcPr>
                <w:p w14:paraId="5E11D1BF">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年平均</w:t>
                  </w:r>
                </w:p>
              </w:tc>
              <w:tc>
                <w:tcPr>
                  <w:tcW w:w="790" w:type="pct"/>
                  <w:tcBorders>
                    <w:tl2br w:val="nil"/>
                    <w:tr2bl w:val="nil"/>
                  </w:tcBorders>
                  <w:noWrap w:val="0"/>
                  <w:vAlign w:val="center"/>
                </w:tcPr>
                <w:p w14:paraId="53EDA2B9">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67</w:t>
                  </w:r>
                </w:p>
              </w:tc>
              <w:tc>
                <w:tcPr>
                  <w:tcW w:w="721" w:type="pct"/>
                  <w:tcBorders>
                    <w:tl2br w:val="nil"/>
                    <w:tr2bl w:val="nil"/>
                  </w:tcBorders>
                  <w:noWrap w:val="0"/>
                  <w:vAlign w:val="center"/>
                </w:tcPr>
                <w:p w14:paraId="76C81E9A">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60</w:t>
                  </w:r>
                </w:p>
              </w:tc>
              <w:tc>
                <w:tcPr>
                  <w:tcW w:w="1131" w:type="dxa"/>
                  <w:tcBorders>
                    <w:tl2br w:val="nil"/>
                    <w:tr2bl w:val="nil"/>
                  </w:tcBorders>
                  <w:noWrap w:val="0"/>
                  <w:vAlign w:val="center"/>
                </w:tcPr>
                <w:p w14:paraId="610ABB26">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111.67</w:t>
                  </w:r>
                </w:p>
              </w:tc>
              <w:tc>
                <w:tcPr>
                  <w:tcW w:w="750" w:type="pct"/>
                  <w:tcBorders>
                    <w:tl2br w:val="nil"/>
                    <w:tr2bl w:val="nil"/>
                  </w:tcBorders>
                  <w:noWrap w:val="0"/>
                  <w:vAlign w:val="center"/>
                </w:tcPr>
                <w:p w14:paraId="0C73EF70">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超标</w:t>
                  </w:r>
                </w:p>
              </w:tc>
            </w:tr>
            <w:tr w14:paraId="33CB249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843" w:type="pct"/>
                  <w:tcBorders>
                    <w:tl2br w:val="nil"/>
                    <w:tr2bl w:val="nil"/>
                  </w:tcBorders>
                  <w:noWrap w:val="0"/>
                  <w:vAlign w:val="center"/>
                </w:tcPr>
                <w:p w14:paraId="208F0315">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PM</w:t>
                  </w:r>
                  <w:r>
                    <w:rPr>
                      <w:rFonts w:hint="default" w:ascii="Times New Roman" w:hAnsi="Times New Roman" w:eastAsia="宋体" w:cs="Times New Roman"/>
                      <w:snapToGrid w:val="0"/>
                      <w:color w:val="000000" w:themeColor="text1"/>
                      <w:sz w:val="21"/>
                      <w:szCs w:val="21"/>
                      <w:highlight w:val="none"/>
                      <w:vertAlign w:val="subscript"/>
                      <w:lang w:val="en-US" w:eastAsia="zh-CN"/>
                      <w14:textFill>
                        <w14:solidFill>
                          <w14:schemeClr w14:val="tx1"/>
                        </w14:solidFill>
                      </w14:textFill>
                    </w:rPr>
                    <w:t>2.5</w:t>
                  </w:r>
                </w:p>
              </w:tc>
              <w:tc>
                <w:tcPr>
                  <w:tcW w:w="1261" w:type="pct"/>
                  <w:tcBorders>
                    <w:tl2br w:val="nil"/>
                    <w:tr2bl w:val="nil"/>
                  </w:tcBorders>
                  <w:noWrap w:val="0"/>
                  <w:vAlign w:val="center"/>
                </w:tcPr>
                <w:p w14:paraId="2E0531F7">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年平均</w:t>
                  </w:r>
                </w:p>
              </w:tc>
              <w:tc>
                <w:tcPr>
                  <w:tcW w:w="790" w:type="pct"/>
                  <w:tcBorders>
                    <w:tl2br w:val="nil"/>
                    <w:tr2bl w:val="nil"/>
                  </w:tcBorders>
                  <w:noWrap w:val="0"/>
                  <w:vAlign w:val="center"/>
                </w:tcPr>
                <w:p w14:paraId="4340CBB4">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37</w:t>
                  </w:r>
                </w:p>
              </w:tc>
              <w:tc>
                <w:tcPr>
                  <w:tcW w:w="721" w:type="pct"/>
                  <w:tcBorders>
                    <w:tl2br w:val="nil"/>
                    <w:tr2bl w:val="nil"/>
                  </w:tcBorders>
                  <w:noWrap w:val="0"/>
                  <w:vAlign w:val="center"/>
                </w:tcPr>
                <w:p w14:paraId="03B61A97">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30</w:t>
                  </w:r>
                </w:p>
              </w:tc>
              <w:tc>
                <w:tcPr>
                  <w:tcW w:w="1131" w:type="dxa"/>
                  <w:tcBorders>
                    <w:tl2br w:val="nil"/>
                    <w:tr2bl w:val="nil"/>
                  </w:tcBorders>
                  <w:noWrap w:val="0"/>
                  <w:vAlign w:val="center"/>
                </w:tcPr>
                <w:p w14:paraId="770E1451">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123.33</w:t>
                  </w:r>
                </w:p>
              </w:tc>
              <w:tc>
                <w:tcPr>
                  <w:tcW w:w="750" w:type="pct"/>
                  <w:tcBorders>
                    <w:tl2br w:val="nil"/>
                    <w:tr2bl w:val="nil"/>
                  </w:tcBorders>
                  <w:noWrap w:val="0"/>
                  <w:vAlign w:val="center"/>
                </w:tcPr>
                <w:p w14:paraId="2C299FA2">
                  <w:pPr>
                    <w:pStyle w:val="6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1"/>
                      <w:szCs w:val="21"/>
                      <w:highlight w:val="none"/>
                      <w:vertAlign w:val="baseline"/>
                      <w:lang w:val="en-US" w:eastAsia="zh-CN"/>
                      <w14:textFill>
                        <w14:solidFill>
                          <w14:schemeClr w14:val="tx1"/>
                        </w14:solidFill>
                      </w14:textFill>
                    </w:rPr>
                    <w:t>超标</w:t>
                  </w:r>
                </w:p>
              </w:tc>
            </w:tr>
          </w:tbl>
          <w:p w14:paraId="55F8C9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cs="Times New Roman"/>
                <w:color w:val="000000" w:themeColor="text1"/>
                <w:sz w:val="24"/>
                <w:szCs w:val="32"/>
                <w:lang w:val="en-US" w:eastAsia="zh-CN"/>
                <w14:textFill>
                  <w14:solidFill>
                    <w14:schemeClr w14:val="tx1"/>
                  </w14:solidFill>
                </w14:textFill>
              </w:rPr>
              <w:t>项目</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所在区域SO</w:t>
            </w:r>
            <w:r>
              <w:rPr>
                <w:rFonts w:hint="default" w:ascii="Times New Roman" w:hAnsi="Times New Roman" w:eastAsia="宋体" w:cs="Times New Roman"/>
                <w:color w:val="000000" w:themeColor="text1"/>
                <w:sz w:val="24"/>
                <w:szCs w:val="32"/>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、NO</w:t>
            </w:r>
            <w:r>
              <w:rPr>
                <w:rFonts w:hint="default" w:ascii="Times New Roman" w:hAnsi="Times New Roman" w:eastAsia="宋体" w:cs="Times New Roman"/>
                <w:color w:val="000000" w:themeColor="text1"/>
                <w:sz w:val="24"/>
                <w:szCs w:val="32"/>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、CO和O</w:t>
            </w:r>
            <w:r>
              <w:rPr>
                <w:rFonts w:hint="default" w:ascii="Times New Roman" w:hAnsi="Times New Roman" w:eastAsia="宋体" w:cs="Times New Roman"/>
                <w:color w:val="000000" w:themeColor="text1"/>
                <w:sz w:val="24"/>
                <w:szCs w:val="32"/>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年平均浓度均满足</w:t>
            </w:r>
            <w:r>
              <w:rPr>
                <w:rFonts w:hint="default" w:ascii="Times New Roman" w:hAnsi="Times New Roman" w:cs="Times New Roman"/>
                <w:color w:val="000000" w:themeColor="text1"/>
                <w:sz w:val="24"/>
                <w:szCs w:val="32"/>
                <w:highlight w:val="none"/>
                <w14:textFill>
                  <w14:solidFill>
                    <w14:schemeClr w14:val="tx1"/>
                  </w14:solidFill>
                </w14:textFill>
              </w:rPr>
              <w:t>《环境空气质量标准》（GB3095-20</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26</w:t>
            </w:r>
            <w:r>
              <w:rPr>
                <w:rFonts w:hint="default" w:ascii="Times New Roman" w:hAnsi="Times New Roman" w:cs="Times New Roman"/>
                <w:color w:val="000000" w:themeColor="text1"/>
                <w:sz w:val="24"/>
                <w:szCs w:val="32"/>
                <w:highlight w:val="none"/>
                <w14:textFill>
                  <w14:solidFill>
                    <w14:schemeClr w14:val="tx1"/>
                  </w14:solidFill>
                </w14:textFill>
              </w:rPr>
              <w:t>）中</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表1过渡阶段浓度限值的</w:t>
            </w:r>
            <w:r>
              <w:rPr>
                <w:rFonts w:hint="default" w:ascii="Times New Roman" w:hAnsi="Times New Roman" w:cs="Times New Roman"/>
                <w:color w:val="000000" w:themeColor="text1"/>
                <w:sz w:val="24"/>
                <w:szCs w:val="32"/>
                <w:highlight w:val="none"/>
                <w14:textFill>
                  <w14:solidFill>
                    <w14:schemeClr w14:val="tx1"/>
                  </w14:solidFill>
                </w14:textFill>
              </w:rPr>
              <w:t>二级标准</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，PM</w:t>
            </w:r>
            <w:r>
              <w:rPr>
                <w:rFonts w:hint="default" w:ascii="Times New Roman" w:hAnsi="Times New Roman" w:eastAsia="宋体" w:cs="Times New Roman"/>
                <w:color w:val="000000" w:themeColor="text1"/>
                <w:sz w:val="24"/>
                <w:szCs w:val="32"/>
                <w:vertAlign w:val="subscript"/>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和PM</w:t>
            </w:r>
            <w:r>
              <w:rPr>
                <w:rFonts w:hint="default" w:ascii="Times New Roman" w:hAnsi="Times New Roman" w:eastAsia="宋体" w:cs="Times New Roman"/>
                <w:color w:val="000000" w:themeColor="text1"/>
                <w:sz w:val="24"/>
                <w:szCs w:val="32"/>
                <w:vertAlign w:val="subscript"/>
                <w:lang w:val="en-US" w:eastAsia="zh-CN"/>
                <w14:textFill>
                  <w14:solidFill>
                    <w14:schemeClr w14:val="tx1"/>
                  </w14:solidFill>
                </w14:textFill>
              </w:rPr>
              <w:t>2.5</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超过</w:t>
            </w:r>
            <w:r>
              <w:rPr>
                <w:rFonts w:hint="default" w:ascii="Times New Roman" w:hAnsi="Times New Roman" w:cs="Times New Roman"/>
                <w:color w:val="000000" w:themeColor="text1"/>
                <w:sz w:val="24"/>
                <w:szCs w:val="32"/>
                <w:highlight w:val="none"/>
                <w14:textFill>
                  <w14:solidFill>
                    <w14:schemeClr w14:val="tx1"/>
                  </w14:solidFill>
                </w14:textFill>
              </w:rPr>
              <w:t>《环境空气质量标准》（GB3095-20</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26</w:t>
            </w:r>
            <w:r>
              <w:rPr>
                <w:rFonts w:hint="default" w:ascii="Times New Roman" w:hAnsi="Times New Roman" w:cs="Times New Roman"/>
                <w:color w:val="000000" w:themeColor="text1"/>
                <w:sz w:val="24"/>
                <w:szCs w:val="32"/>
                <w:highlight w:val="none"/>
                <w14:textFill>
                  <w14:solidFill>
                    <w14:schemeClr w14:val="tx1"/>
                  </w14:solidFill>
                </w14:textFill>
              </w:rPr>
              <w:t>）中</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表1过渡阶段浓度限值的</w:t>
            </w:r>
            <w:r>
              <w:rPr>
                <w:rFonts w:hint="default" w:ascii="Times New Roman" w:hAnsi="Times New Roman" w:cs="Times New Roman"/>
                <w:color w:val="000000" w:themeColor="text1"/>
                <w:sz w:val="24"/>
                <w:szCs w:val="32"/>
                <w:highlight w:val="none"/>
                <w14:textFill>
                  <w14:solidFill>
                    <w14:schemeClr w14:val="tx1"/>
                  </w14:solidFill>
                </w14:textFill>
              </w:rPr>
              <w:t>二级标准</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要求，本项目所在区域为不达标区域。</w:t>
            </w:r>
          </w:p>
          <w:p w14:paraId="0AA4B63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32"/>
                <w:highlight w:val="none"/>
                <w:lang w:val="en-US" w:eastAsia="zh-CN"/>
                <w14:textFill>
                  <w14:solidFill>
                    <w14:schemeClr w14:val="tx1"/>
                  </w14:solidFill>
                </w14:textFill>
              </w:rPr>
              <w:t>1.2其他污染物达标情况</w:t>
            </w:r>
          </w:p>
          <w:p w14:paraId="057CCBF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32"/>
                <w:highlight w:val="none"/>
                <w14:textFill>
                  <w14:solidFill>
                    <w14:schemeClr w14:val="tx1"/>
                  </w14:solidFill>
                </w14:textFill>
              </w:rPr>
              <w:t>1）数据来源</w:t>
            </w:r>
          </w:p>
          <w:p w14:paraId="7A701A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对环境空气其他污染因子采用补充监测法，由</w:t>
            </w:r>
            <w:r>
              <w:rPr>
                <w:rFonts w:hint="default" w:ascii="Times New Roman" w:hAnsi="Times New Roman" w:eastAsia="宋体" w:cs="Times New Roman"/>
                <w:color w:val="000000" w:themeColor="text1"/>
                <w:sz w:val="24"/>
                <w:highlight w:val="none"/>
                <w14:textFill>
                  <w14:solidFill>
                    <w14:schemeClr w14:val="tx1"/>
                  </w14:solidFill>
                </w14:textFill>
              </w:rPr>
              <w:t>新疆科霖检测技术服务有限公司</w:t>
            </w:r>
            <w:r>
              <w:rPr>
                <w:rFonts w:hint="default" w:ascii="Times New Roman" w:hAnsi="Times New Roman" w:eastAsia="宋体" w:cs="Times New Roman"/>
                <w:color w:val="000000" w:themeColor="text1"/>
                <w:sz w:val="24"/>
                <w:szCs w:val="32"/>
                <w:highlight w:val="none"/>
                <w14:textFill>
                  <w14:solidFill>
                    <w14:schemeClr w14:val="tx1"/>
                  </w14:solidFill>
                </w14:textFill>
              </w:rPr>
              <w:t>进行现场监测。</w:t>
            </w:r>
          </w:p>
          <w:p w14:paraId="6AD7460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32"/>
                <w:highlight w:val="none"/>
                <w14:textFill>
                  <w14:solidFill>
                    <w14:schemeClr w14:val="tx1"/>
                  </w14:solidFill>
                </w14:textFill>
              </w:rPr>
              <w:t>2）评价方法</w:t>
            </w:r>
          </w:p>
          <w:p w14:paraId="0F5491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取各污染物不同评价时段监测浓度的最大值，作为评价范围内环境空气保护目标及网格点环境质量现状浓度，采用单因子污染指数法进行评价。对于超标的，计算其超标倍数和超标率。</w:t>
            </w:r>
          </w:p>
          <w:p w14:paraId="2818791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单因子污染指数法公式：</w:t>
            </w:r>
          </w:p>
          <w:p w14:paraId="6D05BB9C">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center"/>
              <w:textAlignment w:val="auto"/>
              <w:rPr>
                <w:rFonts w:hint="default" w:ascii="Times New Roman" w:hAnsi="Times New Roman" w:cs="Times New Roman"/>
                <w:color w:val="000000" w:themeColor="text1"/>
                <w:sz w:val="24"/>
                <w:szCs w:val="32"/>
                <w:highlight w:val="none"/>
                <w14:textFill>
                  <w14:solidFill>
                    <w14:schemeClr w14:val="tx1"/>
                  </w14:solidFill>
                </w14:textFill>
              </w:rPr>
            </w:pPr>
            <w:r>
              <w:rPr>
                <w:rFonts w:hint="default" w:ascii="Times New Roman" w:hAnsi="Times New Roman" w:cs="Times New Roman"/>
                <w:color w:val="000000" w:themeColor="text1"/>
                <w:position w:val="-6"/>
                <w:sz w:val="24"/>
                <w:szCs w:val="32"/>
                <w:highlight w:val="none"/>
                <w14:textFill>
                  <w14:solidFill>
                    <w14:schemeClr w14:val="tx1"/>
                  </w14:solidFill>
                </w14:textFill>
              </w:rPr>
              <w:object>
                <v:shape id="_x0000_i1034" o:spt="75" type="#_x0000_t75" style="height:15.75pt;width:102.7pt;" o:ole="t" filled="f" o:preferrelative="t" stroked="f" coordsize="21600,21600">
                  <v:path/>
                  <v:fill on="f" focussize="0,0"/>
                  <v:stroke on="f"/>
                  <v:imagedata r:id="rId16" o:title=""/>
                  <o:lock v:ext="edit" aspectratio="t"/>
                  <w10:wrap type="none"/>
                  <w10:anchorlock/>
                </v:shape>
                <o:OLEObject Type="Embed" ProgID="Equation.3" ShapeID="_x0000_i1034" DrawAspect="Content" ObjectID="_1468075732" r:id="rId17">
                  <o:LockedField>false</o:LockedField>
                </o:OLEObject>
              </w:object>
            </w:r>
          </w:p>
          <w:p w14:paraId="7E343104">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cs="Times New Roman"/>
                <w:color w:val="000000" w:themeColor="text1"/>
                <w:sz w:val="24"/>
                <w:szCs w:val="32"/>
                <w:highlight w:val="none"/>
                <w14:textFill>
                  <w14:solidFill>
                    <w14:schemeClr w14:val="tx1"/>
                  </w14:solidFill>
                </w14:textFill>
              </w:rPr>
            </w:pPr>
            <w:r>
              <w:rPr>
                <w:rFonts w:hint="default" w:ascii="Times New Roman" w:hAnsi="Times New Roman" w:cs="Times New Roman"/>
                <w:color w:val="000000" w:themeColor="text1"/>
                <w:sz w:val="24"/>
                <w:szCs w:val="32"/>
                <w:highlight w:val="none"/>
                <w14:textFill>
                  <w14:solidFill>
                    <w14:schemeClr w14:val="tx1"/>
                  </w14:solidFill>
                </w14:textFill>
              </w:rPr>
              <w:t>式中：Pi—某种污染物的最大地面质量浓度占标率，%；</w:t>
            </w:r>
          </w:p>
          <w:p w14:paraId="5F67EE38">
            <w:pPr>
              <w:keepNext w:val="0"/>
              <w:keepLines w:val="0"/>
              <w:pageBreakBefore w:val="0"/>
              <w:widowControl w:val="0"/>
              <w:kinsoku/>
              <w:wordWrap/>
              <w:overflowPunct/>
              <w:topLinePunct w:val="0"/>
              <w:autoSpaceDE/>
              <w:autoSpaceDN/>
              <w:bidi w:val="0"/>
              <w:adjustRightInd w:val="0"/>
              <w:snapToGrid w:val="0"/>
              <w:spacing w:line="360" w:lineRule="auto"/>
              <w:ind w:left="0" w:right="0" w:firstLine="1200" w:firstLineChars="500"/>
              <w:textAlignment w:val="auto"/>
              <w:rPr>
                <w:rFonts w:hint="default" w:ascii="Times New Roman" w:hAnsi="Times New Roman" w:cs="Times New Roman"/>
                <w:color w:val="000000" w:themeColor="text1"/>
                <w:sz w:val="24"/>
                <w:szCs w:val="32"/>
                <w:highlight w:val="none"/>
                <w14:textFill>
                  <w14:solidFill>
                    <w14:schemeClr w14:val="tx1"/>
                  </w14:solidFill>
                </w14:textFill>
              </w:rPr>
            </w:pPr>
            <w:r>
              <w:rPr>
                <w:rFonts w:hint="default" w:ascii="Times New Roman" w:hAnsi="Times New Roman" w:cs="Times New Roman"/>
                <w:color w:val="000000" w:themeColor="text1"/>
                <w:sz w:val="24"/>
                <w:szCs w:val="32"/>
                <w:highlight w:val="none"/>
                <w14:textFill>
                  <w14:solidFill>
                    <w14:schemeClr w14:val="tx1"/>
                  </w14:solidFill>
                </w14:textFill>
              </w:rPr>
              <w:t>Ci—某种污染物的实际监测浓度，mg/m</w:t>
            </w:r>
            <w:r>
              <w:rPr>
                <w:rFonts w:hint="default" w:ascii="Times New Roman" w:hAnsi="Times New Roman" w:cs="Times New Roman"/>
                <w:color w:val="000000" w:themeColor="text1"/>
                <w:sz w:val="24"/>
                <w:szCs w:val="32"/>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32"/>
                <w:highlight w:val="none"/>
                <w14:textFill>
                  <w14:solidFill>
                    <w14:schemeClr w14:val="tx1"/>
                  </w14:solidFill>
                </w14:textFill>
              </w:rPr>
              <w:t>；</w:t>
            </w:r>
          </w:p>
          <w:p w14:paraId="59AE472E">
            <w:pPr>
              <w:keepNext w:val="0"/>
              <w:keepLines w:val="0"/>
              <w:pageBreakBefore w:val="0"/>
              <w:widowControl w:val="0"/>
              <w:kinsoku/>
              <w:wordWrap/>
              <w:overflowPunct/>
              <w:topLinePunct w:val="0"/>
              <w:autoSpaceDE/>
              <w:autoSpaceDN/>
              <w:bidi w:val="0"/>
              <w:adjustRightInd w:val="0"/>
              <w:snapToGrid w:val="0"/>
              <w:spacing w:line="360" w:lineRule="auto"/>
              <w:ind w:left="0" w:right="0" w:firstLine="1200" w:firstLineChars="500"/>
              <w:textAlignment w:val="auto"/>
              <w:rPr>
                <w:rFonts w:hint="default" w:ascii="Times New Roman" w:hAnsi="Times New Roman" w:cs="Times New Roman"/>
                <w:color w:val="000000" w:themeColor="text1"/>
                <w:sz w:val="24"/>
                <w:szCs w:val="32"/>
                <w:highlight w:val="none"/>
                <w14:textFill>
                  <w14:solidFill>
                    <w14:schemeClr w14:val="tx1"/>
                  </w14:solidFill>
                </w14:textFill>
              </w:rPr>
            </w:pPr>
            <w:r>
              <w:rPr>
                <w:rFonts w:hint="default" w:ascii="Times New Roman" w:hAnsi="Times New Roman" w:cs="Times New Roman"/>
                <w:color w:val="000000" w:themeColor="text1"/>
                <w:sz w:val="24"/>
                <w:szCs w:val="32"/>
                <w:highlight w:val="none"/>
                <w14:textFill>
                  <w14:solidFill>
                    <w14:schemeClr w14:val="tx1"/>
                  </w14:solidFill>
                </w14:textFill>
              </w:rPr>
              <w:t>Coi—某种污染物的环境空气标准浓度，mg/m</w:t>
            </w:r>
            <w:r>
              <w:rPr>
                <w:rFonts w:hint="default" w:ascii="Times New Roman" w:hAnsi="Times New Roman" w:cs="Times New Roman"/>
                <w:color w:val="000000" w:themeColor="text1"/>
                <w:sz w:val="24"/>
                <w:szCs w:val="32"/>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32"/>
                <w:highlight w:val="none"/>
                <w14:textFill>
                  <w14:solidFill>
                    <w14:schemeClr w14:val="tx1"/>
                  </w14:solidFill>
                </w14:textFill>
              </w:rPr>
              <w:t>。</w:t>
            </w:r>
          </w:p>
          <w:p w14:paraId="6E46FA6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32"/>
                <w:highlight w:val="none"/>
                <w14:textFill>
                  <w14:solidFill>
                    <w14:schemeClr w14:val="tx1"/>
                  </w14:solidFill>
                </w14:textFill>
              </w:rPr>
              <w:t>3）监测方案</w:t>
            </w:r>
          </w:p>
          <w:p w14:paraId="3FC1C08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lang w:val="en-US"/>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监测项目：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TSP</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379A682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监测布点：</w:t>
            </w:r>
          </w:p>
          <w:p w14:paraId="23FEED1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lang w:val="en-US"/>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共设置2个监测点：1#监测点位于项目区主导风向下风向（项目区东北侧）；2#监测点位于红柳塘村四队。</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现状监测布点图见附</w:t>
            </w:r>
            <w:r>
              <w:rPr>
                <w:rFonts w:hint="default" w:ascii="Times New Roman" w:hAnsi="Times New Roman" w:eastAsia="宋体" w:cs="Times New Roman"/>
                <w:color w:val="000000" w:themeColor="text1"/>
                <w:sz w:val="24"/>
                <w:szCs w:val="32"/>
                <w:highlight w:val="none"/>
                <w:lang w:val="en-US" w:eastAsia="zh-CN"/>
                <w14:textFill>
                  <w14:solidFill>
                    <w14:schemeClr w14:val="tx1"/>
                  </w14:solidFill>
                </w14:textFill>
              </w:rPr>
              <w:t>图</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7。</w:t>
            </w:r>
          </w:p>
          <w:p w14:paraId="2951186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监测时间及频率：连续3天（202</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32"/>
                <w:highlight w:val="none"/>
                <w14:textFill>
                  <w14:solidFill>
                    <w14:schemeClr w14:val="tx1"/>
                  </w14:solidFill>
                </w14:textFill>
              </w:rPr>
              <w:t>年</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32"/>
                <w:highlight w:val="none"/>
                <w14:textFill>
                  <w14:solidFill>
                    <w14:schemeClr w14:val="tx1"/>
                  </w14:solidFill>
                </w14:textFill>
              </w:rPr>
              <w:t>月</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14</w:t>
            </w:r>
            <w:r>
              <w:rPr>
                <w:rFonts w:hint="default" w:ascii="Times New Roman" w:hAnsi="Times New Roman" w:eastAsia="宋体" w:cs="Times New Roman"/>
                <w:color w:val="000000" w:themeColor="text1"/>
                <w:sz w:val="24"/>
                <w:szCs w:val="32"/>
                <w:highlight w:val="none"/>
                <w14:textFill>
                  <w14:solidFill>
                    <w14:schemeClr w14:val="tx1"/>
                  </w14:solidFill>
                </w14:textFill>
              </w:rPr>
              <w:t>日~202</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32"/>
                <w:highlight w:val="none"/>
                <w14:textFill>
                  <w14:solidFill>
                    <w14:schemeClr w14:val="tx1"/>
                  </w14:solidFill>
                </w14:textFill>
              </w:rPr>
              <w:t>年</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32"/>
                <w:highlight w:val="none"/>
                <w14:textFill>
                  <w14:solidFill>
                    <w14:schemeClr w14:val="tx1"/>
                  </w14:solidFill>
                </w14:textFill>
              </w:rPr>
              <w:t>月</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17</w:t>
            </w:r>
            <w:r>
              <w:rPr>
                <w:rFonts w:hint="default" w:ascii="Times New Roman" w:hAnsi="Times New Roman" w:eastAsia="宋体" w:cs="Times New Roman"/>
                <w:color w:val="000000" w:themeColor="text1"/>
                <w:sz w:val="24"/>
                <w:szCs w:val="32"/>
                <w:highlight w:val="none"/>
                <w14:textFill>
                  <w14:solidFill>
                    <w14:schemeClr w14:val="tx1"/>
                  </w14:solidFill>
                </w14:textFill>
              </w:rPr>
              <w:t>日），日均值或小时值，连续采样24h，监测同时记录风速、风向、气温、气压和天气状况等常规气象要素。</w:t>
            </w:r>
          </w:p>
          <w:p w14:paraId="029F0D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32"/>
                <w:highlight w:val="none"/>
                <w14:textFill>
                  <w14:solidFill>
                    <w14:schemeClr w14:val="tx1"/>
                  </w14:solidFill>
                </w14:textFill>
              </w:rPr>
              <w:t>采样及监测方法：环境空气监测中的采样点、采样环境、采样高度及采样频率的要求，按《环境监测技术规范》（大气部分）执行，分析方法按《环境监测技术规范》（大气部分）有关规定和要求执行。</w:t>
            </w:r>
          </w:p>
          <w:p w14:paraId="014AF7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szCs w:val="32"/>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32"/>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32"/>
                <w:highlight w:val="none"/>
                <w:lang w:eastAsia="zh-CN"/>
                <w14:textFill>
                  <w14:solidFill>
                    <w14:schemeClr w14:val="tx1"/>
                  </w14:solidFill>
                </w14:textFill>
              </w:rPr>
              <w:t>监测结果与评价</w:t>
            </w:r>
          </w:p>
          <w:p w14:paraId="44FF36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32"/>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32"/>
                <w:highlight w:val="none"/>
                <w:lang w:eastAsia="zh-CN"/>
                <w14:textFill>
                  <w14:solidFill>
                    <w14:schemeClr w14:val="tx1"/>
                  </w14:solidFill>
                </w14:textFill>
              </w:rPr>
              <w:t>监测结果见下表：</w:t>
            </w:r>
          </w:p>
          <w:p w14:paraId="0D05DE4D">
            <w:pPr>
              <w:widowControl/>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表3-</w:t>
            </w:r>
            <w:r>
              <w:rPr>
                <w:rFonts w:hint="eastAsia"/>
                <w:b/>
                <w:bCs/>
                <w:color w:val="000000" w:themeColor="text1"/>
                <w:szCs w:val="21"/>
                <w:highlight w:val="none"/>
                <w:lang w:val="en-US" w:eastAsia="zh-CN"/>
                <w14:textFill>
                  <w14:solidFill>
                    <w14:schemeClr w14:val="tx1"/>
                  </w14:solidFill>
                </w14:textFill>
              </w:rPr>
              <w:t>2</w:t>
            </w:r>
            <w:r>
              <w:rPr>
                <w:b/>
                <w:bCs/>
                <w:color w:val="000000" w:themeColor="text1"/>
                <w:szCs w:val="21"/>
                <w:highlight w:val="none"/>
                <w14:textFill>
                  <w14:solidFill>
                    <w14:schemeClr w14:val="tx1"/>
                  </w14:solidFill>
                </w14:textFill>
              </w:rPr>
              <w:t xml:space="preserve">    TSP监测结果一览表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834"/>
              <w:gridCol w:w="2830"/>
              <w:gridCol w:w="2310"/>
            </w:tblGrid>
            <w:tr w14:paraId="72745B2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777" w:type="pct"/>
                  <w:vMerge w:val="restart"/>
                  <w:tcBorders>
                    <w:tl2br w:val="nil"/>
                    <w:tr2bl w:val="nil"/>
                  </w:tcBorders>
                  <w:noWrap w:val="0"/>
                  <w:vAlign w:val="center"/>
                </w:tcPr>
                <w:p w14:paraId="6A2C70C2">
                  <w:pPr>
                    <w:ind w:left="-105" w:leftChars="-50" w:right="-105" w:rightChars="-5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采样点位</w:t>
                  </w:r>
                </w:p>
              </w:tc>
              <w:tc>
                <w:tcPr>
                  <w:tcW w:w="3222" w:type="pct"/>
                  <w:gridSpan w:val="2"/>
                  <w:tcBorders>
                    <w:tl2br w:val="nil"/>
                    <w:tr2bl w:val="nil"/>
                  </w:tcBorders>
                  <w:noWrap w:val="0"/>
                  <w:vAlign w:val="center"/>
                </w:tcPr>
                <w:p w14:paraId="2051118B">
                  <w:pPr>
                    <w:autoSpaceDE w:val="0"/>
                    <w:autoSpaceDN w:val="0"/>
                    <w:ind w:left="-105" w:leftChars="-50" w:right="-105" w:rightChars="-5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TSP</w:t>
                  </w:r>
                </w:p>
              </w:tc>
            </w:tr>
            <w:tr w14:paraId="3E3E14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777" w:type="pct"/>
                  <w:vMerge w:val="continue"/>
                  <w:tcBorders>
                    <w:tl2br w:val="nil"/>
                    <w:tr2bl w:val="nil"/>
                  </w:tcBorders>
                  <w:noWrap w:val="0"/>
                  <w:vAlign w:val="center"/>
                </w:tcPr>
                <w:p w14:paraId="794394C6">
                  <w:pPr>
                    <w:ind w:left="-105" w:leftChars="-50" w:right="-105" w:rightChars="-50"/>
                    <w:jc w:val="center"/>
                    <w:rPr>
                      <w:b/>
                      <w:bCs/>
                      <w:color w:val="000000" w:themeColor="text1"/>
                      <w:szCs w:val="21"/>
                      <w:highlight w:val="none"/>
                      <w14:textFill>
                        <w14:solidFill>
                          <w14:schemeClr w14:val="tx1"/>
                        </w14:solidFill>
                      </w14:textFill>
                    </w:rPr>
                  </w:pPr>
                </w:p>
              </w:tc>
              <w:tc>
                <w:tcPr>
                  <w:tcW w:w="1774" w:type="pct"/>
                  <w:tcBorders>
                    <w:tl2br w:val="nil"/>
                    <w:tr2bl w:val="nil"/>
                  </w:tcBorders>
                  <w:noWrap w:val="0"/>
                  <w:vAlign w:val="center"/>
                </w:tcPr>
                <w:p w14:paraId="18F343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监测浓度范围（μg/m</w:t>
                  </w:r>
                  <w:r>
                    <w:rPr>
                      <w:rFonts w:hint="default" w:ascii="Times New Roman" w:hAnsi="Times New Roman" w:eastAsia="宋体" w:cs="Times New Roman"/>
                      <w:b/>
                      <w:bCs/>
                      <w:color w:val="000000" w:themeColor="text1"/>
                      <w:sz w:val="21"/>
                      <w:szCs w:val="21"/>
                      <w:highlight w:val="none"/>
                      <w:vertAlign w:val="superscript"/>
                      <w:lang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c>
                <w:tcPr>
                  <w:tcW w:w="1448" w:type="pct"/>
                  <w:tcBorders>
                    <w:tl2br w:val="nil"/>
                    <w:tr2bl w:val="nil"/>
                  </w:tcBorders>
                  <w:noWrap w:val="0"/>
                  <w:vAlign w:val="center"/>
                </w:tcPr>
                <w:p w14:paraId="3936A5AE">
                  <w:pPr>
                    <w:autoSpaceDE w:val="0"/>
                    <w:autoSpaceDN w:val="0"/>
                    <w:ind w:left="-105" w:leftChars="-50" w:right="-105" w:rightChars="-50"/>
                    <w:jc w:val="center"/>
                    <w:rPr>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最大浓度占标率</w:t>
                  </w: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r>
            <w:tr w14:paraId="58CB13B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777" w:type="pct"/>
                  <w:tcBorders>
                    <w:tl2br w:val="nil"/>
                    <w:tr2bl w:val="nil"/>
                  </w:tcBorders>
                  <w:noWrap w:val="0"/>
                  <w:vAlign w:val="center"/>
                </w:tcPr>
                <w:p w14:paraId="5F92C014">
                  <w:pPr>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default" w:eastAsia="宋体"/>
                      <w:color w:val="000000" w:themeColor="text1"/>
                      <w:szCs w:val="21"/>
                      <w:highlight w:val="none"/>
                      <w:lang w:val="en-US" w:eastAsia="zh-CN"/>
                      <w14:textFill>
                        <w14:solidFill>
                          <w14:schemeClr w14:val="tx1"/>
                        </w14:solidFill>
                      </w14:textFill>
                    </w:rPr>
                    <w:t>项目区东北侧1#</w:t>
                  </w:r>
                </w:p>
              </w:tc>
              <w:tc>
                <w:tcPr>
                  <w:tcW w:w="1774" w:type="pct"/>
                  <w:tcBorders>
                    <w:tl2br w:val="nil"/>
                    <w:tr2bl w:val="nil"/>
                  </w:tcBorders>
                  <w:noWrap w:val="0"/>
                  <w:vAlign w:val="center"/>
                </w:tcPr>
                <w:p w14:paraId="228A9739">
                  <w:pPr>
                    <w:ind w:left="-105" w:leftChars="-50" w:right="-105" w:rightChars="-5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87</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121</w:t>
                  </w:r>
                </w:p>
              </w:tc>
              <w:tc>
                <w:tcPr>
                  <w:tcW w:w="1448" w:type="pct"/>
                  <w:tcBorders>
                    <w:tl2br w:val="nil"/>
                    <w:tr2bl w:val="nil"/>
                  </w:tcBorders>
                  <w:noWrap w:val="0"/>
                  <w:vAlign w:val="center"/>
                </w:tcPr>
                <w:p w14:paraId="4450FF24">
                  <w:pPr>
                    <w:ind w:left="-105" w:leftChars="-50" w:right="-105" w:rightChars="-5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29.00～40.33</w:t>
                  </w:r>
                </w:p>
              </w:tc>
            </w:tr>
            <w:tr w14:paraId="01B586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777" w:type="pct"/>
                  <w:tcBorders>
                    <w:tl2br w:val="nil"/>
                    <w:tr2bl w:val="nil"/>
                  </w:tcBorders>
                  <w:noWrap w:val="0"/>
                  <w:vAlign w:val="center"/>
                </w:tcPr>
                <w:p w14:paraId="59881D42">
                  <w:pPr>
                    <w:ind w:left="-105" w:leftChars="-50" w:right="-105" w:rightChars="-50"/>
                    <w:jc w:val="center"/>
                    <w:rPr>
                      <w:rFonts w:hint="default" w:eastAsia="宋体"/>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红柳塘村四队2#</w:t>
                  </w:r>
                </w:p>
              </w:tc>
              <w:tc>
                <w:tcPr>
                  <w:tcW w:w="1774" w:type="pct"/>
                  <w:tcBorders>
                    <w:tl2br w:val="nil"/>
                    <w:tr2bl w:val="nil"/>
                  </w:tcBorders>
                  <w:noWrap w:val="0"/>
                  <w:vAlign w:val="center"/>
                </w:tcPr>
                <w:p w14:paraId="768B0A68">
                  <w:pPr>
                    <w:ind w:left="-105" w:leftChars="-50" w:right="-105" w:rightChars="-5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98</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139</w:t>
                  </w:r>
                </w:p>
              </w:tc>
              <w:tc>
                <w:tcPr>
                  <w:tcW w:w="1448" w:type="pct"/>
                  <w:tcBorders>
                    <w:tl2br w:val="nil"/>
                    <w:tr2bl w:val="nil"/>
                  </w:tcBorders>
                  <w:noWrap w:val="0"/>
                  <w:vAlign w:val="center"/>
                </w:tcPr>
                <w:p w14:paraId="2BBBD791">
                  <w:pPr>
                    <w:ind w:left="-105" w:leftChars="-50" w:right="-105" w:rightChars="-50"/>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32.67～46.33</w:t>
                  </w:r>
                </w:p>
              </w:tc>
            </w:tr>
            <w:tr w14:paraId="52FAD1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777" w:type="pct"/>
                  <w:tcBorders>
                    <w:tl2br w:val="nil"/>
                    <w:tr2bl w:val="nil"/>
                  </w:tcBorders>
                  <w:noWrap w:val="0"/>
                  <w:vAlign w:val="center"/>
                </w:tcPr>
                <w:p w14:paraId="76F4778C">
                  <w:pPr>
                    <w:ind w:left="-105" w:leftChars="-50" w:right="-105" w:rightChar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评价标准（</w:t>
                  </w:r>
                  <w:r>
                    <w:rPr>
                      <w:rFonts w:hint="default" w:ascii="Times New Roman" w:hAnsi="Times New Roman" w:cs="Times New Roman"/>
                      <w:color w:val="000000" w:themeColor="text1"/>
                      <w:szCs w:val="21"/>
                      <w:highlight w:val="none"/>
                      <w14:textFill>
                        <w14:solidFill>
                          <w14:schemeClr w14:val="tx1"/>
                        </w14:solidFill>
                      </w14:textFill>
                    </w:rPr>
                    <w:t>μ</w:t>
                  </w:r>
                  <w:r>
                    <w:rPr>
                      <w:color w:val="000000" w:themeColor="text1"/>
                      <w:szCs w:val="21"/>
                      <w:highlight w:val="none"/>
                      <w14:textFill>
                        <w14:solidFill>
                          <w14:schemeClr w14:val="tx1"/>
                        </w14:solidFill>
                      </w14:textFill>
                    </w:rPr>
                    <w:t>g/m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w:t>
                  </w:r>
                </w:p>
              </w:tc>
              <w:tc>
                <w:tcPr>
                  <w:tcW w:w="3222" w:type="pct"/>
                  <w:gridSpan w:val="2"/>
                  <w:tcBorders>
                    <w:tl2br w:val="nil"/>
                    <w:tr2bl w:val="nil"/>
                  </w:tcBorders>
                  <w:noWrap w:val="0"/>
                  <w:vAlign w:val="center"/>
                </w:tcPr>
                <w:p w14:paraId="29B145EF">
                  <w:pPr>
                    <w:widowControl/>
                    <w:ind w:left="-105" w:leftChars="-50" w:right="-105" w:rightChars="-50"/>
                    <w:jc w:val="center"/>
                    <w:textAlignment w:val="center"/>
                    <w:rPr>
                      <w:rFonts w:hint="default" w:eastAsia="宋体"/>
                      <w:color w:val="000000" w:themeColor="text1"/>
                      <w:kern w:val="0"/>
                      <w:szCs w:val="21"/>
                      <w:highlight w:val="none"/>
                      <w:lang w:val="en-US" w:eastAsia="zh-CN" w:bidi="ar"/>
                      <w14:textFill>
                        <w14:solidFill>
                          <w14:schemeClr w14:val="tx1"/>
                        </w14:solidFill>
                      </w14:textFill>
                    </w:rPr>
                  </w:pPr>
                  <w:r>
                    <w:rPr>
                      <w:rFonts w:hint="eastAsia"/>
                      <w:color w:val="000000" w:themeColor="text1"/>
                      <w:kern w:val="0"/>
                      <w:szCs w:val="21"/>
                      <w:highlight w:val="none"/>
                      <w:lang w:val="en-US" w:eastAsia="zh-CN" w:bidi="ar"/>
                      <w14:textFill>
                        <w14:solidFill>
                          <w14:schemeClr w14:val="tx1"/>
                        </w14:solidFill>
                      </w14:textFill>
                    </w:rPr>
                    <w:t>300</w:t>
                  </w:r>
                </w:p>
              </w:tc>
            </w:tr>
          </w:tbl>
          <w:p w14:paraId="6DCF90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color w:val="000000" w:themeColor="text1"/>
                <w:sz w:val="24"/>
                <w:highlight w:val="none"/>
                <w14:textFill>
                  <w14:solidFill>
                    <w14:schemeClr w14:val="tx1"/>
                  </w14:solidFill>
                </w14:textFill>
              </w:rPr>
              <w:t>根据监测数据分析可知，本项目所在区域TSP监测浓度满足</w:t>
            </w:r>
            <w:r>
              <w:rPr>
                <w:rFonts w:hint="default" w:ascii="Times New Roman" w:hAnsi="Times New Roman" w:cs="Times New Roman"/>
                <w:color w:val="000000" w:themeColor="text1"/>
                <w:sz w:val="24"/>
                <w:szCs w:val="32"/>
                <w:highlight w:val="none"/>
                <w14:textFill>
                  <w14:solidFill>
                    <w14:schemeClr w14:val="tx1"/>
                  </w14:solidFill>
                </w14:textFill>
              </w:rPr>
              <w:t>《环境空气质量标准》（GB3095-20</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26</w:t>
            </w:r>
            <w:r>
              <w:rPr>
                <w:rFonts w:hint="default" w:ascii="Times New Roman" w:hAnsi="Times New Roman" w:cs="Times New Roman"/>
                <w:color w:val="000000" w:themeColor="text1"/>
                <w:sz w:val="24"/>
                <w:szCs w:val="32"/>
                <w:highlight w:val="none"/>
                <w14:textFill>
                  <w14:solidFill>
                    <w14:schemeClr w14:val="tx1"/>
                  </w14:solidFill>
                </w14:textFill>
              </w:rPr>
              <w:t>）</w:t>
            </w:r>
            <w:r>
              <w:rPr>
                <w:rFonts w:hint="eastAsia" w:ascii="Times New Roman" w:hAnsi="Times New Roman" w:cs="Times New Roman"/>
                <w:color w:val="000000" w:themeColor="text1"/>
                <w:sz w:val="24"/>
                <w:szCs w:val="32"/>
                <w:highlight w:val="none"/>
                <w:lang w:val="en-US" w:eastAsia="zh-CN"/>
                <w14:textFill>
                  <w14:solidFill>
                    <w14:schemeClr w14:val="tx1"/>
                  </w14:solidFill>
                </w14:textFill>
              </w:rPr>
              <w:t>表2</w:t>
            </w:r>
            <w:r>
              <w:rPr>
                <w:color w:val="000000" w:themeColor="text1"/>
                <w:sz w:val="24"/>
                <w:highlight w:val="none"/>
                <w14:textFill>
                  <w14:solidFill>
                    <w14:schemeClr w14:val="tx1"/>
                  </w14:solidFill>
                </w14:textFill>
              </w:rPr>
              <w:t>二级标准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08D2D85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水环境</w:t>
            </w: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及土壤</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质量现状调查与评价</w:t>
            </w:r>
          </w:p>
          <w:p w14:paraId="731C61D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cs="Times New Roman"/>
                <w:b/>
                <w:bCs/>
                <w:color w:val="000000" w:themeColor="text1"/>
                <w:kern w:val="0"/>
                <w:sz w:val="24"/>
                <w:szCs w:val="24"/>
                <w14:textFill>
                  <w14:solidFill>
                    <w14:schemeClr w14:val="tx1"/>
                  </w14:solidFill>
                </w14:textFill>
              </w:rPr>
            </w:pPr>
            <w:r>
              <w:rPr>
                <w:rFonts w:hint="eastAsia" w:cs="Times New Roman"/>
                <w:b/>
                <w:bCs/>
                <w:color w:val="000000" w:themeColor="text1"/>
                <w:kern w:val="0"/>
                <w:sz w:val="24"/>
                <w:szCs w:val="24"/>
                <w:lang w:val="en-US" w:eastAsia="zh-CN"/>
                <w14:textFill>
                  <w14:solidFill>
                    <w14:schemeClr w14:val="tx1"/>
                  </w14:solidFill>
                </w14:textFill>
              </w:rPr>
              <w:t>2</w:t>
            </w:r>
            <w:r>
              <w:rPr>
                <w:rFonts w:cs="Times New Roman"/>
                <w:b/>
                <w:bCs/>
                <w:color w:val="000000" w:themeColor="text1"/>
                <w:kern w:val="0"/>
                <w:sz w:val="24"/>
                <w:szCs w:val="24"/>
                <w14:textFill>
                  <w14:solidFill>
                    <w14:schemeClr w14:val="tx1"/>
                  </w14:solidFill>
                </w14:textFill>
              </w:rPr>
              <w:t>.1地表水质量现状调查与评价</w:t>
            </w:r>
          </w:p>
          <w:p w14:paraId="6153AB67">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pacing w:val="-3"/>
                <w:sz w:val="24"/>
                <w:szCs w:val="24"/>
                <w14:textFill>
                  <w14:solidFill>
                    <w14:schemeClr w14:val="tx1"/>
                  </w14:solidFill>
                </w14:textFill>
              </w:rPr>
            </w:pPr>
            <w:r>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与本项目</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最近的地表水体为距离本项目东侧约15km的</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呼图壁</w:t>
            </w:r>
            <w:r>
              <w:rPr>
                <w:rFonts w:hint="default" w:ascii="Times New Roman" w:hAnsi="Times New Roman" w:eastAsia="宋体" w:cs="Times New Roman"/>
                <w:color w:val="000000" w:themeColor="text1"/>
                <w:spacing w:val="-3"/>
                <w:sz w:val="24"/>
                <w:szCs w:val="24"/>
                <w14:textFill>
                  <w14:solidFill>
                    <w14:schemeClr w14:val="tx1"/>
                  </w14:solidFill>
                </w14:textFill>
              </w:rPr>
              <w:t>河</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3"/>
                <w:sz w:val="24"/>
                <w:szCs w:val="24"/>
                <w14:textFill>
                  <w14:solidFill>
                    <w14:schemeClr w14:val="tx1"/>
                  </w14:solidFill>
                </w14:textFill>
              </w:rPr>
              <w:t>根据《新疆水环境功能区划》，</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呼图壁</w:t>
            </w:r>
            <w:r>
              <w:rPr>
                <w:rFonts w:hint="default" w:ascii="Times New Roman" w:hAnsi="Times New Roman" w:eastAsia="宋体" w:cs="Times New Roman"/>
                <w:color w:val="000000" w:themeColor="text1"/>
                <w:spacing w:val="-3"/>
                <w:sz w:val="24"/>
                <w:szCs w:val="24"/>
                <w14:textFill>
                  <w14:solidFill>
                    <w14:schemeClr w14:val="tx1"/>
                  </w14:solidFill>
                </w14:textFill>
              </w:rPr>
              <w:t>河水环境执行Ⅲ类标准。</w:t>
            </w:r>
          </w:p>
          <w:p w14:paraId="27AD3716">
            <w:pPr>
              <w:keepNext w:val="0"/>
              <w:keepLines w:val="0"/>
              <w:pageBreakBefore w:val="0"/>
              <w:kinsoku/>
              <w:wordWrap/>
              <w:overflowPunct/>
              <w:topLinePunct w:val="0"/>
              <w:autoSpaceDE/>
              <w:autoSpaceDN/>
              <w:bidi w:val="0"/>
              <w:adjustRightInd w:val="0"/>
              <w:snapToGrid w:val="0"/>
              <w:spacing w:line="360" w:lineRule="auto"/>
              <w:ind w:firstLine="468" w:firstLineChars="200"/>
              <w:jc w:val="left"/>
              <w:textAlignment w:val="auto"/>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pacing w:val="-3"/>
                <w:sz w:val="24"/>
                <w:szCs w:val="24"/>
                <w14:textFill>
                  <w14:solidFill>
                    <w14:schemeClr w14:val="tx1"/>
                  </w14:solidFill>
                </w14:textFill>
              </w:rPr>
              <w:t>根据昌吉回族自治州人民政府</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3"/>
                <w:sz w:val="24"/>
                <w:szCs w:val="24"/>
                <w14:textFill>
                  <w14:solidFill>
                    <w14:schemeClr w14:val="tx1"/>
                  </w14:solidFill>
                </w14:textFill>
              </w:rPr>
              <w:t>【污染源监测】2025年12月水环境污染防治进展情况</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3"/>
                <w:sz w:val="24"/>
                <w:szCs w:val="24"/>
                <w:lang w:val="en-US" w:eastAsia="zh-CN"/>
                <w14:textFill>
                  <w14:solidFill>
                    <w14:schemeClr w14:val="tx1"/>
                  </w14:solidFill>
                </w14:textFill>
              </w:rPr>
              <w:t>公示</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内容，根据呼图壁</w:t>
            </w:r>
            <w:r>
              <w:rPr>
                <w:rFonts w:hint="default" w:ascii="Times New Roman" w:hAnsi="Times New Roman" w:eastAsia="宋体" w:cs="Times New Roman"/>
                <w:color w:val="000000" w:themeColor="text1"/>
                <w:spacing w:val="-3"/>
                <w:sz w:val="24"/>
                <w:szCs w:val="24"/>
                <w14:textFill>
                  <w14:solidFill>
                    <w14:schemeClr w14:val="tx1"/>
                  </w14:solidFill>
                </w14:textFill>
              </w:rPr>
              <w:t>河</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监测断面棉纺厂（国控）检测结果，呼图壁</w:t>
            </w:r>
            <w:r>
              <w:rPr>
                <w:rFonts w:hint="default" w:ascii="Times New Roman" w:hAnsi="Times New Roman" w:eastAsia="宋体" w:cs="Times New Roman"/>
                <w:color w:val="000000" w:themeColor="text1"/>
                <w:spacing w:val="-3"/>
                <w:sz w:val="24"/>
                <w:szCs w:val="24"/>
                <w14:textFill>
                  <w14:solidFill>
                    <w14:schemeClr w14:val="tx1"/>
                  </w14:solidFill>
                </w14:textFill>
              </w:rPr>
              <w:t>河</w:t>
            </w:r>
            <w:r>
              <w:rPr>
                <w:rFonts w:hint="default" w:ascii="Times New Roman" w:hAnsi="Times New Roman" w:cs="Times New Roman"/>
                <w:color w:val="000000" w:themeColor="text1"/>
                <w:spacing w:val="-1"/>
                <w:sz w:val="24"/>
                <w:szCs w:val="24"/>
                <w14:textFill>
                  <w14:solidFill>
                    <w14:schemeClr w14:val="tx1"/>
                  </w14:solidFill>
                </w14:textFill>
              </w:rPr>
              <w:t>为</w:t>
            </w:r>
            <w:r>
              <w:rPr>
                <w:rFonts w:hint="default" w:ascii="Times New Roman" w:hAnsi="Times New Roman" w:eastAsia="宋体" w:cs="Times New Roman"/>
                <w:color w:val="000000" w:themeColor="text1"/>
                <w:spacing w:val="-1"/>
                <w:sz w:val="24"/>
                <w:szCs w:val="24"/>
                <w14:textFill>
                  <w14:solidFill>
                    <w14:schemeClr w14:val="tx1"/>
                  </w14:solidFill>
                </w14:textFill>
              </w:rPr>
              <w:t>Ⅱ</w:t>
            </w:r>
            <w:r>
              <w:rPr>
                <w:rFonts w:hint="default" w:ascii="Times New Roman" w:hAnsi="Times New Roman" w:cs="Times New Roman"/>
                <w:color w:val="000000" w:themeColor="text1"/>
                <w:spacing w:val="-1"/>
                <w:sz w:val="24"/>
                <w:szCs w:val="24"/>
                <w14:textFill>
                  <w14:solidFill>
                    <w14:schemeClr w14:val="tx1"/>
                  </w14:solidFill>
                </w14:textFill>
              </w:rPr>
              <w:t>类水质，水质状</w:t>
            </w:r>
            <w:r>
              <w:rPr>
                <w:rFonts w:hint="default" w:ascii="Times New Roman" w:hAnsi="Times New Roman" w:cs="Times New Roman"/>
                <w:color w:val="000000" w:themeColor="text1"/>
                <w:spacing w:val="-2"/>
                <w:sz w:val="24"/>
                <w:szCs w:val="24"/>
                <w14:textFill>
                  <w14:solidFill>
                    <w14:schemeClr w14:val="tx1"/>
                  </w14:solidFill>
                </w14:textFill>
              </w:rPr>
              <w:t>况</w:t>
            </w:r>
            <w:r>
              <w:rPr>
                <w:rFonts w:hint="eastAsia" w:ascii="Times New Roman" w:hAnsi="Times New Roman" w:cs="Times New Roman"/>
                <w:color w:val="000000" w:themeColor="text1"/>
                <w:spacing w:val="-2"/>
                <w:sz w:val="24"/>
                <w:szCs w:val="24"/>
                <w:lang w:val="en-US" w:eastAsia="zh-CN"/>
                <w14:textFill>
                  <w14:solidFill>
                    <w14:schemeClr w14:val="tx1"/>
                  </w14:solidFill>
                </w14:textFill>
              </w:rPr>
              <w:t>较好</w:t>
            </w:r>
            <w:r>
              <w:rPr>
                <w:rFonts w:hint="default" w:ascii="Times New Roman" w:hAnsi="Times New Roman" w:cs="Times New Roman"/>
                <w:color w:val="000000" w:themeColor="text1"/>
                <w:spacing w:val="-2"/>
                <w:sz w:val="24"/>
                <w:szCs w:val="24"/>
                <w:lang w:eastAsia="zh-CN"/>
                <w14:textFill>
                  <w14:solidFill>
                    <w14:schemeClr w14:val="tx1"/>
                  </w14:solidFill>
                </w14:textFill>
              </w:rPr>
              <w:t>。</w:t>
            </w:r>
          </w:p>
          <w:p w14:paraId="6A746807">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本项目生活污水经厂区内化粪池收集后，定期拉运至呼图壁县工业园区化工园污水处理厂处理。</w:t>
            </w:r>
          </w:p>
          <w:p w14:paraId="5A56201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ascii="Times New Roman" w:hAnsi="Times New Roman" w:eastAsia="宋体" w:cs="Times New Roman"/>
                <w:b/>
                <w:bCs/>
                <w:color w:val="000000" w:themeColor="text1"/>
                <w:kern w:val="0"/>
                <w:sz w:val="24"/>
                <w:szCs w:val="24"/>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14:textFill>
                  <w14:solidFill>
                    <w14:schemeClr w14:val="tx1"/>
                  </w14:solidFill>
                </w14:textFill>
              </w:rPr>
              <w:t>2</w:t>
            </w:r>
            <w:r>
              <w:rPr>
                <w:rFonts w:ascii="Times New Roman" w:hAnsi="Times New Roman" w:eastAsia="宋体" w:cs="Times New Roman"/>
                <w:b/>
                <w:bCs/>
                <w:color w:val="000000" w:themeColor="text1"/>
                <w:kern w:val="0"/>
                <w:sz w:val="24"/>
                <w:szCs w:val="24"/>
                <w14:textFill>
                  <w14:solidFill>
                    <w14:schemeClr w14:val="tx1"/>
                  </w14:solidFill>
                </w14:textFill>
              </w:rPr>
              <w:t>.2地下水</w:t>
            </w:r>
            <w:r>
              <w:rPr>
                <w:rFonts w:hint="eastAsia" w:ascii="Times New Roman" w:hAnsi="Times New Roman" w:eastAsia="宋体" w:cs="Times New Roman"/>
                <w:b/>
                <w:bCs/>
                <w:color w:val="000000" w:themeColor="text1"/>
                <w:kern w:val="0"/>
                <w:sz w:val="24"/>
                <w:szCs w:val="24"/>
                <w:lang w:val="en-US" w:eastAsia="zh-CN"/>
                <w14:textFill>
                  <w14:solidFill>
                    <w14:schemeClr w14:val="tx1"/>
                  </w14:solidFill>
                </w14:textFill>
              </w:rPr>
              <w:t>及土壤</w:t>
            </w:r>
            <w:r>
              <w:rPr>
                <w:rFonts w:ascii="Times New Roman" w:hAnsi="Times New Roman" w:eastAsia="宋体" w:cs="Times New Roman"/>
                <w:b/>
                <w:bCs/>
                <w:color w:val="000000" w:themeColor="text1"/>
                <w:kern w:val="0"/>
                <w:sz w:val="24"/>
                <w:szCs w:val="24"/>
                <w14:textFill>
                  <w14:solidFill>
                    <w14:schemeClr w14:val="tx1"/>
                  </w14:solidFill>
                </w14:textFill>
              </w:rPr>
              <w:t>质量现状调查与评价</w:t>
            </w:r>
          </w:p>
          <w:p w14:paraId="6226E55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根据《建设项目环境影响报告表编制技术指南（污染影响类）》</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（试行）</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中要求，建设项目存在土壤、地下水环境污染途径的，应结合污染源、保护目标分布情况开展现状调查以留作背景值。</w:t>
            </w:r>
          </w:p>
          <w:p w14:paraId="14CDCB9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农用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肥料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热力</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供应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w:t>
            </w: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eastAsia="宋体" w:cs="Times New Roman"/>
                <w:b w:val="0"/>
                <w:bCs/>
                <w:snapToGrid w:val="0"/>
                <w:color w:val="000000" w:themeColor="text1"/>
                <w:kern w:val="0"/>
                <w:sz w:val="24"/>
                <w:szCs w:val="24"/>
                <w:highlight w:val="none"/>
                <w:lang w:val="en-US" w:eastAsia="zh-CN" w:bidi="ar-SA"/>
                <w14:textFill>
                  <w14:solidFill>
                    <w14:schemeClr w14:val="tx1"/>
                  </w14:solidFill>
                </w14:textFill>
              </w:rPr>
              <w:t>租赁</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呼图壁县大丰镇红柳塘村股份经济合作社</w:t>
            </w:r>
            <w:r>
              <w:rPr>
                <w:rFonts w:hint="eastAsia" w:eastAsia="宋体" w:cs="Times New Roman"/>
                <w:b w:val="0"/>
                <w:bCs/>
                <w:snapToGrid w:val="0"/>
                <w:color w:val="000000" w:themeColor="text1"/>
                <w:kern w:val="0"/>
                <w:sz w:val="24"/>
                <w:szCs w:val="24"/>
                <w:highlight w:val="none"/>
                <w:lang w:val="en-US" w:eastAsia="zh-CN" w:bidi="ar-SA"/>
                <w14:textFill>
                  <w14:solidFill>
                    <w14:schemeClr w14:val="tx1"/>
                  </w14:solidFill>
                </w14:textFill>
              </w:rPr>
              <w:t>现有场地</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，场地原有配套项目为呼图壁县农业园区大丰镇红柳塘村农作物秸秆初加工综合利用产业区建设项目</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，租赁合同签订前场地均已建成，</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本项目建设</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不新增用地</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；本环评要求，危废贮存库进行重点防渗</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处理</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不涉及</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垂直</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污染途径情况，</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本项目生活污水经厂区内化粪池收集后，定期拉运至呼图壁县工业园区化工园污水处理厂处理。项目废水也不与地下水体及土壤发生直接联系，故本项目未开展地下水及土壤环境现状评价与分析。</w:t>
            </w:r>
          </w:p>
          <w:p w14:paraId="6172EC5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241" w:firstLineChars="1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、声环境质量现状及分析</w:t>
            </w:r>
          </w:p>
          <w:p w14:paraId="76C5B75B">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农用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肥料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及热力</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供应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本项目</w:t>
            </w:r>
            <w:r>
              <w:rPr>
                <w:rFonts w:hint="eastAsia" w:eastAsia="宋体" w:cs="Times New Roman"/>
                <w:b w:val="0"/>
                <w:bCs/>
                <w:snapToGrid w:val="0"/>
                <w:color w:val="000000" w:themeColor="text1"/>
                <w:kern w:val="0"/>
                <w:sz w:val="24"/>
                <w:szCs w:val="24"/>
                <w:highlight w:val="none"/>
                <w:lang w:val="en-US" w:eastAsia="zh-CN" w:bidi="ar-SA"/>
                <w14:textFill>
                  <w14:solidFill>
                    <w14:schemeClr w14:val="tx1"/>
                  </w14:solidFill>
                </w14:textFill>
              </w:rPr>
              <w:t>位于</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新疆昌吉回族自治州呼图壁县大丰镇红柳塘村丹霞路28号</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根据</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《建设项目环境影响报告表编制技术指南（污染影响类）（试行）》</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，厂界外周边50m范围内存在声环境保护目标的建设项目，应监测保护目标声环境质量现状并评价达标情况。</w:t>
            </w:r>
          </w:p>
          <w:p w14:paraId="2C27E10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根据现场调查，本项目周边50m无声环境保护目标，因此未开展声环境质量现状监测。</w:t>
            </w:r>
          </w:p>
          <w:p w14:paraId="1E19F4A3">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、生态环境</w:t>
            </w:r>
          </w:p>
          <w:p w14:paraId="2AEDCDA1">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eastAsia="宋体" w:cs="宋体"/>
                <w:bCs/>
                <w:color w:val="000000" w:themeColor="text1"/>
                <w:kern w:val="2"/>
                <w:sz w:val="24"/>
                <w:szCs w:val="24"/>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农用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肥料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热力</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供应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w:t>
            </w: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eastAsia="宋体" w:cs="Times New Roman"/>
                <w:b w:val="0"/>
                <w:bCs/>
                <w:snapToGrid w:val="0"/>
                <w:color w:val="000000" w:themeColor="text1"/>
                <w:kern w:val="0"/>
                <w:sz w:val="24"/>
                <w:szCs w:val="24"/>
                <w:highlight w:val="none"/>
                <w:lang w:val="en-US" w:eastAsia="zh-CN" w:bidi="ar-SA"/>
                <w14:textFill>
                  <w14:solidFill>
                    <w14:schemeClr w14:val="tx1"/>
                  </w14:solidFill>
                </w14:textFill>
              </w:rPr>
              <w:t>租赁</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呼图壁县大丰镇红柳塘村股份经济合作社</w:t>
            </w:r>
            <w:r>
              <w:rPr>
                <w:rFonts w:hint="eastAsia" w:eastAsia="宋体" w:cs="Times New Roman"/>
                <w:b w:val="0"/>
                <w:bCs/>
                <w:snapToGrid w:val="0"/>
                <w:color w:val="000000" w:themeColor="text1"/>
                <w:kern w:val="0"/>
                <w:sz w:val="24"/>
                <w:szCs w:val="24"/>
                <w:highlight w:val="none"/>
                <w:lang w:val="en-US" w:eastAsia="zh-CN" w:bidi="ar-SA"/>
                <w14:textFill>
                  <w14:solidFill>
                    <w14:schemeClr w14:val="tx1"/>
                  </w14:solidFill>
                </w14:textFill>
              </w:rPr>
              <w:t>现有场地</w:t>
            </w:r>
            <w:r>
              <w:rPr>
                <w:rFonts w:hint="eastAsia" w:ascii="Times New Roman" w:hAnsi="Times New Roman" w:eastAsia="宋体" w:cs="Times New Roman"/>
                <w:b w:val="0"/>
                <w:bCs/>
                <w:snapToGrid w:val="0"/>
                <w:color w:val="000000" w:themeColor="text1"/>
                <w:kern w:val="0"/>
                <w:sz w:val="24"/>
                <w:szCs w:val="24"/>
                <w:highlight w:val="none"/>
                <w:lang w:val="en-US" w:eastAsia="zh-CN" w:bidi="ar-SA"/>
                <w14:textFill>
                  <w14:solidFill>
                    <w14:schemeClr w14:val="tx1"/>
                  </w14:solidFill>
                </w14:textFill>
              </w:rPr>
              <w:t>，场地原有配套项目为呼图壁县农业园区大丰镇红柳塘村农作物秸秆初加工综合利用产业区建设项目</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，租赁合同签订前场地均已建成，</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本项目建设</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不新增用地</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项目区域内无生态环境保护目标</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故不进行生态现状调查。</w:t>
            </w:r>
          </w:p>
        </w:tc>
      </w:tr>
      <w:tr w14:paraId="47A932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12" w:hRule="atLeast"/>
          <w:jc w:val="center"/>
        </w:trPr>
        <w:tc>
          <w:tcPr>
            <w:tcW w:w="800" w:type="dxa"/>
            <w:noWrap w:val="0"/>
            <w:vAlign w:val="center"/>
          </w:tcPr>
          <w:p w14:paraId="5235A7E6">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环境</w:t>
            </w:r>
          </w:p>
          <w:p w14:paraId="1510874F">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保护</w:t>
            </w:r>
          </w:p>
          <w:p w14:paraId="71E535FC">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目标</w:t>
            </w:r>
          </w:p>
        </w:tc>
        <w:tc>
          <w:tcPr>
            <w:tcW w:w="8190" w:type="dxa"/>
            <w:noWrap w:val="0"/>
            <w:vAlign w:val="center"/>
          </w:tcPr>
          <w:p w14:paraId="51225ED1">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根据《建设项目环境影响报告表编制技术指南（污染影响类）（试行）》和本项目</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周边环境</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特点，主要环境保护目标如下：</w:t>
            </w:r>
          </w:p>
          <w:p w14:paraId="5677C63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大气环境</w:t>
            </w:r>
          </w:p>
          <w:p w14:paraId="4EC2FEEA">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根据现场调查，项目周边500</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范围内</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的大气敏感点</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主要为红柳</w:t>
            </w:r>
            <w:r>
              <w:rPr>
                <w:rFonts w:hint="eastAsia" w:cs="Times New Roman"/>
                <w:color w:val="000000" w:themeColor="text1"/>
                <w:kern w:val="0"/>
                <w:sz w:val="24"/>
                <w:szCs w:val="24"/>
                <w:highlight w:val="none"/>
                <w:lang w:val="en-US" w:eastAsia="zh-CN" w:bidi="ar"/>
                <w14:textFill>
                  <w14:solidFill>
                    <w14:schemeClr w14:val="tx1"/>
                  </w14:solidFill>
                </w14:textFill>
              </w:rPr>
              <w:t>塘村</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四队</w:t>
            </w:r>
            <w:r>
              <w:rPr>
                <w:rFonts w:hint="eastAsia" w:cs="Times New Roman"/>
                <w:color w:val="000000" w:themeColor="text1"/>
                <w:kern w:val="0"/>
                <w:sz w:val="24"/>
                <w:szCs w:val="24"/>
                <w:highlight w:val="none"/>
                <w:lang w:val="en-US" w:eastAsia="zh-CN" w:bidi="ar"/>
                <w14:textFill>
                  <w14:solidFill>
                    <w14:schemeClr w14:val="tx1"/>
                  </w14:solidFill>
                </w14:textFill>
              </w:rPr>
              <w:t>及</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新疆元鲜记食品科技有限公司</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。详见</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表3-3。</w:t>
            </w:r>
          </w:p>
          <w:p w14:paraId="24F011C9">
            <w:pPr>
              <w:spacing w:line="240" w:lineRule="auto"/>
              <w:ind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表3-</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本项目大气环境保护目标及保护级别一览表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64"/>
              <w:gridCol w:w="1893"/>
              <w:gridCol w:w="1117"/>
              <w:gridCol w:w="1038"/>
              <w:gridCol w:w="1117"/>
              <w:gridCol w:w="1845"/>
            </w:tblGrid>
            <w:tr w14:paraId="7BECCE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4" w:type="dxa"/>
                  <w:tcBorders>
                    <w:tl2br w:val="nil"/>
                    <w:tr2bl w:val="nil"/>
                  </w:tcBorders>
                  <w:noWrap w:val="0"/>
                  <w:vAlign w:val="center"/>
                </w:tcPr>
                <w:p w14:paraId="230BBF31">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环境</w:t>
                  </w:r>
                </w:p>
                <w:p w14:paraId="2B9A2B74">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要素</w:t>
                  </w:r>
                </w:p>
              </w:tc>
              <w:tc>
                <w:tcPr>
                  <w:tcW w:w="1893" w:type="dxa"/>
                  <w:tcBorders>
                    <w:tl2br w:val="nil"/>
                    <w:tr2bl w:val="nil"/>
                  </w:tcBorders>
                  <w:noWrap w:val="0"/>
                  <w:vAlign w:val="center"/>
                </w:tcPr>
                <w:p w14:paraId="51D64715">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保护目标</w:t>
                  </w:r>
                </w:p>
              </w:tc>
              <w:tc>
                <w:tcPr>
                  <w:tcW w:w="1117" w:type="dxa"/>
                  <w:tcBorders>
                    <w:tl2br w:val="nil"/>
                    <w:tr2bl w:val="nil"/>
                  </w:tcBorders>
                  <w:noWrap w:val="0"/>
                  <w:vAlign w:val="center"/>
                </w:tcPr>
                <w:p w14:paraId="047DA221">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保护对象</w:t>
                  </w:r>
                </w:p>
              </w:tc>
              <w:tc>
                <w:tcPr>
                  <w:tcW w:w="1038" w:type="dxa"/>
                  <w:tcBorders>
                    <w:tl2br w:val="nil"/>
                    <w:tr2bl w:val="nil"/>
                  </w:tcBorders>
                  <w:noWrap w:val="0"/>
                  <w:vAlign w:val="center"/>
                </w:tcPr>
                <w:p w14:paraId="4D8E09F9">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相对厂址位置</w:t>
                  </w:r>
                </w:p>
              </w:tc>
              <w:tc>
                <w:tcPr>
                  <w:tcW w:w="1117" w:type="dxa"/>
                  <w:tcBorders>
                    <w:tl2br w:val="nil"/>
                    <w:tr2bl w:val="nil"/>
                  </w:tcBorders>
                  <w:noWrap w:val="0"/>
                  <w:vAlign w:val="center"/>
                </w:tcPr>
                <w:p w14:paraId="029104BF">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相对厂址距离/</w:t>
                  </w:r>
                  <w:r>
                    <w:rPr>
                      <w:rFonts w:hint="eastAsia" w:cs="Times New Roman"/>
                      <w:b/>
                      <w:bCs/>
                      <w:color w:val="000000" w:themeColor="text1"/>
                      <w:sz w:val="21"/>
                      <w:szCs w:val="21"/>
                      <w:highlight w:val="none"/>
                      <w:lang w:val="en-US" w:eastAsia="zh-CN"/>
                      <w14:textFill>
                        <w14:solidFill>
                          <w14:schemeClr w14:val="tx1"/>
                        </w14:solidFill>
                      </w14:textFill>
                    </w:rPr>
                    <w:t>m</w:t>
                  </w:r>
                </w:p>
              </w:tc>
              <w:tc>
                <w:tcPr>
                  <w:tcW w:w="1845" w:type="dxa"/>
                  <w:tcBorders>
                    <w:tl2br w:val="nil"/>
                    <w:tr2bl w:val="nil"/>
                  </w:tcBorders>
                  <w:noWrap w:val="0"/>
                  <w:vAlign w:val="center"/>
                </w:tcPr>
                <w:p w14:paraId="20DF519F">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保护级别</w:t>
                  </w:r>
                </w:p>
              </w:tc>
            </w:tr>
            <w:tr w14:paraId="5B0C34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4" w:type="dxa"/>
                  <w:vMerge w:val="restart"/>
                  <w:tcBorders>
                    <w:tl2br w:val="nil"/>
                    <w:tr2bl w:val="nil"/>
                  </w:tcBorders>
                  <w:noWrap w:val="0"/>
                  <w:vAlign w:val="center"/>
                </w:tcPr>
                <w:p w14:paraId="387FEFD6">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大气环境</w:t>
                  </w:r>
                </w:p>
              </w:tc>
              <w:tc>
                <w:tcPr>
                  <w:tcW w:w="1893" w:type="dxa"/>
                  <w:tcBorders>
                    <w:tl2br w:val="nil"/>
                    <w:tr2bl w:val="nil"/>
                  </w:tcBorders>
                  <w:noWrap w:val="0"/>
                  <w:vAlign w:val="center"/>
                </w:tcPr>
                <w:p w14:paraId="380092C2">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红柳</w:t>
                  </w:r>
                  <w:r>
                    <w:rPr>
                      <w:rFonts w:hint="eastAsia" w:cs="Times New Roman"/>
                      <w:color w:val="000000" w:themeColor="text1"/>
                      <w:sz w:val="21"/>
                      <w:szCs w:val="21"/>
                      <w:lang w:val="en-US" w:eastAsia="zh-CN"/>
                      <w14:textFill>
                        <w14:solidFill>
                          <w14:schemeClr w14:val="tx1"/>
                        </w14:solidFill>
                      </w14:textFill>
                    </w:rPr>
                    <w:t>塘村</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四队</w:t>
                  </w:r>
                </w:p>
              </w:tc>
              <w:tc>
                <w:tcPr>
                  <w:tcW w:w="1117" w:type="dxa"/>
                  <w:tcBorders>
                    <w:tl2br w:val="nil"/>
                    <w:tr2bl w:val="nil"/>
                  </w:tcBorders>
                  <w:noWrap w:val="0"/>
                  <w:vAlign w:val="center"/>
                </w:tcPr>
                <w:p w14:paraId="02C55FBD">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cs="Times New Roman"/>
                      <w:b w:val="0"/>
                      <w:bCs w:val="0"/>
                      <w:snapToGrid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t>居民</w:t>
                  </w:r>
                </w:p>
              </w:tc>
              <w:tc>
                <w:tcPr>
                  <w:tcW w:w="1038" w:type="dxa"/>
                  <w:tcBorders>
                    <w:tl2br w:val="nil"/>
                    <w:tr2bl w:val="nil"/>
                  </w:tcBorders>
                  <w:noWrap w:val="0"/>
                  <w:vAlign w:val="center"/>
                </w:tcPr>
                <w:p w14:paraId="09693009">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cs="Times New Roman"/>
                      <w:b w:val="0"/>
                      <w:bCs w:val="0"/>
                      <w:snapToGrid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t>北侧</w:t>
                  </w:r>
                </w:p>
              </w:tc>
              <w:tc>
                <w:tcPr>
                  <w:tcW w:w="1117" w:type="dxa"/>
                  <w:tcBorders>
                    <w:tl2br w:val="nil"/>
                    <w:tr2bl w:val="nil"/>
                  </w:tcBorders>
                  <w:noWrap w:val="0"/>
                  <w:vAlign w:val="center"/>
                </w:tcPr>
                <w:p w14:paraId="2DE01343">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cs="Times New Roman"/>
                      <w:b w:val="0"/>
                      <w:bCs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b w:val="0"/>
                      <w:bCs w:val="0"/>
                      <w:snapToGrid w:val="0"/>
                      <w:color w:val="000000" w:themeColor="text1"/>
                      <w:kern w:val="0"/>
                      <w:sz w:val="21"/>
                      <w:szCs w:val="21"/>
                      <w:highlight w:val="none"/>
                      <w:lang w:val="en-US" w:eastAsia="zh-CN"/>
                      <w14:textFill>
                        <w14:solidFill>
                          <w14:schemeClr w14:val="tx1"/>
                        </w14:solidFill>
                      </w14:textFill>
                    </w:rPr>
                    <w:t>105</w:t>
                  </w:r>
                  <w:r>
                    <w:rPr>
                      <w:rFonts w:hint="default" w:ascii="Times New Roman" w:hAnsi="Times New Roman" w:cs="Times New Roman"/>
                      <w:b w:val="0"/>
                      <w:bCs w:val="0"/>
                      <w:snapToGrid w:val="0"/>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cs="Times New Roman"/>
                      <w:b w:val="0"/>
                      <w:bCs w:val="0"/>
                      <w:snapToGrid w:val="0"/>
                      <w:color w:val="000000" w:themeColor="text1"/>
                      <w:kern w:val="0"/>
                      <w:sz w:val="21"/>
                      <w:szCs w:val="21"/>
                      <w:highlight w:val="none"/>
                      <w:lang w:val="en-US" w:eastAsia="zh-CN"/>
                      <w14:textFill>
                        <w14:solidFill>
                          <w14:schemeClr w14:val="tx1"/>
                        </w14:solidFill>
                      </w14:textFill>
                    </w:rPr>
                    <w:t>535</w:t>
                  </w:r>
                </w:p>
              </w:tc>
              <w:tc>
                <w:tcPr>
                  <w:tcW w:w="1845" w:type="dxa"/>
                  <w:vMerge w:val="restart"/>
                  <w:tcBorders>
                    <w:tl2br w:val="nil"/>
                    <w:tr2bl w:val="nil"/>
                  </w:tcBorders>
                  <w:noWrap w:val="0"/>
                  <w:vAlign w:val="center"/>
                </w:tcPr>
                <w:p w14:paraId="2FA4FB05">
                  <w:pPr>
                    <w:keepNext w:val="0"/>
                    <w:keepLines w:val="0"/>
                    <w:pageBreakBefore w:val="0"/>
                    <w:widowControl/>
                    <w:kinsoku/>
                    <w:wordWrap/>
                    <w:overflowPunct/>
                    <w:topLinePunct w:val="0"/>
                    <w:autoSpaceDE/>
                    <w:autoSpaceDN/>
                    <w:bidi w:val="0"/>
                    <w:adjustRightInd/>
                    <w:snapToGrid/>
                    <w:ind w:right="-105" w:rightChars="-50"/>
                    <w:jc w:val="center"/>
                    <w:textAlignment w:val="baseline"/>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《环境空气质量标准》（GB3095-20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Cs w:val="21"/>
                      <w:highlight w:val="none"/>
                      <w14:textFill>
                        <w14:solidFill>
                          <w14:schemeClr w14:val="tx1"/>
                        </w14:solidFill>
                      </w14:textFill>
                    </w:rPr>
                    <w:t>）</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表2</w:t>
                  </w:r>
                  <w:r>
                    <w:rPr>
                      <w:rFonts w:hint="default" w:ascii="Times New Roman" w:hAnsi="Times New Roman" w:eastAsia="宋体" w:cs="Times New Roman"/>
                      <w:color w:val="000000" w:themeColor="text1"/>
                      <w:szCs w:val="21"/>
                      <w:highlight w:val="none"/>
                      <w14:textFill>
                        <w14:solidFill>
                          <w14:schemeClr w14:val="tx1"/>
                        </w14:solidFill>
                      </w14:textFill>
                    </w:rPr>
                    <w:t>二级标准</w:t>
                  </w:r>
                </w:p>
              </w:tc>
            </w:tr>
            <w:tr w14:paraId="498E63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4" w:type="dxa"/>
                  <w:vMerge w:val="continue"/>
                  <w:tcBorders>
                    <w:tl2br w:val="nil"/>
                    <w:tr2bl w:val="nil"/>
                  </w:tcBorders>
                  <w:noWrap w:val="0"/>
                  <w:vAlign w:val="center"/>
                </w:tcPr>
                <w:p w14:paraId="539046F5">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893" w:type="dxa"/>
                  <w:tcBorders>
                    <w:tl2br w:val="nil"/>
                    <w:tr2bl w:val="nil"/>
                  </w:tcBorders>
                  <w:noWrap w:val="0"/>
                  <w:vAlign w:val="center"/>
                </w:tcPr>
                <w:p w14:paraId="1E1BCF91">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新疆元鲜记食品科技有限公司</w:t>
                  </w:r>
                </w:p>
              </w:tc>
              <w:tc>
                <w:tcPr>
                  <w:tcW w:w="1117" w:type="dxa"/>
                  <w:tcBorders>
                    <w:tl2br w:val="nil"/>
                    <w:tr2bl w:val="nil"/>
                  </w:tcBorders>
                  <w:noWrap w:val="0"/>
                  <w:vAlign w:val="center"/>
                </w:tcPr>
                <w:p w14:paraId="1BE16D59">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cs="Times New Roman"/>
                      <w:b w:val="0"/>
                      <w:bCs w:val="0"/>
                      <w:snapToGrid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t>工作人员</w:t>
                  </w:r>
                </w:p>
              </w:tc>
              <w:tc>
                <w:tcPr>
                  <w:tcW w:w="1038" w:type="dxa"/>
                  <w:tcBorders>
                    <w:tl2br w:val="nil"/>
                    <w:tr2bl w:val="nil"/>
                  </w:tcBorders>
                  <w:noWrap w:val="0"/>
                  <w:vAlign w:val="center"/>
                </w:tcPr>
                <w:p w14:paraId="3E1CB146">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t>西侧</w:t>
                  </w:r>
                </w:p>
              </w:tc>
              <w:tc>
                <w:tcPr>
                  <w:tcW w:w="1117" w:type="dxa"/>
                  <w:tcBorders>
                    <w:tl2br w:val="nil"/>
                    <w:tr2bl w:val="nil"/>
                  </w:tcBorders>
                  <w:noWrap w:val="0"/>
                  <w:vAlign w:val="center"/>
                </w:tcPr>
                <w:p w14:paraId="25C9DD3C">
                  <w:pPr>
                    <w:pStyle w:val="71"/>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ind w:left="-105" w:leftChars="-50" w:right="-105" w:rightChars="-50" w:firstLine="0" w:firstLineChars="0"/>
                    <w:jc w:val="center"/>
                    <w:textAlignment w:val="baseline"/>
                    <w:rPr>
                      <w:rFonts w:hint="default" w:ascii="Times New Roman" w:hAnsi="Times New Roman" w:cs="Times New Roman"/>
                      <w:b w:val="0"/>
                      <w:bCs w:val="0"/>
                      <w:snapToGrid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t>15</w:t>
                  </w:r>
                  <w:r>
                    <w:rPr>
                      <w:rFonts w:hint="default" w:ascii="Times New Roman" w:hAnsi="Times New Roman" w:cs="Times New Roman"/>
                      <w:b w:val="0"/>
                      <w:bCs w:val="0"/>
                      <w:snapToGrid w:val="0"/>
                      <w:color w:val="000000" w:themeColor="text1"/>
                      <w:kern w:val="0"/>
                      <w:sz w:val="21"/>
                      <w:szCs w:val="21"/>
                      <w:highlight w:val="none"/>
                      <w:lang w:val="en-US" w:eastAsia="zh-CN"/>
                      <w14:textFill>
                        <w14:solidFill>
                          <w14:schemeClr w14:val="tx1"/>
                        </w14:solidFill>
                      </w14:textFill>
                    </w:rPr>
                    <w:t>~</w:t>
                  </w:r>
                  <w:r>
                    <w:rPr>
                      <w:rFonts w:hint="eastAsia" w:cs="Times New Roman"/>
                      <w:b w:val="0"/>
                      <w:bCs w:val="0"/>
                      <w:snapToGrid w:val="0"/>
                      <w:color w:val="000000" w:themeColor="text1"/>
                      <w:kern w:val="0"/>
                      <w:sz w:val="21"/>
                      <w:szCs w:val="21"/>
                      <w:highlight w:val="none"/>
                      <w:lang w:val="en-US" w:eastAsia="zh-CN"/>
                      <w14:textFill>
                        <w14:solidFill>
                          <w14:schemeClr w14:val="tx1"/>
                        </w14:solidFill>
                      </w14:textFill>
                    </w:rPr>
                    <w:t>155</w:t>
                  </w:r>
                </w:p>
              </w:tc>
              <w:tc>
                <w:tcPr>
                  <w:tcW w:w="1845" w:type="dxa"/>
                  <w:vMerge w:val="continue"/>
                  <w:tcBorders>
                    <w:tl2br w:val="nil"/>
                    <w:tr2bl w:val="nil"/>
                  </w:tcBorders>
                  <w:noWrap w:val="0"/>
                  <w:vAlign w:val="center"/>
                </w:tcPr>
                <w:p w14:paraId="009B44B8">
                  <w:pPr>
                    <w:keepNext w:val="0"/>
                    <w:keepLines w:val="0"/>
                    <w:pageBreakBefore w:val="0"/>
                    <w:widowControl/>
                    <w:kinsoku/>
                    <w:wordWrap/>
                    <w:overflowPunct/>
                    <w:topLinePunct w:val="0"/>
                    <w:autoSpaceDE/>
                    <w:autoSpaceDN/>
                    <w:bidi w:val="0"/>
                    <w:adjustRightInd/>
                    <w:snapToGrid/>
                    <w:ind w:right="-105" w:rightChars="-50"/>
                    <w:jc w:val="center"/>
                    <w:textAlignment w:val="baseline"/>
                    <w:rPr>
                      <w:rFonts w:hint="default" w:ascii="Times New Roman" w:hAnsi="Times New Roman" w:eastAsia="宋体" w:cs="Times New Roman"/>
                      <w:color w:val="000000" w:themeColor="text1"/>
                      <w:szCs w:val="21"/>
                      <w:highlight w:val="none"/>
                      <w14:textFill>
                        <w14:solidFill>
                          <w14:schemeClr w14:val="tx1"/>
                        </w14:solidFill>
                      </w14:textFill>
                    </w:rPr>
                  </w:pPr>
                </w:p>
              </w:tc>
            </w:tr>
          </w:tbl>
          <w:p w14:paraId="313D688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声环境</w:t>
            </w:r>
          </w:p>
          <w:p w14:paraId="571A33F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本项目厂界外50m范围内无声环境保护目标。</w:t>
            </w:r>
          </w:p>
          <w:p w14:paraId="5D220050">
            <w:pPr>
              <w:keepNext w:val="0"/>
              <w:keepLines w:val="0"/>
              <w:pageBreakBefore w:val="0"/>
              <w:widowControl/>
              <w:kinsoku/>
              <w:wordWrap w:val="0"/>
              <w:overflowPunct/>
              <w:topLinePunct/>
              <w:autoSpaceDE/>
              <w:autoSpaceDN/>
              <w:bidi w:val="0"/>
              <w:adjustRightInd w:val="0"/>
              <w:snapToGrid w:val="0"/>
              <w:spacing w:line="360" w:lineRule="auto"/>
              <w:ind w:right="0" w:firstLine="474" w:firstLineChars="200"/>
              <w:jc w:val="both"/>
              <w:textAlignment w:val="baseline"/>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b/>
                <w:bCs/>
                <w:color w:val="000000" w:themeColor="text1"/>
                <w:spacing w:val="-2"/>
                <w:sz w:val="24"/>
                <w:szCs w:val="24"/>
                <w:highlight w:val="none"/>
                <w:lang w:val="en-US" w:eastAsia="zh-CN"/>
                <w14:textFill>
                  <w14:solidFill>
                    <w14:schemeClr w14:val="tx1"/>
                  </w14:solidFill>
                </w14:textFill>
              </w:rPr>
              <w:t>3、</w:t>
            </w:r>
            <w:r>
              <w:rPr>
                <w:rFonts w:hint="default" w:ascii="Times New Roman" w:hAnsi="Times New Roman" w:eastAsia="Times New Roman" w:cs="Times New Roman"/>
                <w:b/>
                <w:bCs/>
                <w:color w:val="000000" w:themeColor="text1"/>
                <w:spacing w:val="-2"/>
                <w:sz w:val="24"/>
                <w:szCs w:val="24"/>
                <w:highlight w:val="none"/>
                <w14:textFill>
                  <w14:solidFill>
                    <w14:schemeClr w14:val="tx1"/>
                  </w14:solidFill>
                </w14:textFill>
              </w:rPr>
              <w:t>地下水环境</w:t>
            </w:r>
          </w:p>
          <w:p w14:paraId="7FAD1A63">
            <w:pPr>
              <w:keepNext w:val="0"/>
              <w:keepLines w:val="0"/>
              <w:pageBreakBefore w:val="0"/>
              <w:widowControl/>
              <w:kinsoku/>
              <w:wordWrap w:val="0"/>
              <w:overflowPunct/>
              <w:topLinePunct/>
              <w:autoSpaceDE/>
              <w:autoSpaceDN/>
              <w:bidi w:val="0"/>
              <w:adjustRightInd w:val="0"/>
              <w:snapToGrid w:val="0"/>
              <w:spacing w:line="360" w:lineRule="auto"/>
              <w:ind w:left="0" w:right="0" w:firstLine="472" w:firstLineChars="200"/>
              <w:jc w:val="both"/>
              <w:textAlignment w:val="baseline"/>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pacing w:val="-2"/>
                <w:sz w:val="24"/>
                <w:szCs w:val="24"/>
                <w:highlight w:val="none"/>
                <w14:textFill>
                  <w14:solidFill>
                    <w14:schemeClr w14:val="tx1"/>
                  </w14:solidFill>
                </w14:textFill>
              </w:rPr>
              <w:t>本项目厂界外500m范围内无地下水集中式饮用水水源和热水、矿泉水、温泉等特殊地下水资源。</w:t>
            </w:r>
          </w:p>
          <w:p w14:paraId="0CB77E1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4、</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生态环境</w:t>
            </w:r>
          </w:p>
          <w:p w14:paraId="28B71C9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本项目位于新疆昌吉回族自治州呼图壁县大丰镇红柳塘村丹霞路28号，租赁呼图壁县大丰镇红柳塘村股份经济合作社现有场地，项目</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不新增用地，</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因此，本项目内</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无生态环境保护目标。</w:t>
            </w:r>
          </w:p>
          <w:p w14:paraId="3251761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eastAsia="宋体" w:cs="宋体"/>
                <w:bCs/>
                <w:color w:val="000000" w:themeColor="text1"/>
                <w:kern w:val="2"/>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环境保护目标</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图见附图</w:t>
            </w:r>
            <w:r>
              <w:rPr>
                <w:rFonts w:hint="eastAsia" w:cs="Times New Roman"/>
                <w:color w:val="000000" w:themeColor="text1"/>
                <w:kern w:val="0"/>
                <w:sz w:val="24"/>
                <w:szCs w:val="24"/>
                <w:highlight w:val="none"/>
                <w:lang w:val="en-US" w:eastAsia="zh-CN" w:bidi="ar"/>
                <w14:textFill>
                  <w14:solidFill>
                    <w14:schemeClr w14:val="tx1"/>
                  </w14:solidFill>
                </w14:textFill>
              </w:rPr>
              <w:t>8</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tc>
      </w:tr>
      <w:tr w14:paraId="16007A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noWrap w:val="0"/>
            <w:tcMar>
              <w:left w:w="28" w:type="dxa"/>
              <w:right w:w="28" w:type="dxa"/>
            </w:tcMar>
            <w:vAlign w:val="center"/>
          </w:tcPr>
          <w:p w14:paraId="50B0E4D5">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污染</w:t>
            </w:r>
          </w:p>
          <w:p w14:paraId="3028922B">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物排</w:t>
            </w:r>
          </w:p>
          <w:p w14:paraId="1439ADC8">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放控</w:t>
            </w:r>
          </w:p>
          <w:p w14:paraId="3634B170">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制标</w:t>
            </w:r>
          </w:p>
          <w:p w14:paraId="57D0ECF7">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准</w:t>
            </w:r>
          </w:p>
        </w:tc>
        <w:tc>
          <w:tcPr>
            <w:tcW w:w="8190" w:type="dxa"/>
            <w:noWrap w:val="0"/>
            <w:vAlign w:val="center"/>
          </w:tcPr>
          <w:p w14:paraId="6F27189B">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1、</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大气污染物排放标准</w:t>
            </w:r>
          </w:p>
          <w:p w14:paraId="29B12F3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施工期扬尘执行《大气污染物综合排放标准》（GB16297-1996）表2中浓度限值；</w:t>
            </w:r>
          </w:p>
          <w:p w14:paraId="21D65DA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运营期有组织废气（DA001、DA002、DA003）</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执行</w:t>
            </w:r>
            <w:r>
              <w:rPr>
                <w:rFonts w:hint="default" w:ascii="Times New Roman" w:hAnsi="Times New Roman" w:eastAsia="宋体" w:cs="Times New Roman"/>
                <w:smallCaps w:val="0"/>
                <w:color w:val="000000" w:themeColor="text1"/>
                <w:kern w:val="0"/>
                <w:sz w:val="24"/>
                <w:szCs w:val="24"/>
                <w:lang w:val="en-US" w:eastAsia="zh-CN" w:bidi="ar-SA"/>
                <w14:textFill>
                  <w14:solidFill>
                    <w14:schemeClr w14:val="tx1"/>
                  </w14:solidFill>
                </w14:textFill>
              </w:rPr>
              <w:t>《大气污染物综合排放标准》（GB16297</w:t>
            </w:r>
            <w:r>
              <w:rPr>
                <w:rFonts w:hint="eastAsia" w:ascii="Times New Roman" w:hAnsi="Times New Roman" w:eastAsia="宋体" w:cs="Times New Roman"/>
                <w:smallCaps w:val="0"/>
                <w:color w:val="000000" w:themeColor="text1"/>
                <w:kern w:val="0"/>
                <w:sz w:val="24"/>
                <w:szCs w:val="24"/>
                <w:lang w:val="en-US" w:eastAsia="zh-CN" w:bidi="ar-SA"/>
                <w14:textFill>
                  <w14:solidFill>
                    <w14:schemeClr w14:val="tx1"/>
                  </w14:solidFill>
                </w14:textFill>
              </w:rPr>
              <w:t>-</w:t>
            </w:r>
            <w:r>
              <w:rPr>
                <w:rFonts w:hint="default" w:ascii="Times New Roman" w:hAnsi="Times New Roman" w:eastAsia="宋体" w:cs="Times New Roman"/>
                <w:smallCaps w:val="0"/>
                <w:color w:val="000000" w:themeColor="text1"/>
                <w:kern w:val="0"/>
                <w:sz w:val="24"/>
                <w:szCs w:val="24"/>
                <w:lang w:val="en-US" w:eastAsia="zh-CN" w:bidi="ar-SA"/>
                <w14:textFill>
                  <w14:solidFill>
                    <w14:schemeClr w14:val="tx1"/>
                  </w14:solidFill>
                </w14:textFill>
              </w:rPr>
              <w:t>1996）中表2二级标准排放限值</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；（DA004）</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执行</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《新疆维吾尔自治区工业炉窑大气污染综合治理实施方案》（新大气发〔2019〕127号）中重点区域工业炉窑大气排放浓度限值。</w:t>
            </w:r>
          </w:p>
          <w:p w14:paraId="27D4EA7A">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运营期无组织废气（TSP、非甲烷总烃）</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执行</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《大气污染物综合排放标准》（GB16297-1996）中表2中厂界无组织废气浓度限值；同时执行《挥发性有机物无组织排放控制标准》（GB37822-2019）表A.1厂区内VOCs无组织特别排放限值。</w:t>
            </w:r>
          </w:p>
          <w:p w14:paraId="284AC86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详见表3-</w:t>
            </w:r>
            <w:r>
              <w:rPr>
                <w:rFonts w:hint="eastAsia" w:cs="Times New Roman"/>
                <w:color w:val="000000" w:themeColor="text1"/>
                <w:kern w:val="0"/>
                <w:sz w:val="24"/>
                <w:szCs w:val="24"/>
                <w:highlight w:val="none"/>
                <w:lang w:val="en-US" w:eastAsia="zh-CN" w:bidi="ar"/>
                <w14:textFill>
                  <w14:solidFill>
                    <w14:schemeClr w14:val="tx1"/>
                  </w14:solidFill>
                </w14:textFill>
              </w:rPr>
              <w:t>4</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、表3-</w:t>
            </w:r>
            <w:r>
              <w:rPr>
                <w:rFonts w:hint="eastAsia" w:cs="Times New Roman"/>
                <w:color w:val="000000" w:themeColor="text1"/>
                <w:kern w:val="0"/>
                <w:sz w:val="24"/>
                <w:szCs w:val="24"/>
                <w:highlight w:val="none"/>
                <w:lang w:val="en-US" w:eastAsia="zh-CN" w:bidi="ar"/>
                <w14:textFill>
                  <w14:solidFill>
                    <w14:schemeClr w14:val="tx1"/>
                  </w14:solidFill>
                </w14:textFill>
              </w:rPr>
              <w:t>5</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31F36D70">
            <w:pPr>
              <w:keepNext w:val="0"/>
              <w:keepLines w:val="0"/>
              <w:widowControl/>
              <w:suppressLineNumbers w:val="0"/>
              <w:jc w:val="cente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eastAsia" w:cs="Times New Roman"/>
                <w:b/>
                <w:bCs/>
                <w:color w:val="000000" w:themeColor="text1"/>
                <w:sz w:val="21"/>
                <w:szCs w:val="21"/>
                <w:highlight w:val="none"/>
                <w:lang w:val="en-US" w:eastAsia="zh-CN"/>
                <w14:textFill>
                  <w14:solidFill>
                    <w14:schemeClr w14:val="tx1"/>
                  </w14:solidFill>
                </w14:textFill>
              </w:rPr>
              <w:t>4</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项目运营期有组织废气</w:t>
            </w: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污染物排放限值标准</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4"/>
              <w:gridCol w:w="2034"/>
              <w:gridCol w:w="843"/>
              <w:gridCol w:w="1165"/>
              <w:gridCol w:w="993"/>
              <w:gridCol w:w="2242"/>
            </w:tblGrid>
            <w:tr w14:paraId="52D6D8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1" w:type="pct"/>
                  <w:gridSpan w:val="2"/>
                  <w:tcBorders>
                    <w:tl2br w:val="nil"/>
                    <w:tr2bl w:val="nil"/>
                  </w:tcBorders>
                  <w:noWrap w:val="0"/>
                  <w:vAlign w:val="center"/>
                </w:tcPr>
                <w:p w14:paraId="5AD324D5">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污染物名称</w:t>
                  </w:r>
                </w:p>
              </w:tc>
              <w:tc>
                <w:tcPr>
                  <w:tcW w:w="528" w:type="pct"/>
                  <w:tcBorders>
                    <w:tl2br w:val="nil"/>
                    <w:tr2bl w:val="nil"/>
                  </w:tcBorders>
                  <w:noWrap w:val="0"/>
                  <w:vAlign w:val="center"/>
                </w:tcPr>
                <w:p w14:paraId="0DCC3E9F">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污染物</w:t>
                  </w:r>
                </w:p>
              </w:tc>
              <w:tc>
                <w:tcPr>
                  <w:tcW w:w="730" w:type="pct"/>
                  <w:tcBorders>
                    <w:tl2br w:val="nil"/>
                    <w:tr2bl w:val="nil"/>
                  </w:tcBorders>
                  <w:noWrap w:val="0"/>
                  <w:vAlign w:val="center"/>
                </w:tcPr>
                <w:p w14:paraId="0AB84641">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排放浓度（mg/m</w:t>
                  </w:r>
                  <w:r>
                    <w:rPr>
                      <w:rFonts w:hint="default" w:ascii="Times New Roman" w:hAnsi="Times New Roman" w:eastAsia="宋体" w:cs="Times New Roman"/>
                      <w:b/>
                      <w:bCs/>
                      <w:color w:val="000000" w:themeColor="text1"/>
                      <w:szCs w:val="21"/>
                      <w:vertAlign w:val="superscript"/>
                      <w14:textFill>
                        <w14:solidFill>
                          <w14:schemeClr w14:val="tx1"/>
                        </w14:solidFill>
                      </w14:textFill>
                    </w:rPr>
                    <w:t>3</w:t>
                  </w:r>
                  <w:r>
                    <w:rPr>
                      <w:rFonts w:hint="default" w:ascii="Times New Roman" w:hAnsi="Times New Roman" w:eastAsia="宋体" w:cs="Times New Roman"/>
                      <w:b/>
                      <w:bCs/>
                      <w:color w:val="000000" w:themeColor="text1"/>
                      <w:szCs w:val="21"/>
                      <w14:textFill>
                        <w14:solidFill>
                          <w14:schemeClr w14:val="tx1"/>
                        </w14:solidFill>
                      </w14:textFill>
                    </w:rPr>
                    <w:t>）</w:t>
                  </w:r>
                </w:p>
              </w:tc>
              <w:tc>
                <w:tcPr>
                  <w:tcW w:w="622" w:type="pct"/>
                  <w:tcBorders>
                    <w:tl2br w:val="nil"/>
                    <w:tr2bl w:val="nil"/>
                  </w:tcBorders>
                  <w:noWrap w:val="0"/>
                  <w:vAlign w:val="center"/>
                </w:tcPr>
                <w:p w14:paraId="1BFFE819">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排放速率（kg/h）</w:t>
                  </w:r>
                </w:p>
              </w:tc>
              <w:tc>
                <w:tcPr>
                  <w:tcW w:w="1406" w:type="pct"/>
                  <w:tcBorders>
                    <w:tl2br w:val="nil"/>
                    <w:tr2bl w:val="nil"/>
                  </w:tcBorders>
                  <w:noWrap w:val="0"/>
                  <w:vAlign w:val="center"/>
                </w:tcPr>
                <w:p w14:paraId="123D03C2">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Cs w:val="21"/>
                      <w:lang w:val="en-US" w:eastAsia="zh-CN"/>
                      <w14:textFill>
                        <w14:solidFill>
                          <w14:schemeClr w14:val="tx1"/>
                        </w14:solidFill>
                      </w14:textFill>
                    </w:rPr>
                    <w:t>标准来源</w:t>
                  </w:r>
                </w:p>
              </w:tc>
            </w:tr>
            <w:tr w14:paraId="770CF3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89" w:hRule="atLeast"/>
                <w:jc w:val="center"/>
              </w:trPr>
              <w:tc>
                <w:tcPr>
                  <w:tcW w:w="435" w:type="pct"/>
                  <w:tcBorders>
                    <w:tl2br w:val="nil"/>
                    <w:tr2bl w:val="nil"/>
                  </w:tcBorders>
                  <w:noWrap w:val="0"/>
                  <w:vAlign w:val="center"/>
                </w:tcPr>
                <w:p w14:paraId="6E9891A7">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DA</w:t>
                  </w:r>
                </w:p>
                <w:p w14:paraId="05CFA5DA">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001</w:t>
                  </w:r>
                </w:p>
              </w:tc>
              <w:tc>
                <w:tcPr>
                  <w:tcW w:w="1275" w:type="pct"/>
                  <w:tcBorders>
                    <w:tl2br w:val="nil"/>
                    <w:tr2bl w:val="nil"/>
                  </w:tcBorders>
                  <w:noWrap w:val="0"/>
                  <w:vAlign w:val="center"/>
                </w:tcPr>
                <w:p w14:paraId="76453119">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农林秸秆废弃物破碎</w:t>
                  </w:r>
                  <w:r>
                    <w:rPr>
                      <w:rFonts w:hint="eastAsia" w:cs="Times New Roman"/>
                      <w:b w:val="0"/>
                      <w:bCs w:val="0"/>
                      <w:color w:val="000000" w:themeColor="text1"/>
                      <w:szCs w:val="21"/>
                      <w:lang w:val="en-US" w:eastAsia="zh-CN"/>
                      <w14:textFill>
                        <w14:solidFill>
                          <w14:schemeClr w14:val="tx1"/>
                        </w14:solidFill>
                      </w14:textFill>
                    </w:rPr>
                    <w:t>逸散颗粒物</w:t>
                  </w:r>
                </w:p>
              </w:tc>
              <w:tc>
                <w:tcPr>
                  <w:tcW w:w="528" w:type="pct"/>
                  <w:tcBorders>
                    <w:tl2br w:val="nil"/>
                    <w:tr2bl w:val="nil"/>
                  </w:tcBorders>
                  <w:noWrap w:val="0"/>
                  <w:vAlign w:val="center"/>
                </w:tcPr>
                <w:p w14:paraId="70540CE5">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颗粒物</w:t>
                  </w:r>
                </w:p>
              </w:tc>
              <w:tc>
                <w:tcPr>
                  <w:tcW w:w="730" w:type="pct"/>
                  <w:tcBorders>
                    <w:tl2br w:val="nil"/>
                    <w:tr2bl w:val="nil"/>
                  </w:tcBorders>
                  <w:noWrap w:val="0"/>
                  <w:vAlign w:val="center"/>
                </w:tcPr>
                <w:p w14:paraId="6A3E9456">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120</w:t>
                  </w:r>
                </w:p>
              </w:tc>
              <w:tc>
                <w:tcPr>
                  <w:tcW w:w="622" w:type="pct"/>
                  <w:tcBorders>
                    <w:tl2br w:val="nil"/>
                    <w:tr2bl w:val="nil"/>
                  </w:tcBorders>
                  <w:noWrap w:val="0"/>
                  <w:vAlign w:val="center"/>
                </w:tcPr>
                <w:p w14:paraId="30408807">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3.5</w:t>
                  </w:r>
                </w:p>
              </w:tc>
              <w:tc>
                <w:tcPr>
                  <w:tcW w:w="1406" w:type="pct"/>
                  <w:tcBorders>
                    <w:tl2br w:val="nil"/>
                    <w:tr2bl w:val="nil"/>
                  </w:tcBorders>
                  <w:noWrap w:val="0"/>
                  <w:vAlign w:val="center"/>
                </w:tcPr>
                <w:p w14:paraId="771C274A">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w:t>
                  </w:r>
                  <w:r>
                    <w:rPr>
                      <w:rFonts w:ascii="Times New Roman" w:hAnsi="Times New Roman"/>
                      <w:color w:val="000000" w:themeColor="text1"/>
                      <w:sz w:val="21"/>
                      <w:szCs w:val="21"/>
                      <w14:textFill>
                        <w14:solidFill>
                          <w14:schemeClr w14:val="tx1"/>
                        </w14:solidFill>
                      </w14:textFill>
                    </w:rPr>
                    <w:t>表2二级标准限值</w:t>
                  </w:r>
                </w:p>
              </w:tc>
            </w:tr>
            <w:tr w14:paraId="537265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5" w:type="pct"/>
                  <w:tcBorders>
                    <w:tl2br w:val="nil"/>
                    <w:tr2bl w:val="nil"/>
                  </w:tcBorders>
                  <w:noWrap w:val="0"/>
                  <w:vAlign w:val="center"/>
                </w:tcPr>
                <w:p w14:paraId="1B94A72E">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DA</w:t>
                  </w:r>
                </w:p>
                <w:p w14:paraId="3DAA6666">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00</w:t>
                  </w: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2</w:t>
                  </w:r>
                </w:p>
              </w:tc>
              <w:tc>
                <w:tcPr>
                  <w:tcW w:w="1275" w:type="pct"/>
                  <w:tcBorders>
                    <w:tl2br w:val="nil"/>
                    <w:tr2bl w:val="nil"/>
                  </w:tcBorders>
                  <w:noWrap w:val="0"/>
                  <w:vAlign w:val="center"/>
                </w:tcPr>
                <w:p w14:paraId="01F2C738">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炭化炉秸秆</w:t>
                  </w: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下料</w:t>
                  </w: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逸散</w:t>
                  </w:r>
                  <w:r>
                    <w:rPr>
                      <w:rFonts w:hint="eastAsia" w:cs="Times New Roman"/>
                      <w:b w:val="0"/>
                      <w:bCs w:val="0"/>
                      <w:color w:val="000000" w:themeColor="text1"/>
                      <w:szCs w:val="21"/>
                      <w:lang w:val="en-US" w:eastAsia="zh-CN"/>
                      <w14:textFill>
                        <w14:solidFill>
                          <w14:schemeClr w14:val="tx1"/>
                        </w14:solidFill>
                      </w14:textFill>
                    </w:rPr>
                    <w:t>颗粒物</w:t>
                  </w:r>
                </w:p>
              </w:tc>
              <w:tc>
                <w:tcPr>
                  <w:tcW w:w="528" w:type="pct"/>
                  <w:tcBorders>
                    <w:tl2br w:val="nil"/>
                    <w:tr2bl w:val="nil"/>
                  </w:tcBorders>
                  <w:noWrap w:val="0"/>
                  <w:vAlign w:val="center"/>
                </w:tcPr>
                <w:p w14:paraId="0619BEC3">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颗粒物</w:t>
                  </w:r>
                </w:p>
              </w:tc>
              <w:tc>
                <w:tcPr>
                  <w:tcW w:w="730" w:type="pct"/>
                  <w:tcBorders>
                    <w:tl2br w:val="nil"/>
                    <w:tr2bl w:val="nil"/>
                  </w:tcBorders>
                  <w:noWrap w:val="0"/>
                  <w:vAlign w:val="center"/>
                </w:tcPr>
                <w:p w14:paraId="07214C85">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120</w:t>
                  </w:r>
                </w:p>
              </w:tc>
              <w:tc>
                <w:tcPr>
                  <w:tcW w:w="622" w:type="pct"/>
                  <w:tcBorders>
                    <w:tl2br w:val="nil"/>
                    <w:tr2bl w:val="nil"/>
                  </w:tcBorders>
                  <w:noWrap w:val="0"/>
                  <w:vAlign w:val="center"/>
                </w:tcPr>
                <w:p w14:paraId="3F2CCA6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3.5</w:t>
                  </w:r>
                </w:p>
              </w:tc>
              <w:tc>
                <w:tcPr>
                  <w:tcW w:w="1406" w:type="pct"/>
                  <w:tcBorders>
                    <w:tl2br w:val="nil"/>
                    <w:tr2bl w:val="nil"/>
                  </w:tcBorders>
                  <w:noWrap w:val="0"/>
                  <w:vAlign w:val="center"/>
                </w:tcPr>
                <w:p w14:paraId="77AAE8E4">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w:t>
                  </w:r>
                  <w:r>
                    <w:rPr>
                      <w:rFonts w:ascii="Times New Roman" w:hAnsi="Times New Roman"/>
                      <w:color w:val="000000" w:themeColor="text1"/>
                      <w:sz w:val="21"/>
                      <w:szCs w:val="21"/>
                      <w14:textFill>
                        <w14:solidFill>
                          <w14:schemeClr w14:val="tx1"/>
                        </w14:solidFill>
                      </w14:textFill>
                    </w:rPr>
                    <w:t>表2二级标准限值</w:t>
                  </w:r>
                </w:p>
              </w:tc>
            </w:tr>
            <w:tr w14:paraId="57308A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5" w:type="pct"/>
                  <w:tcBorders>
                    <w:tl2br w:val="nil"/>
                    <w:tr2bl w:val="nil"/>
                  </w:tcBorders>
                  <w:noWrap w:val="0"/>
                  <w:vAlign w:val="center"/>
                </w:tcPr>
                <w:p w14:paraId="59FC9251">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DA</w:t>
                  </w:r>
                </w:p>
                <w:p w14:paraId="44F90074">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00</w:t>
                  </w: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3</w:t>
                  </w:r>
                </w:p>
              </w:tc>
              <w:tc>
                <w:tcPr>
                  <w:tcW w:w="1275" w:type="pct"/>
                  <w:tcBorders>
                    <w:tl2br w:val="nil"/>
                    <w:tr2bl w:val="nil"/>
                  </w:tcBorders>
                  <w:noWrap w:val="0"/>
                  <w:vAlign w:val="center"/>
                </w:tcPr>
                <w:p w14:paraId="23EA0089">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snapToGrid/>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炭块粉碎</w:t>
                  </w:r>
                  <w:r>
                    <w:rPr>
                      <w:rFonts w:hint="eastAsia"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筛分；有机肥造粒、灌装</w:t>
                  </w:r>
                  <w:r>
                    <w:rPr>
                      <w:rFonts w:hint="eastAsia" w:cs="Times New Roman"/>
                      <w:b w:val="0"/>
                      <w:bCs w:val="0"/>
                      <w:color w:val="000000" w:themeColor="text1"/>
                      <w:szCs w:val="21"/>
                      <w:lang w:val="en-US" w:eastAsia="zh-CN"/>
                      <w14:textFill>
                        <w14:solidFill>
                          <w14:schemeClr w14:val="tx1"/>
                        </w14:solidFill>
                      </w14:textFill>
                    </w:rPr>
                    <w:t>逸散颗粒物</w:t>
                  </w:r>
                </w:p>
              </w:tc>
              <w:tc>
                <w:tcPr>
                  <w:tcW w:w="528" w:type="pct"/>
                  <w:tcBorders>
                    <w:tl2br w:val="nil"/>
                    <w:tr2bl w:val="nil"/>
                  </w:tcBorders>
                  <w:noWrap w:val="0"/>
                  <w:vAlign w:val="center"/>
                </w:tcPr>
                <w:p w14:paraId="3E05D8D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颗粒物</w:t>
                  </w:r>
                </w:p>
              </w:tc>
              <w:tc>
                <w:tcPr>
                  <w:tcW w:w="730" w:type="pct"/>
                  <w:tcBorders>
                    <w:tl2br w:val="nil"/>
                    <w:tr2bl w:val="nil"/>
                  </w:tcBorders>
                  <w:noWrap w:val="0"/>
                  <w:vAlign w:val="center"/>
                </w:tcPr>
                <w:p w14:paraId="4382DD4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120</w:t>
                  </w:r>
                </w:p>
              </w:tc>
              <w:tc>
                <w:tcPr>
                  <w:tcW w:w="622" w:type="pct"/>
                  <w:tcBorders>
                    <w:tl2br w:val="nil"/>
                    <w:tr2bl w:val="nil"/>
                  </w:tcBorders>
                  <w:noWrap w:val="0"/>
                  <w:vAlign w:val="center"/>
                </w:tcPr>
                <w:p w14:paraId="0C314DA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3.5</w:t>
                  </w:r>
                </w:p>
              </w:tc>
              <w:tc>
                <w:tcPr>
                  <w:tcW w:w="1406" w:type="pct"/>
                  <w:tcBorders>
                    <w:tl2br w:val="nil"/>
                    <w:tr2bl w:val="nil"/>
                  </w:tcBorders>
                  <w:noWrap w:val="0"/>
                  <w:vAlign w:val="center"/>
                </w:tcPr>
                <w:p w14:paraId="34482B5F">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w:t>
                  </w:r>
                  <w:r>
                    <w:rPr>
                      <w:rFonts w:ascii="Times New Roman" w:hAnsi="Times New Roman"/>
                      <w:color w:val="000000" w:themeColor="text1"/>
                      <w:sz w:val="21"/>
                      <w:szCs w:val="21"/>
                      <w14:textFill>
                        <w14:solidFill>
                          <w14:schemeClr w14:val="tx1"/>
                        </w14:solidFill>
                      </w14:textFill>
                    </w:rPr>
                    <w:t>表2二级标准限值</w:t>
                  </w:r>
                </w:p>
              </w:tc>
            </w:tr>
            <w:tr w14:paraId="1D6E5A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5" w:type="pct"/>
                  <w:vMerge w:val="restart"/>
                  <w:tcBorders>
                    <w:tl2br w:val="nil"/>
                    <w:tr2bl w:val="nil"/>
                  </w:tcBorders>
                  <w:noWrap w:val="0"/>
                  <w:vAlign w:val="center"/>
                </w:tcPr>
                <w:p w14:paraId="59A81CE7">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DA</w:t>
                  </w:r>
                </w:p>
                <w:p w14:paraId="49197732">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00</w:t>
                  </w: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4</w:t>
                  </w:r>
                </w:p>
              </w:tc>
              <w:tc>
                <w:tcPr>
                  <w:tcW w:w="1275" w:type="pct"/>
                  <w:vMerge w:val="restart"/>
                  <w:tcBorders>
                    <w:tl2br w:val="nil"/>
                    <w:tr2bl w:val="nil"/>
                  </w:tcBorders>
                  <w:noWrap w:val="0"/>
                  <w:vAlign w:val="center"/>
                </w:tcPr>
                <w:p w14:paraId="2509C24F">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热风炉燃烧工序</w:t>
                  </w:r>
                </w:p>
              </w:tc>
              <w:tc>
                <w:tcPr>
                  <w:tcW w:w="528" w:type="pct"/>
                  <w:tcBorders>
                    <w:tl2br w:val="nil"/>
                    <w:tr2bl w:val="nil"/>
                  </w:tcBorders>
                  <w:noWrap w:val="0"/>
                  <w:vAlign w:val="center"/>
                </w:tcPr>
                <w:p w14:paraId="3CB97EF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颗粒物</w:t>
                  </w:r>
                </w:p>
              </w:tc>
              <w:tc>
                <w:tcPr>
                  <w:tcW w:w="730" w:type="pct"/>
                  <w:tcBorders>
                    <w:tl2br w:val="nil"/>
                    <w:tr2bl w:val="nil"/>
                  </w:tcBorders>
                  <w:noWrap w:val="0"/>
                  <w:vAlign w:val="center"/>
                </w:tcPr>
                <w:p w14:paraId="6BEC3287">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30</w:t>
                  </w:r>
                </w:p>
              </w:tc>
              <w:tc>
                <w:tcPr>
                  <w:tcW w:w="622" w:type="pct"/>
                  <w:tcBorders>
                    <w:tl2br w:val="nil"/>
                    <w:tr2bl w:val="nil"/>
                  </w:tcBorders>
                  <w:noWrap w:val="0"/>
                  <w:vAlign w:val="center"/>
                </w:tcPr>
                <w:p w14:paraId="67A66804">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w:t>
                  </w:r>
                </w:p>
              </w:tc>
              <w:tc>
                <w:tcPr>
                  <w:tcW w:w="1406" w:type="pct"/>
                  <w:vMerge w:val="restart"/>
                  <w:tcBorders>
                    <w:tl2br w:val="nil"/>
                    <w:tr2bl w:val="nil"/>
                  </w:tcBorders>
                  <w:shd w:val="clear" w:color="auto" w:fill="auto"/>
                  <w:noWrap w:val="0"/>
                  <w:vAlign w:val="center"/>
                </w:tcPr>
                <w:p w14:paraId="0884E90B">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《新疆维吾尔自治区工业炉窑大气污染综合治理实施方案》（新大气发〔2019〕127号）中重点区域工业炉窑大气排放浓度限值</w:t>
                  </w:r>
                </w:p>
              </w:tc>
            </w:tr>
            <w:tr w14:paraId="54BD03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5" w:type="pct"/>
                  <w:vMerge w:val="continue"/>
                  <w:tcBorders>
                    <w:tl2br w:val="nil"/>
                    <w:tr2bl w:val="nil"/>
                  </w:tcBorders>
                  <w:noWrap w:val="0"/>
                  <w:vAlign w:val="center"/>
                </w:tcPr>
                <w:p w14:paraId="1D0E3B00">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p>
              </w:tc>
              <w:tc>
                <w:tcPr>
                  <w:tcW w:w="1275" w:type="pct"/>
                  <w:vMerge w:val="continue"/>
                  <w:tcBorders>
                    <w:tl2br w:val="nil"/>
                    <w:tr2bl w:val="nil"/>
                  </w:tcBorders>
                  <w:noWrap w:val="0"/>
                  <w:vAlign w:val="center"/>
                </w:tcPr>
                <w:p w14:paraId="4AC772B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528" w:type="pct"/>
                  <w:tcBorders>
                    <w:tl2br w:val="nil"/>
                    <w:tr2bl w:val="nil"/>
                  </w:tcBorders>
                  <w:noWrap w:val="0"/>
                  <w:vAlign w:val="center"/>
                </w:tcPr>
                <w:p w14:paraId="435DC865">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二氧化硫</w:t>
                  </w:r>
                </w:p>
              </w:tc>
              <w:tc>
                <w:tcPr>
                  <w:tcW w:w="730" w:type="pct"/>
                  <w:tcBorders>
                    <w:tl2br w:val="nil"/>
                    <w:tr2bl w:val="nil"/>
                  </w:tcBorders>
                  <w:noWrap w:val="0"/>
                  <w:vAlign w:val="center"/>
                </w:tcPr>
                <w:p w14:paraId="07539612">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200</w:t>
                  </w:r>
                </w:p>
              </w:tc>
              <w:tc>
                <w:tcPr>
                  <w:tcW w:w="622" w:type="pct"/>
                  <w:tcBorders>
                    <w:tl2br w:val="nil"/>
                    <w:tr2bl w:val="nil"/>
                  </w:tcBorders>
                  <w:noWrap w:val="0"/>
                  <w:vAlign w:val="center"/>
                </w:tcPr>
                <w:p w14:paraId="0CCAB70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w:t>
                  </w:r>
                </w:p>
              </w:tc>
              <w:tc>
                <w:tcPr>
                  <w:tcW w:w="1406" w:type="pct"/>
                  <w:vMerge w:val="continue"/>
                  <w:tcBorders>
                    <w:tl2br w:val="nil"/>
                    <w:tr2bl w:val="nil"/>
                  </w:tcBorders>
                  <w:shd w:val="clear" w:color="auto" w:fill="auto"/>
                  <w:noWrap w:val="0"/>
                  <w:vAlign w:val="center"/>
                </w:tcPr>
                <w:p w14:paraId="3C867D99">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p>
              </w:tc>
            </w:tr>
            <w:tr w14:paraId="0969F7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5" w:type="pct"/>
                  <w:vMerge w:val="continue"/>
                  <w:tcBorders>
                    <w:tl2br w:val="nil"/>
                    <w:tr2bl w:val="nil"/>
                  </w:tcBorders>
                  <w:noWrap w:val="0"/>
                  <w:vAlign w:val="center"/>
                </w:tcPr>
                <w:p w14:paraId="153E07D1">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p>
              </w:tc>
              <w:tc>
                <w:tcPr>
                  <w:tcW w:w="1275" w:type="pct"/>
                  <w:vMerge w:val="continue"/>
                  <w:tcBorders>
                    <w:tl2br w:val="nil"/>
                    <w:tr2bl w:val="nil"/>
                  </w:tcBorders>
                  <w:noWrap w:val="0"/>
                  <w:vAlign w:val="center"/>
                </w:tcPr>
                <w:p w14:paraId="4D28190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p>
              </w:tc>
              <w:tc>
                <w:tcPr>
                  <w:tcW w:w="528" w:type="pct"/>
                  <w:tcBorders>
                    <w:tl2br w:val="nil"/>
                    <w:tr2bl w:val="nil"/>
                  </w:tcBorders>
                  <w:noWrap w:val="0"/>
                  <w:vAlign w:val="center"/>
                </w:tcPr>
                <w:p w14:paraId="01B667A8">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Cs/>
                      <w:i w:val="0"/>
                      <w:iCs w:val="0"/>
                      <w:snapToGrid w:val="0"/>
                      <w:color w:val="000000" w:themeColor="text1"/>
                      <w:kern w:val="0"/>
                      <w:sz w:val="21"/>
                      <w:szCs w:val="21"/>
                      <w:highlight w:val="none"/>
                      <w:u w:val="none"/>
                      <w:lang w:val="en-US" w:eastAsia="zh-CN" w:bidi="ar"/>
                      <w14:textFill>
                        <w14:solidFill>
                          <w14:schemeClr w14:val="tx1"/>
                        </w14:solidFill>
                      </w14:textFill>
                    </w:rPr>
                    <w:t>氮氧化物</w:t>
                  </w:r>
                </w:p>
              </w:tc>
              <w:tc>
                <w:tcPr>
                  <w:tcW w:w="730" w:type="pct"/>
                  <w:tcBorders>
                    <w:tl2br w:val="nil"/>
                    <w:tr2bl w:val="nil"/>
                  </w:tcBorders>
                  <w:noWrap w:val="0"/>
                  <w:vAlign w:val="center"/>
                </w:tcPr>
                <w:p w14:paraId="0D3EA8ED">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300</w:t>
                  </w:r>
                </w:p>
              </w:tc>
              <w:tc>
                <w:tcPr>
                  <w:tcW w:w="622" w:type="pct"/>
                  <w:tcBorders>
                    <w:tl2br w:val="nil"/>
                    <w:tr2bl w:val="nil"/>
                  </w:tcBorders>
                  <w:noWrap w:val="0"/>
                  <w:vAlign w:val="center"/>
                </w:tcPr>
                <w:p w14:paraId="75CE01AA">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w:t>
                  </w:r>
                </w:p>
              </w:tc>
              <w:tc>
                <w:tcPr>
                  <w:tcW w:w="1406" w:type="pct"/>
                  <w:vMerge w:val="continue"/>
                  <w:tcBorders>
                    <w:tl2br w:val="nil"/>
                    <w:tr2bl w:val="nil"/>
                  </w:tcBorders>
                  <w:noWrap w:val="0"/>
                  <w:vAlign w:val="center"/>
                </w:tcPr>
                <w:p w14:paraId="1AC62E03">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p>
              </w:tc>
            </w:tr>
          </w:tbl>
          <w:p w14:paraId="3B7635B1">
            <w:pPr>
              <w:keepNext w:val="0"/>
              <w:keepLines w:val="0"/>
              <w:widowControl/>
              <w:suppressLineNumbers w:val="0"/>
              <w:jc w:val="cente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eastAsia" w:cs="Times New Roman"/>
                <w:b/>
                <w:bCs/>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项目施工期及运营期无组织废气</w:t>
            </w: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污染物排放限值标准</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44"/>
              <w:gridCol w:w="1269"/>
              <w:gridCol w:w="2527"/>
              <w:gridCol w:w="657"/>
              <w:gridCol w:w="2474"/>
            </w:tblGrid>
            <w:tr w14:paraId="380C37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pct"/>
                  <w:tcBorders>
                    <w:tl2br w:val="nil"/>
                    <w:tr2bl w:val="nil"/>
                  </w:tcBorders>
                  <w:noWrap w:val="0"/>
                  <w:vAlign w:val="center"/>
                </w:tcPr>
                <w:p w14:paraId="001C03D6">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污染物</w:t>
                  </w:r>
                </w:p>
                <w:p w14:paraId="4F544613">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名称</w:t>
                  </w:r>
                </w:p>
              </w:tc>
              <w:tc>
                <w:tcPr>
                  <w:tcW w:w="796" w:type="pct"/>
                  <w:tcBorders>
                    <w:tl2br w:val="nil"/>
                    <w:tr2bl w:val="nil"/>
                  </w:tcBorders>
                  <w:noWrap w:val="0"/>
                  <w:vAlign w:val="center"/>
                </w:tcPr>
                <w:p w14:paraId="553322D7">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污染物</w:t>
                  </w:r>
                </w:p>
              </w:tc>
              <w:tc>
                <w:tcPr>
                  <w:tcW w:w="1997" w:type="pct"/>
                  <w:gridSpan w:val="2"/>
                  <w:tcBorders>
                    <w:tl2br w:val="nil"/>
                    <w:tr2bl w:val="nil"/>
                  </w:tcBorders>
                  <w:noWrap w:val="0"/>
                  <w:vAlign w:val="center"/>
                </w:tcPr>
                <w:p w14:paraId="550459BF">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Cs w:val="21"/>
                      <w:lang w:val="en-US" w:eastAsia="zh-CN"/>
                      <w14:textFill>
                        <w14:solidFill>
                          <w14:schemeClr w14:val="tx1"/>
                        </w14:solidFill>
                      </w14:textFill>
                    </w:rPr>
                    <w:t>标准限值（</w:t>
                  </w:r>
                  <w:r>
                    <w:rPr>
                      <w:rFonts w:hint="default" w:ascii="Times New Roman" w:hAnsi="Times New Roman" w:cs="Times New Roman"/>
                      <w:b/>
                      <w:bCs/>
                      <w:color w:val="000000" w:themeColor="text1"/>
                      <w:szCs w:val="21"/>
                      <w14:textFill>
                        <w14:solidFill>
                          <w14:schemeClr w14:val="tx1"/>
                        </w14:solidFill>
                      </w14:textFill>
                    </w:rPr>
                    <w:t>mg/m</w:t>
                  </w:r>
                  <w:r>
                    <w:rPr>
                      <w:rFonts w:hint="default" w:ascii="Times New Roman" w:hAnsi="Times New Roman" w:cs="Times New Roman"/>
                      <w:b/>
                      <w:bCs/>
                      <w:color w:val="000000" w:themeColor="text1"/>
                      <w:szCs w:val="21"/>
                      <w:vertAlign w:val="superscript"/>
                      <w14:textFill>
                        <w14:solidFill>
                          <w14:schemeClr w14:val="tx1"/>
                        </w14:solidFill>
                      </w14:textFill>
                    </w:rPr>
                    <w:t>3</w:t>
                  </w:r>
                  <w:r>
                    <w:rPr>
                      <w:rFonts w:hint="eastAsia" w:ascii="Times New Roman" w:hAnsi="Times New Roman" w:eastAsia="宋体" w:cs="Times New Roman"/>
                      <w:b/>
                      <w:bCs/>
                      <w:color w:val="000000" w:themeColor="text1"/>
                      <w:szCs w:val="21"/>
                      <w:lang w:val="en-US" w:eastAsia="zh-CN"/>
                      <w14:textFill>
                        <w14:solidFill>
                          <w14:schemeClr w14:val="tx1"/>
                        </w14:solidFill>
                      </w14:textFill>
                    </w:rPr>
                    <w:t>）</w:t>
                  </w:r>
                </w:p>
              </w:tc>
              <w:tc>
                <w:tcPr>
                  <w:tcW w:w="1551" w:type="pct"/>
                  <w:tcBorders>
                    <w:tl2br w:val="nil"/>
                    <w:tr2bl w:val="nil"/>
                  </w:tcBorders>
                  <w:noWrap w:val="0"/>
                  <w:vAlign w:val="center"/>
                </w:tcPr>
                <w:p w14:paraId="25567CC4">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bCs/>
                      <w:color w:val="000000" w:themeColor="text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Cs w:val="21"/>
                      <w:lang w:val="en-US" w:eastAsia="zh-CN"/>
                      <w14:textFill>
                        <w14:solidFill>
                          <w14:schemeClr w14:val="tx1"/>
                        </w14:solidFill>
                      </w14:textFill>
                    </w:rPr>
                    <w:t>标准来源</w:t>
                  </w:r>
                </w:p>
              </w:tc>
            </w:tr>
            <w:tr w14:paraId="526B55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pct"/>
                  <w:vMerge w:val="restart"/>
                  <w:tcBorders>
                    <w:tl2br w:val="nil"/>
                    <w:tr2bl w:val="nil"/>
                  </w:tcBorders>
                  <w:noWrap w:val="0"/>
                  <w:vAlign w:val="center"/>
                </w:tcPr>
                <w:p w14:paraId="49277043">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运营期厂区内无组织</w:t>
                  </w:r>
                </w:p>
              </w:tc>
              <w:tc>
                <w:tcPr>
                  <w:tcW w:w="796" w:type="pct"/>
                  <w:vMerge w:val="restart"/>
                  <w:tcBorders>
                    <w:tl2br w:val="nil"/>
                    <w:tr2bl w:val="nil"/>
                  </w:tcBorders>
                  <w:noWrap w:val="0"/>
                  <w:vAlign w:val="center"/>
                </w:tcPr>
                <w:p w14:paraId="7DBA9C3E">
                  <w:pPr>
                    <w:pStyle w:val="73"/>
                    <w:pageBreakBefore w:val="0"/>
                    <w:widowControl w:val="0"/>
                    <w:shd w:val="clear" w:color="auto" w:fill="auto"/>
                    <w:kinsoku/>
                    <w:bidi w:val="0"/>
                    <w:spacing w:line="240" w:lineRule="auto"/>
                    <w:ind w:left="0" w:leftChars="0" w:right="0" w:rightChars="0" w:firstLine="0" w:firstLineChars="0"/>
                    <w:rPr>
                      <w:rFonts w:hint="default" w:ascii="Times New Roman" w:hAnsi="Times New Roman" w:eastAsia="宋体" w:cs="Times New Roman"/>
                      <w:b w:val="0"/>
                      <w:bCs w:val="0"/>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非甲烷总烃</w:t>
                  </w:r>
                </w:p>
              </w:tc>
              <w:tc>
                <w:tcPr>
                  <w:tcW w:w="1585" w:type="pct"/>
                  <w:tcBorders>
                    <w:tl2br w:val="nil"/>
                    <w:tr2bl w:val="nil"/>
                  </w:tcBorders>
                  <w:noWrap w:val="0"/>
                  <w:vAlign w:val="center"/>
                </w:tcPr>
                <w:p w14:paraId="18375FE4">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监控点处1h平均浓度值</w:t>
                  </w:r>
                </w:p>
              </w:tc>
              <w:tc>
                <w:tcPr>
                  <w:tcW w:w="412" w:type="pct"/>
                  <w:tcBorders>
                    <w:tl2br w:val="nil"/>
                    <w:tr2bl w:val="nil"/>
                  </w:tcBorders>
                  <w:noWrap w:val="0"/>
                  <w:vAlign w:val="center"/>
                </w:tcPr>
                <w:p w14:paraId="40581381">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6</w:t>
                  </w:r>
                </w:p>
              </w:tc>
              <w:tc>
                <w:tcPr>
                  <w:tcW w:w="1551" w:type="pct"/>
                  <w:vMerge w:val="restart"/>
                  <w:tcBorders>
                    <w:tl2br w:val="nil"/>
                    <w:tr2bl w:val="nil"/>
                  </w:tcBorders>
                  <w:noWrap w:val="0"/>
                  <w:vAlign w:val="center"/>
                </w:tcPr>
                <w:p w14:paraId="79DA0261">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14:textFill>
                        <w14:solidFill>
                          <w14:schemeClr w14:val="tx1"/>
                        </w14:solidFill>
                      </w14:textFill>
                    </w:rPr>
                  </w:pPr>
                  <w:r>
                    <w:rPr>
                      <w:rFonts w:hint="default" w:ascii="Times New Roman" w:hAnsi="Times New Roman" w:eastAsia="宋体" w:cs="Times New Roman"/>
                      <w:color w:val="000000" w:themeColor="text1"/>
                      <w:kern w:val="28"/>
                      <w:sz w:val="21"/>
                      <w:szCs w:val="21"/>
                      <w:lang w:val="en-US" w:eastAsia="zh-CN" w:bidi="ar-SA"/>
                      <w14:textFill>
                        <w14:solidFill>
                          <w14:schemeClr w14:val="tx1"/>
                        </w14:solidFill>
                      </w14:textFill>
                    </w:rPr>
                    <w:t>《挥发性有机物无组织排放控制标准》（GB37822-2019）</w:t>
                  </w:r>
                  <w:r>
                    <w:rPr>
                      <w:rFonts w:hint="eastAsia" w:ascii="Times New Roman" w:hAnsi="Times New Roman" w:eastAsia="宋体" w:cs="Times New Roman"/>
                      <w:color w:val="000000" w:themeColor="text1"/>
                      <w:kern w:val="28"/>
                      <w:sz w:val="21"/>
                      <w:szCs w:val="21"/>
                      <w:lang w:val="en-US" w:eastAsia="zh-CN" w:bidi="ar-SA"/>
                      <w14:textFill>
                        <w14:solidFill>
                          <w14:schemeClr w14:val="tx1"/>
                        </w14:solidFill>
                      </w14:textFill>
                    </w:rPr>
                    <w:t>表A.1特别排放限值</w:t>
                  </w:r>
                </w:p>
              </w:tc>
            </w:tr>
            <w:tr w14:paraId="298EA1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654" w:type="pct"/>
                  <w:vMerge w:val="continue"/>
                  <w:tcBorders>
                    <w:tl2br w:val="nil"/>
                    <w:tr2bl w:val="nil"/>
                  </w:tcBorders>
                  <w:noWrap w:val="0"/>
                  <w:vAlign w:val="center"/>
                </w:tcPr>
                <w:p w14:paraId="0FBA88EB">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p>
              </w:tc>
              <w:tc>
                <w:tcPr>
                  <w:tcW w:w="796" w:type="pct"/>
                  <w:vMerge w:val="continue"/>
                  <w:tcBorders>
                    <w:tl2br w:val="nil"/>
                    <w:tr2bl w:val="nil"/>
                  </w:tcBorders>
                  <w:noWrap w:val="0"/>
                  <w:vAlign w:val="center"/>
                </w:tcPr>
                <w:p w14:paraId="197CE778">
                  <w:pPr>
                    <w:pStyle w:val="73"/>
                    <w:pageBreakBefore w:val="0"/>
                    <w:widowControl w:val="0"/>
                    <w:shd w:val="clear" w:color="auto" w:fill="auto"/>
                    <w:kinsoku/>
                    <w:bidi w:val="0"/>
                    <w:spacing w:line="240" w:lineRule="auto"/>
                    <w:ind w:left="0" w:leftChars="0" w:right="0" w:rightChars="0" w:firstLine="0" w:firstLineChars="0"/>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p>
              </w:tc>
              <w:tc>
                <w:tcPr>
                  <w:tcW w:w="1585" w:type="pct"/>
                  <w:tcBorders>
                    <w:tl2br w:val="nil"/>
                    <w:tr2bl w:val="nil"/>
                  </w:tcBorders>
                  <w:noWrap w:val="0"/>
                  <w:vAlign w:val="center"/>
                </w:tcPr>
                <w:p w14:paraId="2E7D368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监控点处任意一次浓度值</w:t>
                  </w:r>
                </w:p>
              </w:tc>
              <w:tc>
                <w:tcPr>
                  <w:tcW w:w="412" w:type="pct"/>
                  <w:tcBorders>
                    <w:tl2br w:val="nil"/>
                    <w:tr2bl w:val="nil"/>
                  </w:tcBorders>
                  <w:noWrap w:val="0"/>
                  <w:vAlign w:val="center"/>
                </w:tcPr>
                <w:p w14:paraId="27ACADA1">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20</w:t>
                  </w:r>
                </w:p>
              </w:tc>
              <w:tc>
                <w:tcPr>
                  <w:tcW w:w="1551" w:type="pct"/>
                  <w:vMerge w:val="continue"/>
                  <w:tcBorders>
                    <w:tl2br w:val="nil"/>
                    <w:tr2bl w:val="nil"/>
                  </w:tcBorders>
                  <w:noWrap w:val="0"/>
                  <w:vAlign w:val="center"/>
                </w:tcPr>
                <w:p w14:paraId="642ABE6A">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p>
              </w:tc>
            </w:tr>
            <w:tr w14:paraId="372D09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54" w:type="pct"/>
                  <w:vMerge w:val="restart"/>
                  <w:tcBorders>
                    <w:tl2br w:val="nil"/>
                    <w:tr2bl w:val="nil"/>
                  </w:tcBorders>
                  <w:noWrap w:val="0"/>
                  <w:vAlign w:val="center"/>
                </w:tcPr>
                <w:p w14:paraId="6E56E37E">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运营期厂界</w:t>
                  </w: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无组织</w:t>
                  </w:r>
                </w:p>
              </w:tc>
              <w:tc>
                <w:tcPr>
                  <w:tcW w:w="796" w:type="pct"/>
                  <w:tcBorders>
                    <w:tl2br w:val="nil"/>
                    <w:tr2bl w:val="nil"/>
                  </w:tcBorders>
                  <w:noWrap w:val="0"/>
                  <w:vAlign w:val="center"/>
                </w:tcPr>
                <w:p w14:paraId="2441C43B">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TSP</w:t>
                  </w:r>
                </w:p>
              </w:tc>
              <w:tc>
                <w:tcPr>
                  <w:tcW w:w="1585" w:type="pct"/>
                  <w:tcBorders>
                    <w:tl2br w:val="nil"/>
                    <w:tr2bl w:val="nil"/>
                  </w:tcBorders>
                  <w:noWrap w:val="0"/>
                  <w:vAlign w:val="center"/>
                </w:tcPr>
                <w:p w14:paraId="52CDC112">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周界外浓度最高点</w:t>
                  </w:r>
                </w:p>
              </w:tc>
              <w:tc>
                <w:tcPr>
                  <w:tcW w:w="412" w:type="pct"/>
                  <w:tcBorders>
                    <w:tl2br w:val="nil"/>
                    <w:tr2bl w:val="nil"/>
                  </w:tcBorders>
                  <w:noWrap w:val="0"/>
                  <w:vAlign w:val="center"/>
                </w:tcPr>
                <w:p w14:paraId="47842242">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1.0</w:t>
                  </w:r>
                </w:p>
              </w:tc>
              <w:tc>
                <w:tcPr>
                  <w:tcW w:w="1551" w:type="pct"/>
                  <w:vMerge w:val="restart"/>
                  <w:tcBorders>
                    <w:tl2br w:val="nil"/>
                    <w:tr2bl w:val="nil"/>
                  </w:tcBorders>
                  <w:noWrap w:val="0"/>
                  <w:vAlign w:val="center"/>
                </w:tcPr>
                <w:p w14:paraId="7E57ACF2">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《大气污染物综合排放标准》（GB16297-1996）中表2二级标准排放限值</w:t>
                  </w:r>
                </w:p>
              </w:tc>
            </w:tr>
            <w:tr w14:paraId="263F9C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654" w:type="pct"/>
                  <w:vMerge w:val="continue"/>
                  <w:tcBorders>
                    <w:tl2br w:val="nil"/>
                    <w:tr2bl w:val="nil"/>
                  </w:tcBorders>
                  <w:noWrap w:val="0"/>
                  <w:vAlign w:val="center"/>
                </w:tcPr>
                <w:p w14:paraId="4C94DE1F">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p>
              </w:tc>
              <w:tc>
                <w:tcPr>
                  <w:tcW w:w="796" w:type="pct"/>
                  <w:tcBorders>
                    <w:tl2br w:val="nil"/>
                    <w:tr2bl w:val="nil"/>
                  </w:tcBorders>
                  <w:noWrap w:val="0"/>
                  <w:vAlign w:val="center"/>
                </w:tcPr>
                <w:p w14:paraId="30D0AED4">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非甲烷总烃</w:t>
                  </w:r>
                </w:p>
              </w:tc>
              <w:tc>
                <w:tcPr>
                  <w:tcW w:w="1585" w:type="pct"/>
                  <w:tcBorders>
                    <w:tl2br w:val="nil"/>
                    <w:tr2bl w:val="nil"/>
                  </w:tcBorders>
                  <w:noWrap w:val="0"/>
                  <w:vAlign w:val="center"/>
                </w:tcPr>
                <w:p w14:paraId="0A0E1C19">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周界外浓度最高点</w:t>
                  </w:r>
                </w:p>
              </w:tc>
              <w:tc>
                <w:tcPr>
                  <w:tcW w:w="412" w:type="pct"/>
                  <w:tcBorders>
                    <w:tl2br w:val="nil"/>
                    <w:tr2bl w:val="nil"/>
                  </w:tcBorders>
                  <w:noWrap w:val="0"/>
                  <w:vAlign w:val="center"/>
                </w:tcPr>
                <w:p w14:paraId="5A5790C3">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4.0</w:t>
                  </w:r>
                </w:p>
              </w:tc>
              <w:tc>
                <w:tcPr>
                  <w:tcW w:w="1551" w:type="pct"/>
                  <w:vMerge w:val="continue"/>
                  <w:tcBorders>
                    <w:tl2br w:val="nil"/>
                    <w:tr2bl w:val="nil"/>
                  </w:tcBorders>
                  <w:noWrap w:val="0"/>
                  <w:vAlign w:val="center"/>
                </w:tcPr>
                <w:p w14:paraId="512FFD1F">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14:textFill>
                        <w14:solidFill>
                          <w14:schemeClr w14:val="tx1"/>
                        </w14:solidFill>
                      </w14:textFill>
                    </w:rPr>
                  </w:pPr>
                </w:p>
              </w:tc>
            </w:tr>
            <w:tr w14:paraId="4CFCB3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654" w:type="pct"/>
                  <w:tcBorders>
                    <w:tl2br w:val="nil"/>
                    <w:tr2bl w:val="nil"/>
                  </w:tcBorders>
                  <w:noWrap w:val="0"/>
                  <w:vAlign w:val="center"/>
                </w:tcPr>
                <w:p w14:paraId="01D4CFB2">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施工期</w:t>
                  </w:r>
                </w:p>
              </w:tc>
              <w:tc>
                <w:tcPr>
                  <w:tcW w:w="796" w:type="pct"/>
                  <w:tcBorders>
                    <w:tl2br w:val="nil"/>
                    <w:tr2bl w:val="nil"/>
                  </w:tcBorders>
                  <w:noWrap w:val="0"/>
                  <w:vAlign w:val="center"/>
                </w:tcPr>
                <w:p w14:paraId="7E0DBBCA">
                  <w:pPr>
                    <w:keepNext w:val="0"/>
                    <w:keepLines w:val="0"/>
                    <w:pageBreakBefore w:val="0"/>
                    <w:widowControl w:val="0"/>
                    <w:kinsoku/>
                    <w:wordWrap/>
                    <w:overflowPunct/>
                    <w:topLinePunct w:val="0"/>
                    <w:autoSpaceDE w:val="0"/>
                    <w:autoSpaceDN w:val="0"/>
                    <w:bidi w:val="0"/>
                    <w:adjustRightInd/>
                    <w:snapToGrid/>
                    <w:spacing w:line="360" w:lineRule="exact"/>
                    <w:jc w:val="center"/>
                    <w:textAlignment w:val="auto"/>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TSP</w:t>
                  </w:r>
                </w:p>
              </w:tc>
              <w:tc>
                <w:tcPr>
                  <w:tcW w:w="1585" w:type="pct"/>
                  <w:tcBorders>
                    <w:tl2br w:val="nil"/>
                    <w:tr2bl w:val="nil"/>
                  </w:tcBorders>
                  <w:noWrap w:val="0"/>
                  <w:vAlign w:val="center"/>
                </w:tcPr>
                <w:p w14:paraId="42B62FEE">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周界外浓度最高点</w:t>
                  </w:r>
                </w:p>
              </w:tc>
              <w:tc>
                <w:tcPr>
                  <w:tcW w:w="412" w:type="pct"/>
                  <w:tcBorders>
                    <w:tl2br w:val="nil"/>
                    <w:tr2bl w:val="nil"/>
                  </w:tcBorders>
                  <w:noWrap w:val="0"/>
                  <w:vAlign w:val="center"/>
                </w:tcPr>
                <w:p w14:paraId="163B66E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1.0</w:t>
                  </w:r>
                </w:p>
              </w:tc>
              <w:tc>
                <w:tcPr>
                  <w:tcW w:w="1551" w:type="pct"/>
                  <w:tcBorders>
                    <w:tl2br w:val="nil"/>
                    <w:tr2bl w:val="nil"/>
                  </w:tcBorders>
                  <w:noWrap w:val="0"/>
                  <w:vAlign w:val="center"/>
                </w:tcPr>
                <w:p w14:paraId="7FC3EE00">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b w:val="0"/>
                      <w:bCs w:val="0"/>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《大气污染物综合排放标准》（GB16297-1996）中表2二级标准排放限值</w:t>
                  </w:r>
                </w:p>
              </w:tc>
            </w:tr>
          </w:tbl>
          <w:p w14:paraId="33E7F20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2、废水</w:t>
            </w:r>
          </w:p>
          <w:p w14:paraId="7B70A57F">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运营期本项目生产不产生废水；</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员工盥洗及如厕生活污水排入厂区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防渗化粪池，定期拉运至</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呼图壁县工业园区化工园污水处理厂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处理。</w:t>
            </w:r>
          </w:p>
          <w:p w14:paraId="358D208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生活污水执行《污水综合排放标准》（GB8978-1996）表4中三级标准。</w:t>
            </w:r>
          </w:p>
          <w:p w14:paraId="2693713A">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具体标准限</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值见表3-</w:t>
            </w:r>
            <w:r>
              <w:rPr>
                <w:rFonts w:hint="eastAsia" w:cs="Times New Roman"/>
                <w:color w:val="000000" w:themeColor="text1"/>
                <w:kern w:val="0"/>
                <w:sz w:val="24"/>
                <w:szCs w:val="24"/>
                <w:highlight w:val="none"/>
                <w:lang w:val="en-US" w:eastAsia="zh-CN" w:bidi="ar"/>
                <w14:textFill>
                  <w14:solidFill>
                    <w14:schemeClr w14:val="tx1"/>
                  </w14:solidFill>
                </w14:textFill>
              </w:rPr>
              <w:t>6</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1BEB6856">
            <w:pPr>
              <w:pStyle w:val="74"/>
              <w:keepNext w:val="0"/>
              <w:keepLines w:val="0"/>
              <w:pageBreakBefore w:val="0"/>
              <w:widowControl/>
              <w:kinsoku/>
              <w:wordWrap/>
              <w:overflowPunct/>
              <w:topLinePunct w:val="0"/>
              <w:autoSpaceDE/>
              <w:autoSpaceDN/>
              <w:bidi w:val="0"/>
              <w:adjustRightInd w:val="0"/>
              <w:snapToGrid w:val="0"/>
              <w:spacing w:before="0" w:after="0" w:line="240" w:lineRule="auto"/>
              <w:ind w:left="0" w:leftChars="0" w:firstLine="0" w:firstLineChars="0"/>
              <w:jc w:val="center"/>
              <w:textAlignment w:val="auto"/>
              <w:rPr>
                <w:rFonts w:hint="eastAsia" w:ascii="Times New Roman" w:hAnsi="Times New Roman" w:eastAsia="宋体" w:cs="Times New Roman"/>
                <w:b/>
                <w:bCs/>
                <w:snapToGrid/>
                <w:color w:val="000000" w:themeColor="text1"/>
                <w:spacing w:val="0"/>
                <w:w w:val="100"/>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color w:val="000000" w:themeColor="text1"/>
                <w:spacing w:val="0"/>
                <w:w w:val="100"/>
                <w:kern w:val="2"/>
                <w:sz w:val="21"/>
                <w:szCs w:val="24"/>
                <w:highlight w:val="none"/>
                <w:lang w:val="en-US" w:eastAsia="zh-CN" w:bidi="ar-SA"/>
                <w14:textFill>
                  <w14:solidFill>
                    <w14:schemeClr w14:val="tx1"/>
                  </w14:solidFill>
                </w14:textFill>
              </w:rPr>
              <w:t>表3-</w:t>
            </w:r>
            <w:r>
              <w:rPr>
                <w:rFonts w:hint="eastAsia" w:ascii="Times New Roman" w:eastAsia="宋体" w:cs="Times New Roman"/>
                <w:b/>
                <w:bCs/>
                <w:snapToGrid/>
                <w:color w:val="000000" w:themeColor="text1"/>
                <w:spacing w:val="0"/>
                <w:w w:val="100"/>
                <w:kern w:val="2"/>
                <w:sz w:val="21"/>
                <w:szCs w:val="24"/>
                <w:highlight w:val="none"/>
                <w:lang w:val="en-US" w:eastAsia="zh-CN" w:bidi="ar-SA"/>
                <w14:textFill>
                  <w14:solidFill>
                    <w14:schemeClr w14:val="tx1"/>
                  </w14:solidFill>
                </w14:textFill>
              </w:rPr>
              <w:t>6</w:t>
            </w:r>
            <w:r>
              <w:rPr>
                <w:rFonts w:hint="default" w:ascii="Times New Roman" w:hAnsi="Times New Roman" w:eastAsia="宋体" w:cs="Times New Roman"/>
                <w:b/>
                <w:bCs/>
                <w:snapToGrid/>
                <w:color w:val="000000" w:themeColor="text1"/>
                <w:spacing w:val="0"/>
                <w:w w:val="100"/>
                <w:kern w:val="2"/>
                <w:sz w:val="21"/>
                <w:szCs w:val="24"/>
                <w:highlight w:val="none"/>
                <w:lang w:val="en-US" w:eastAsia="zh-CN" w:bidi="ar-SA"/>
                <w14:textFill>
                  <w14:solidFill>
                    <w14:schemeClr w14:val="tx1"/>
                  </w14:solidFill>
                </w14:textFill>
              </w:rPr>
              <w:t xml:space="preserve">  </w:t>
            </w:r>
            <w:r>
              <w:rPr>
                <w:rFonts w:hint="eastAsia" w:ascii="Times New Roman" w:hAnsi="Times New Roman" w:eastAsia="宋体" w:cs="Times New Roman"/>
                <w:b/>
                <w:bCs/>
                <w:snapToGrid/>
                <w:color w:val="000000" w:themeColor="text1"/>
                <w:spacing w:val="0"/>
                <w:w w:val="100"/>
                <w:kern w:val="2"/>
                <w:sz w:val="21"/>
                <w:szCs w:val="24"/>
                <w:highlight w:val="none"/>
                <w:lang w:val="en-US" w:eastAsia="zh-CN" w:bidi="ar-SA"/>
                <w14:textFill>
                  <w14:solidFill>
                    <w14:schemeClr w14:val="tx1"/>
                  </w14:solidFill>
                </w14:textFill>
              </w:rPr>
              <w:t xml:space="preserve"> 运营期生活污水排放标准</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597"/>
              <w:gridCol w:w="1593"/>
              <w:gridCol w:w="1593"/>
              <w:gridCol w:w="1175"/>
              <w:gridCol w:w="2016"/>
            </w:tblGrid>
            <w:tr w14:paraId="4E14D03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97" w:type="dxa"/>
                  <w:tcBorders>
                    <w:tl2br w:val="nil"/>
                    <w:tr2bl w:val="nil"/>
                  </w:tcBorders>
                  <w:noWrap w:val="0"/>
                  <w:vAlign w:val="center"/>
                </w:tcPr>
                <w:p w14:paraId="77B622E4">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类别</w:t>
                  </w:r>
                </w:p>
              </w:tc>
              <w:tc>
                <w:tcPr>
                  <w:tcW w:w="1593" w:type="dxa"/>
                  <w:tcBorders>
                    <w:tl2br w:val="nil"/>
                    <w:tr2bl w:val="nil"/>
                  </w:tcBorders>
                  <w:noWrap w:val="0"/>
                  <w:vAlign w:val="center"/>
                </w:tcPr>
                <w:p w14:paraId="32BD489C">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污染物</w:t>
                  </w:r>
                </w:p>
              </w:tc>
              <w:tc>
                <w:tcPr>
                  <w:tcW w:w="1593" w:type="dxa"/>
                  <w:tcBorders>
                    <w:tl2br w:val="nil"/>
                    <w:tr2bl w:val="nil"/>
                  </w:tcBorders>
                  <w:noWrap w:val="0"/>
                  <w:vAlign w:val="center"/>
                </w:tcPr>
                <w:p w14:paraId="4EF6FFF5">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单位</w:t>
                  </w:r>
                </w:p>
              </w:tc>
              <w:tc>
                <w:tcPr>
                  <w:tcW w:w="1175" w:type="dxa"/>
                  <w:tcBorders>
                    <w:tl2br w:val="nil"/>
                    <w:tr2bl w:val="nil"/>
                  </w:tcBorders>
                  <w:noWrap w:val="0"/>
                  <w:vAlign w:val="center"/>
                </w:tcPr>
                <w:p w14:paraId="5E3B91AA">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限值标准</w:t>
                  </w:r>
                </w:p>
              </w:tc>
              <w:tc>
                <w:tcPr>
                  <w:tcW w:w="2016" w:type="dxa"/>
                  <w:tcBorders>
                    <w:tl2br w:val="nil"/>
                    <w:tr2bl w:val="nil"/>
                  </w:tcBorders>
                  <w:noWrap w:val="0"/>
                  <w:vAlign w:val="center"/>
                </w:tcPr>
                <w:p w14:paraId="09657D95">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标准来源</w:t>
                  </w:r>
                </w:p>
              </w:tc>
            </w:tr>
            <w:tr w14:paraId="7D89235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97" w:type="dxa"/>
                  <w:vMerge w:val="restart"/>
                  <w:tcBorders>
                    <w:tl2br w:val="nil"/>
                    <w:tr2bl w:val="nil"/>
                  </w:tcBorders>
                  <w:noWrap w:val="0"/>
                  <w:vAlign w:val="center"/>
                </w:tcPr>
                <w:p w14:paraId="743B126B">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生活污水</w:t>
                  </w:r>
                </w:p>
              </w:tc>
              <w:tc>
                <w:tcPr>
                  <w:tcW w:w="1593" w:type="dxa"/>
                  <w:tcBorders>
                    <w:tl2br w:val="nil"/>
                    <w:tr2bl w:val="nil"/>
                  </w:tcBorders>
                  <w:noWrap w:val="0"/>
                  <w:vAlign w:val="center"/>
                </w:tcPr>
                <w:p w14:paraId="12A6AD8F">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pH值</w:t>
                  </w:r>
                </w:p>
              </w:tc>
              <w:tc>
                <w:tcPr>
                  <w:tcW w:w="1593" w:type="dxa"/>
                  <w:tcBorders>
                    <w:tl2br w:val="nil"/>
                    <w:tr2bl w:val="nil"/>
                  </w:tcBorders>
                  <w:noWrap w:val="0"/>
                  <w:vAlign w:val="center"/>
                </w:tcPr>
                <w:p w14:paraId="1F3A2DFD">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无量纲</w:t>
                  </w:r>
                </w:p>
              </w:tc>
              <w:tc>
                <w:tcPr>
                  <w:tcW w:w="1175" w:type="dxa"/>
                  <w:tcBorders>
                    <w:tl2br w:val="nil"/>
                    <w:tr2bl w:val="nil"/>
                  </w:tcBorders>
                  <w:noWrap w:val="0"/>
                  <w:vAlign w:val="center"/>
                </w:tcPr>
                <w:p w14:paraId="16F76D3E">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6~9</w:t>
                  </w:r>
                </w:p>
              </w:tc>
              <w:tc>
                <w:tcPr>
                  <w:tcW w:w="2016" w:type="dxa"/>
                  <w:vMerge w:val="restart"/>
                  <w:tcBorders>
                    <w:tl2br w:val="nil"/>
                    <w:tr2bl w:val="nil"/>
                  </w:tcBorders>
                  <w:noWrap w:val="0"/>
                  <w:vAlign w:val="center"/>
                </w:tcPr>
                <w:p w14:paraId="13B62309">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《污水综合排放标准》（GB8978-1996）表4中三级标准</w:t>
                  </w:r>
                </w:p>
              </w:tc>
            </w:tr>
            <w:tr w14:paraId="6DE76ED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97" w:type="dxa"/>
                  <w:vMerge w:val="continue"/>
                  <w:tcBorders>
                    <w:tl2br w:val="nil"/>
                    <w:tr2bl w:val="nil"/>
                  </w:tcBorders>
                  <w:noWrap w:val="0"/>
                  <w:vAlign w:val="center"/>
                </w:tcPr>
                <w:p w14:paraId="1885F629">
                  <w:pPr>
                    <w:rPr>
                      <w:rFonts w:ascii="Arial"/>
                      <w:color w:val="000000" w:themeColor="text1"/>
                      <w:sz w:val="21"/>
                      <w:szCs w:val="21"/>
                      <w:highlight w:val="none"/>
                      <w14:textFill>
                        <w14:solidFill>
                          <w14:schemeClr w14:val="tx1"/>
                        </w14:solidFill>
                      </w14:textFill>
                    </w:rPr>
                  </w:pPr>
                </w:p>
              </w:tc>
              <w:tc>
                <w:tcPr>
                  <w:tcW w:w="1593" w:type="dxa"/>
                  <w:tcBorders>
                    <w:tl2br w:val="nil"/>
                    <w:tr2bl w:val="nil"/>
                  </w:tcBorders>
                  <w:noWrap w:val="0"/>
                  <w:vAlign w:val="center"/>
                </w:tcPr>
                <w:p w14:paraId="0E57AC92">
                  <w:pPr>
                    <w:spacing w:before="53" w:line="189" w:lineRule="auto"/>
                    <w:ind w:left="690"/>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SS</w:t>
                  </w:r>
                </w:p>
              </w:tc>
              <w:tc>
                <w:tcPr>
                  <w:tcW w:w="1593" w:type="dxa"/>
                  <w:tcBorders>
                    <w:tl2br w:val="nil"/>
                    <w:tr2bl w:val="nil"/>
                  </w:tcBorders>
                  <w:noWrap w:val="0"/>
                  <w:vAlign w:val="center"/>
                </w:tcPr>
                <w:p w14:paraId="13F680FD">
                  <w:pPr>
                    <w:spacing w:before="50" w:line="193" w:lineRule="auto"/>
                    <w:ind w:left="568"/>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mg</w:t>
                  </w:r>
                  <w:r>
                    <w:rPr>
                      <w:rFonts w:ascii="Times New Roman" w:hAnsi="Times New Roman" w:eastAsia="Times New Roman" w:cs="Times New Roman"/>
                      <w:color w:val="000000" w:themeColor="text1"/>
                      <w:spacing w:val="9"/>
                      <w:sz w:val="21"/>
                      <w:szCs w:val="21"/>
                      <w:highlight w:val="none"/>
                      <w14:textFill>
                        <w14:solidFill>
                          <w14:schemeClr w14:val="tx1"/>
                        </w14:solidFill>
                      </w14:textFill>
                    </w:rPr>
                    <w:t>/L</w:t>
                  </w:r>
                </w:p>
              </w:tc>
              <w:tc>
                <w:tcPr>
                  <w:tcW w:w="1175" w:type="dxa"/>
                  <w:tcBorders>
                    <w:tl2br w:val="nil"/>
                    <w:tr2bl w:val="nil"/>
                  </w:tcBorders>
                  <w:noWrap w:val="0"/>
                  <w:vAlign w:val="center"/>
                </w:tcPr>
                <w:p w14:paraId="27794C42">
                  <w:pPr>
                    <w:spacing w:before="53" w:line="189" w:lineRule="auto"/>
                    <w:ind w:left="432"/>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400</w:t>
                  </w:r>
                </w:p>
              </w:tc>
              <w:tc>
                <w:tcPr>
                  <w:tcW w:w="2016" w:type="dxa"/>
                  <w:vMerge w:val="continue"/>
                  <w:tcBorders>
                    <w:tl2br w:val="nil"/>
                    <w:tr2bl w:val="nil"/>
                  </w:tcBorders>
                  <w:noWrap w:val="0"/>
                  <w:vAlign w:val="center"/>
                </w:tcPr>
                <w:p w14:paraId="35DE0E2A">
                  <w:pPr>
                    <w:rPr>
                      <w:rFonts w:ascii="Arial"/>
                      <w:color w:val="000000" w:themeColor="text1"/>
                      <w:sz w:val="21"/>
                      <w:szCs w:val="21"/>
                      <w:highlight w:val="none"/>
                      <w14:textFill>
                        <w14:solidFill>
                          <w14:schemeClr w14:val="tx1"/>
                        </w14:solidFill>
                      </w14:textFill>
                    </w:rPr>
                  </w:pPr>
                </w:p>
              </w:tc>
            </w:tr>
            <w:tr w14:paraId="21C9E63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97" w:type="dxa"/>
                  <w:vMerge w:val="continue"/>
                  <w:tcBorders>
                    <w:tl2br w:val="nil"/>
                    <w:tr2bl w:val="nil"/>
                  </w:tcBorders>
                  <w:noWrap w:val="0"/>
                  <w:vAlign w:val="center"/>
                </w:tcPr>
                <w:p w14:paraId="2FC170DB">
                  <w:pPr>
                    <w:rPr>
                      <w:rFonts w:ascii="Arial"/>
                      <w:color w:val="000000" w:themeColor="text1"/>
                      <w:sz w:val="21"/>
                      <w:szCs w:val="21"/>
                      <w:highlight w:val="none"/>
                      <w14:textFill>
                        <w14:solidFill>
                          <w14:schemeClr w14:val="tx1"/>
                        </w14:solidFill>
                      </w14:textFill>
                    </w:rPr>
                  </w:pPr>
                </w:p>
              </w:tc>
              <w:tc>
                <w:tcPr>
                  <w:tcW w:w="1593" w:type="dxa"/>
                  <w:tcBorders>
                    <w:tl2br w:val="nil"/>
                    <w:tr2bl w:val="nil"/>
                  </w:tcBorders>
                  <w:noWrap w:val="0"/>
                  <w:vAlign w:val="center"/>
                </w:tcPr>
                <w:p w14:paraId="7B539375">
                  <w:pPr>
                    <w:spacing w:before="55" w:line="188" w:lineRule="auto"/>
                    <w:ind w:left="497"/>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4"/>
                      <w:sz w:val="21"/>
                      <w:szCs w:val="21"/>
                      <w:highlight w:val="none"/>
                      <w14:textFill>
                        <w14:solidFill>
                          <w14:schemeClr w14:val="tx1"/>
                        </w14:solidFill>
                      </w14:textFill>
                    </w:rPr>
                    <w:t>COD</w:t>
                  </w:r>
                  <w:r>
                    <w:rPr>
                      <w:rFonts w:ascii="Times New Roman" w:hAnsi="Times New Roman" w:eastAsia="Times New Roman" w:cs="Times New Roman"/>
                      <w:color w:val="000000" w:themeColor="text1"/>
                      <w:spacing w:val="4"/>
                      <w:sz w:val="21"/>
                      <w:szCs w:val="21"/>
                      <w:highlight w:val="none"/>
                      <w:vertAlign w:val="subscript"/>
                      <w14:textFill>
                        <w14:solidFill>
                          <w14:schemeClr w14:val="tx1"/>
                        </w14:solidFill>
                      </w14:textFill>
                    </w:rPr>
                    <w:t>cr</w:t>
                  </w:r>
                </w:p>
              </w:tc>
              <w:tc>
                <w:tcPr>
                  <w:tcW w:w="1593" w:type="dxa"/>
                  <w:tcBorders>
                    <w:tl2br w:val="nil"/>
                    <w:tr2bl w:val="nil"/>
                  </w:tcBorders>
                  <w:noWrap w:val="0"/>
                  <w:vAlign w:val="center"/>
                </w:tcPr>
                <w:p w14:paraId="26FC6F20">
                  <w:pPr>
                    <w:spacing w:before="52" w:line="192" w:lineRule="auto"/>
                    <w:ind w:left="568"/>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mg</w:t>
                  </w:r>
                  <w:r>
                    <w:rPr>
                      <w:rFonts w:ascii="Times New Roman" w:hAnsi="Times New Roman" w:eastAsia="Times New Roman" w:cs="Times New Roman"/>
                      <w:color w:val="000000" w:themeColor="text1"/>
                      <w:spacing w:val="9"/>
                      <w:sz w:val="21"/>
                      <w:szCs w:val="21"/>
                      <w:highlight w:val="none"/>
                      <w14:textFill>
                        <w14:solidFill>
                          <w14:schemeClr w14:val="tx1"/>
                        </w14:solidFill>
                      </w14:textFill>
                    </w:rPr>
                    <w:t>/L</w:t>
                  </w:r>
                </w:p>
              </w:tc>
              <w:tc>
                <w:tcPr>
                  <w:tcW w:w="1175" w:type="dxa"/>
                  <w:tcBorders>
                    <w:tl2br w:val="nil"/>
                    <w:tr2bl w:val="nil"/>
                  </w:tcBorders>
                  <w:noWrap w:val="0"/>
                  <w:vAlign w:val="center"/>
                </w:tcPr>
                <w:p w14:paraId="3D0DBC09">
                  <w:pPr>
                    <w:spacing w:before="55" w:line="188" w:lineRule="auto"/>
                    <w:ind w:left="439"/>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500</w:t>
                  </w:r>
                </w:p>
              </w:tc>
              <w:tc>
                <w:tcPr>
                  <w:tcW w:w="2016" w:type="dxa"/>
                  <w:vMerge w:val="continue"/>
                  <w:tcBorders>
                    <w:tl2br w:val="nil"/>
                    <w:tr2bl w:val="nil"/>
                  </w:tcBorders>
                  <w:noWrap w:val="0"/>
                  <w:vAlign w:val="center"/>
                </w:tcPr>
                <w:p w14:paraId="34687EF0">
                  <w:pPr>
                    <w:rPr>
                      <w:rFonts w:ascii="Arial"/>
                      <w:color w:val="000000" w:themeColor="text1"/>
                      <w:sz w:val="21"/>
                      <w:szCs w:val="21"/>
                      <w:highlight w:val="none"/>
                      <w14:textFill>
                        <w14:solidFill>
                          <w14:schemeClr w14:val="tx1"/>
                        </w14:solidFill>
                      </w14:textFill>
                    </w:rPr>
                  </w:pPr>
                </w:p>
              </w:tc>
            </w:tr>
            <w:tr w14:paraId="1DEC921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97" w:type="dxa"/>
                  <w:vMerge w:val="continue"/>
                  <w:tcBorders>
                    <w:tl2br w:val="nil"/>
                    <w:tr2bl w:val="nil"/>
                  </w:tcBorders>
                  <w:noWrap w:val="0"/>
                  <w:vAlign w:val="center"/>
                </w:tcPr>
                <w:p w14:paraId="5AFF679D">
                  <w:pPr>
                    <w:rPr>
                      <w:rFonts w:ascii="Arial"/>
                      <w:color w:val="000000" w:themeColor="text1"/>
                      <w:sz w:val="21"/>
                      <w:szCs w:val="21"/>
                      <w:highlight w:val="none"/>
                      <w14:textFill>
                        <w14:solidFill>
                          <w14:schemeClr w14:val="tx1"/>
                        </w14:solidFill>
                      </w14:textFill>
                    </w:rPr>
                  </w:pPr>
                </w:p>
              </w:tc>
              <w:tc>
                <w:tcPr>
                  <w:tcW w:w="1593" w:type="dxa"/>
                  <w:tcBorders>
                    <w:tl2br w:val="nil"/>
                    <w:tr2bl w:val="nil"/>
                  </w:tcBorders>
                  <w:noWrap w:val="0"/>
                  <w:vAlign w:val="center"/>
                </w:tcPr>
                <w:p w14:paraId="37B28D4D">
                  <w:pPr>
                    <w:spacing w:before="54" w:line="189" w:lineRule="auto"/>
                    <w:ind w:left="541"/>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BOD</w:t>
                  </w:r>
                  <w:r>
                    <w:rPr>
                      <w:rFonts w:ascii="Times New Roman" w:hAnsi="Times New Roman" w:eastAsia="Times New Roman" w:cs="Times New Roman"/>
                      <w:color w:val="000000" w:themeColor="text1"/>
                      <w:spacing w:val="19"/>
                      <w:position w:val="-1"/>
                      <w:sz w:val="21"/>
                      <w:szCs w:val="21"/>
                      <w:highlight w:val="none"/>
                      <w:vertAlign w:val="subscript"/>
                      <w14:textFill>
                        <w14:solidFill>
                          <w14:schemeClr w14:val="tx1"/>
                        </w14:solidFill>
                      </w14:textFill>
                    </w:rPr>
                    <w:t>5</w:t>
                  </w:r>
                </w:p>
              </w:tc>
              <w:tc>
                <w:tcPr>
                  <w:tcW w:w="1593" w:type="dxa"/>
                  <w:tcBorders>
                    <w:tl2br w:val="nil"/>
                    <w:tr2bl w:val="nil"/>
                  </w:tcBorders>
                  <w:noWrap w:val="0"/>
                  <w:vAlign w:val="center"/>
                </w:tcPr>
                <w:p w14:paraId="149450F8">
                  <w:pPr>
                    <w:spacing w:before="51" w:line="193" w:lineRule="auto"/>
                    <w:ind w:left="568"/>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mg</w:t>
                  </w:r>
                  <w:r>
                    <w:rPr>
                      <w:rFonts w:ascii="Times New Roman" w:hAnsi="Times New Roman" w:eastAsia="Times New Roman" w:cs="Times New Roman"/>
                      <w:color w:val="000000" w:themeColor="text1"/>
                      <w:spacing w:val="9"/>
                      <w:sz w:val="21"/>
                      <w:szCs w:val="21"/>
                      <w:highlight w:val="none"/>
                      <w14:textFill>
                        <w14:solidFill>
                          <w14:schemeClr w14:val="tx1"/>
                        </w14:solidFill>
                      </w14:textFill>
                    </w:rPr>
                    <w:t>/L</w:t>
                  </w:r>
                </w:p>
              </w:tc>
              <w:tc>
                <w:tcPr>
                  <w:tcW w:w="1175" w:type="dxa"/>
                  <w:tcBorders>
                    <w:tl2br w:val="nil"/>
                    <w:tr2bl w:val="nil"/>
                  </w:tcBorders>
                  <w:noWrap w:val="0"/>
                  <w:vAlign w:val="center"/>
                </w:tcPr>
                <w:p w14:paraId="3BEDFFB3">
                  <w:pPr>
                    <w:spacing w:before="54" w:line="189" w:lineRule="auto"/>
                    <w:ind w:left="437"/>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300</w:t>
                  </w:r>
                </w:p>
              </w:tc>
              <w:tc>
                <w:tcPr>
                  <w:tcW w:w="2016" w:type="dxa"/>
                  <w:vMerge w:val="continue"/>
                  <w:tcBorders>
                    <w:tl2br w:val="nil"/>
                    <w:tr2bl w:val="nil"/>
                  </w:tcBorders>
                  <w:noWrap w:val="0"/>
                  <w:vAlign w:val="center"/>
                </w:tcPr>
                <w:p w14:paraId="3AD2F3C1">
                  <w:pPr>
                    <w:rPr>
                      <w:rFonts w:ascii="Arial"/>
                      <w:color w:val="000000" w:themeColor="text1"/>
                      <w:sz w:val="21"/>
                      <w:szCs w:val="21"/>
                      <w:highlight w:val="none"/>
                      <w14:textFill>
                        <w14:solidFill>
                          <w14:schemeClr w14:val="tx1"/>
                        </w14:solidFill>
                      </w14:textFill>
                    </w:rPr>
                  </w:pPr>
                </w:p>
              </w:tc>
            </w:tr>
            <w:tr w14:paraId="4E5273B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97" w:type="dxa"/>
                  <w:vMerge w:val="continue"/>
                  <w:tcBorders>
                    <w:tl2br w:val="nil"/>
                    <w:tr2bl w:val="nil"/>
                  </w:tcBorders>
                  <w:noWrap w:val="0"/>
                  <w:vAlign w:val="center"/>
                </w:tcPr>
                <w:p w14:paraId="2661E51E">
                  <w:pPr>
                    <w:rPr>
                      <w:rFonts w:ascii="Arial"/>
                      <w:color w:val="000000" w:themeColor="text1"/>
                      <w:sz w:val="21"/>
                      <w:szCs w:val="21"/>
                      <w:highlight w:val="none"/>
                      <w14:textFill>
                        <w14:solidFill>
                          <w14:schemeClr w14:val="tx1"/>
                        </w14:solidFill>
                      </w14:textFill>
                    </w:rPr>
                  </w:pPr>
                </w:p>
              </w:tc>
              <w:tc>
                <w:tcPr>
                  <w:tcW w:w="1593" w:type="dxa"/>
                  <w:tcBorders>
                    <w:tl2br w:val="nil"/>
                    <w:tr2bl w:val="nil"/>
                  </w:tcBorders>
                  <w:noWrap w:val="0"/>
                  <w:vAlign w:val="center"/>
                </w:tcPr>
                <w:p w14:paraId="4F19EF09">
                  <w:pPr>
                    <w:spacing w:before="58" w:line="185" w:lineRule="auto"/>
                    <w:ind w:left="494"/>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NH</w:t>
                  </w:r>
                  <w:r>
                    <w:rPr>
                      <w:rFonts w:ascii="Times New Roman" w:hAnsi="Times New Roman" w:eastAsia="Times New Roman" w:cs="Times New Roman"/>
                      <w:color w:val="000000" w:themeColor="text1"/>
                      <w:spacing w:val="9"/>
                      <w:position w:val="-1"/>
                      <w:sz w:val="21"/>
                      <w:szCs w:val="21"/>
                      <w:highlight w:val="none"/>
                      <w:vertAlign w:val="subscript"/>
                      <w14:textFill>
                        <w14:solidFill>
                          <w14:schemeClr w14:val="tx1"/>
                        </w14:solidFill>
                      </w14:textFill>
                    </w:rPr>
                    <w:t>3</w:t>
                  </w:r>
                  <w:r>
                    <w:rPr>
                      <w:rFonts w:ascii="Times New Roman" w:hAnsi="Times New Roman" w:eastAsia="Times New Roman" w:cs="Times New Roman"/>
                      <w:color w:val="000000" w:themeColor="text1"/>
                      <w:spacing w:val="9"/>
                      <w:sz w:val="21"/>
                      <w:szCs w:val="21"/>
                      <w:highlight w:val="none"/>
                      <w14:textFill>
                        <w14:solidFill>
                          <w14:schemeClr w14:val="tx1"/>
                        </w14:solidFill>
                      </w14:textFill>
                    </w:rPr>
                    <w:t>-H</w:t>
                  </w:r>
                </w:p>
              </w:tc>
              <w:tc>
                <w:tcPr>
                  <w:tcW w:w="1593" w:type="dxa"/>
                  <w:tcBorders>
                    <w:tl2br w:val="nil"/>
                    <w:tr2bl w:val="nil"/>
                  </w:tcBorders>
                  <w:noWrap w:val="0"/>
                  <w:vAlign w:val="center"/>
                </w:tcPr>
                <w:p w14:paraId="6BD60A15">
                  <w:pPr>
                    <w:spacing w:before="52" w:line="192" w:lineRule="auto"/>
                    <w:ind w:left="568"/>
                    <w:jc w:val="both"/>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mg</w:t>
                  </w:r>
                  <w:r>
                    <w:rPr>
                      <w:rFonts w:ascii="Times New Roman" w:hAnsi="Times New Roman" w:eastAsia="Times New Roman" w:cs="Times New Roman"/>
                      <w:color w:val="000000" w:themeColor="text1"/>
                      <w:spacing w:val="9"/>
                      <w:sz w:val="21"/>
                      <w:szCs w:val="21"/>
                      <w:highlight w:val="none"/>
                      <w14:textFill>
                        <w14:solidFill>
                          <w14:schemeClr w14:val="tx1"/>
                        </w14:solidFill>
                      </w14:textFill>
                    </w:rPr>
                    <w:t>/L</w:t>
                  </w:r>
                </w:p>
              </w:tc>
              <w:tc>
                <w:tcPr>
                  <w:tcW w:w="1175" w:type="dxa"/>
                  <w:tcBorders>
                    <w:tl2br w:val="nil"/>
                    <w:tr2bl w:val="nil"/>
                  </w:tcBorders>
                  <w:noWrap w:val="0"/>
                  <w:vAlign w:val="center"/>
                </w:tcPr>
                <w:p w14:paraId="6800EAA2">
                  <w:pPr>
                    <w:spacing w:before="55" w:line="188" w:lineRule="auto"/>
                    <w:ind w:left="482"/>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16" w:type="dxa"/>
                  <w:vMerge w:val="continue"/>
                  <w:tcBorders>
                    <w:tl2br w:val="nil"/>
                    <w:tr2bl w:val="nil"/>
                  </w:tcBorders>
                  <w:noWrap w:val="0"/>
                  <w:vAlign w:val="center"/>
                </w:tcPr>
                <w:p w14:paraId="7F8709FF">
                  <w:pPr>
                    <w:rPr>
                      <w:rFonts w:ascii="Arial"/>
                      <w:color w:val="000000" w:themeColor="text1"/>
                      <w:sz w:val="21"/>
                      <w:szCs w:val="21"/>
                      <w:highlight w:val="none"/>
                      <w14:textFill>
                        <w14:solidFill>
                          <w14:schemeClr w14:val="tx1"/>
                        </w14:solidFill>
                      </w14:textFill>
                    </w:rPr>
                  </w:pPr>
                </w:p>
              </w:tc>
            </w:tr>
          </w:tbl>
          <w:p w14:paraId="1AE23DE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、噪声排放标准</w:t>
            </w:r>
          </w:p>
          <w:p w14:paraId="08B983DF">
            <w:pPr>
              <w:keepNext w:val="0"/>
              <w:keepLines w:val="0"/>
              <w:pageBreakBefore w:val="0"/>
              <w:widowControl/>
              <w:suppressLineNumbers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施工期噪声执行《建筑施工环境噪声排放标准》（GB12523-20</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25</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）中有关规定；</w:t>
            </w:r>
          </w:p>
          <w:p w14:paraId="79D6F45F">
            <w:pPr>
              <w:keepNext w:val="0"/>
              <w:keepLines w:val="0"/>
              <w:pageBreakBefore w:val="0"/>
              <w:widowControl/>
              <w:suppressLineNumbers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运营期厂界噪声排放执行《工业企业厂界环境噪声排放标准》（GB12348-2008）</w:t>
            </w:r>
            <w:r>
              <w:rPr>
                <w:rFonts w:hint="eastAsia" w:cs="Times New Roman"/>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类标准。噪声限值见表3-</w:t>
            </w:r>
            <w:r>
              <w:rPr>
                <w:rFonts w:hint="eastAsia" w:cs="Times New Roman"/>
                <w:color w:val="000000" w:themeColor="text1"/>
                <w:kern w:val="0"/>
                <w:sz w:val="24"/>
                <w:szCs w:val="24"/>
                <w:highlight w:val="none"/>
                <w:lang w:val="en-US" w:eastAsia="zh-CN" w:bidi="ar"/>
                <w14:textFill>
                  <w14:solidFill>
                    <w14:schemeClr w14:val="tx1"/>
                  </w14:solidFill>
                </w14:textFill>
              </w:rPr>
              <w:t>7</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2A29965F">
            <w:pPr>
              <w:keepNext w:val="0"/>
              <w:keepLines w:val="0"/>
              <w:widowControl/>
              <w:suppressLineNumbers w:val="0"/>
              <w:jc w:val="center"/>
              <w:rPr>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3-</w:t>
            </w:r>
            <w:r>
              <w:rPr>
                <w:rFonts w:hint="eastAsia" w:cs="Times New Roman"/>
                <w:b/>
                <w:bCs/>
                <w:color w:val="000000" w:themeColor="text1"/>
                <w:kern w:val="0"/>
                <w:sz w:val="21"/>
                <w:szCs w:val="21"/>
                <w:highlight w:val="none"/>
                <w:lang w:val="en-US" w:eastAsia="zh-CN" w:bidi="ar"/>
                <w14:textFill>
                  <w14:solidFill>
                    <w14:schemeClr w14:val="tx1"/>
                  </w14:solidFill>
                </w14:textFill>
              </w:rPr>
              <w:t>7</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噪声排放限值标准</w:t>
            </w:r>
          </w:p>
          <w:tbl>
            <w:tblPr>
              <w:tblStyle w:val="30"/>
              <w:tblW w:w="7974"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27"/>
              <w:gridCol w:w="5333"/>
              <w:gridCol w:w="1714"/>
            </w:tblGrid>
            <w:tr w14:paraId="0C6A18B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7" w:type="dxa"/>
                  <w:tcBorders>
                    <w:tl2br w:val="nil"/>
                    <w:tr2bl w:val="nil"/>
                  </w:tcBorders>
                  <w:noWrap w:val="0"/>
                  <w:vAlign w:val="center"/>
                </w:tcPr>
                <w:p w14:paraId="19A355BC">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t>时期</w:t>
                  </w:r>
                </w:p>
              </w:tc>
              <w:tc>
                <w:tcPr>
                  <w:tcW w:w="5333" w:type="dxa"/>
                  <w:tcBorders>
                    <w:tl2br w:val="nil"/>
                    <w:tr2bl w:val="nil"/>
                  </w:tcBorders>
                  <w:noWrap w:val="0"/>
                  <w:vAlign w:val="center"/>
                </w:tcPr>
                <w:p w14:paraId="10F87411">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t>标准</w:t>
                  </w:r>
                </w:p>
              </w:tc>
              <w:tc>
                <w:tcPr>
                  <w:tcW w:w="1714" w:type="dxa"/>
                  <w:tcBorders>
                    <w:tl2br w:val="nil"/>
                    <w:tr2bl w:val="nil"/>
                  </w:tcBorders>
                  <w:noWrap w:val="0"/>
                  <w:vAlign w:val="center"/>
                </w:tcPr>
                <w:p w14:paraId="524DA2E9">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vertAlign w:val="baseline"/>
                      <w:lang w:val="en-US" w:eastAsia="zh-CN"/>
                      <w14:textFill>
                        <w14:solidFill>
                          <w14:schemeClr w14:val="tx1"/>
                        </w14:solidFill>
                      </w14:textFill>
                    </w:rPr>
                    <w:t>限值</w:t>
                  </w:r>
                </w:p>
              </w:tc>
            </w:tr>
            <w:tr w14:paraId="20FB940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7" w:type="dxa"/>
                  <w:tcBorders>
                    <w:tl2br w:val="nil"/>
                    <w:tr2bl w:val="nil"/>
                  </w:tcBorders>
                  <w:noWrap w:val="0"/>
                  <w:vAlign w:val="center"/>
                </w:tcPr>
                <w:p w14:paraId="5253BD9B">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vertAlign w:val="baseline"/>
                      <w:lang w:val="en-US" w:eastAsia="zh-CN"/>
                      <w14:textFill>
                        <w14:solidFill>
                          <w14:schemeClr w14:val="tx1"/>
                        </w14:solidFill>
                      </w14:textFill>
                    </w:rPr>
                    <w:t>施工期</w:t>
                  </w:r>
                </w:p>
              </w:tc>
              <w:tc>
                <w:tcPr>
                  <w:tcW w:w="5333" w:type="dxa"/>
                  <w:tcBorders>
                    <w:tl2br w:val="nil"/>
                    <w:tr2bl w:val="nil"/>
                  </w:tcBorders>
                  <w:noWrap w:val="0"/>
                  <w:vAlign w:val="center"/>
                </w:tcPr>
                <w:p w14:paraId="6C93FFB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highlight w:val="none"/>
                      <w:vertAlign w:val="baseli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vertAlign w:val="baseline"/>
                      <w:lang w:val="en-US" w:eastAsia="zh-CN"/>
                      <w14:textFill>
                        <w14:solidFill>
                          <w14:schemeClr w14:val="tx1"/>
                        </w14:solidFill>
                      </w14:textFill>
                    </w:rPr>
                    <w:t>《建筑施工环境噪声排放标准》（GB12523-2025）</w:t>
                  </w:r>
                </w:p>
              </w:tc>
              <w:tc>
                <w:tcPr>
                  <w:tcW w:w="1714" w:type="dxa"/>
                  <w:tcBorders>
                    <w:tl2br w:val="nil"/>
                    <w:tr2bl w:val="nil"/>
                  </w:tcBorders>
                  <w:noWrap w:val="0"/>
                  <w:vAlign w:val="center"/>
                </w:tcPr>
                <w:p w14:paraId="17AB280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昼间：</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70</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dB（A）、</w:t>
                  </w:r>
                </w:p>
                <w:p w14:paraId="2DAB5E7A">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highlight w:val="none"/>
                      <w:vertAlign w:val="baseli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夜间：</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55</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dB（A）</w:t>
                  </w:r>
                </w:p>
              </w:tc>
            </w:tr>
            <w:tr w14:paraId="2EDC693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7" w:type="dxa"/>
                  <w:tcBorders>
                    <w:tl2br w:val="nil"/>
                    <w:tr2bl w:val="nil"/>
                  </w:tcBorders>
                  <w:noWrap w:val="0"/>
                  <w:vAlign w:val="center"/>
                </w:tcPr>
                <w:p w14:paraId="73A1332E">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vertAlign w:val="baseline"/>
                      <w:lang w:val="en-US" w:eastAsia="zh-CN"/>
                      <w14:textFill>
                        <w14:solidFill>
                          <w14:schemeClr w14:val="tx1"/>
                        </w14:solidFill>
                      </w14:textFill>
                    </w:rPr>
                    <w:t>运营期</w:t>
                  </w:r>
                </w:p>
              </w:tc>
              <w:tc>
                <w:tcPr>
                  <w:tcW w:w="5333" w:type="dxa"/>
                  <w:tcBorders>
                    <w:tl2br w:val="nil"/>
                    <w:tr2bl w:val="nil"/>
                  </w:tcBorders>
                  <w:noWrap w:val="0"/>
                  <w:vAlign w:val="center"/>
                </w:tcPr>
                <w:p w14:paraId="45D3276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《工业企业厂界环境噪声排放标准》（GB12348-2008）</w:t>
                  </w:r>
                  <w:r>
                    <w:rPr>
                      <w:rFonts w:hint="eastAsia" w:cs="Times New Roman"/>
                      <w:color w:val="000000" w:themeColor="text1"/>
                      <w:kern w:val="0"/>
                      <w:sz w:val="21"/>
                      <w:szCs w:val="21"/>
                      <w:highlight w:val="none"/>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类</w:t>
                  </w:r>
                </w:p>
              </w:tc>
              <w:tc>
                <w:tcPr>
                  <w:tcW w:w="1714" w:type="dxa"/>
                  <w:tcBorders>
                    <w:tl2br w:val="nil"/>
                    <w:tr2bl w:val="nil"/>
                  </w:tcBorders>
                  <w:noWrap w:val="0"/>
                  <w:vAlign w:val="center"/>
                </w:tcPr>
                <w:p w14:paraId="6AD6072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昼间：</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6</w:t>
                  </w:r>
                  <w:r>
                    <w:rPr>
                      <w:rFonts w:hint="eastAsia" w:cs="Times New Roman"/>
                      <w:color w:val="000000" w:themeColor="text1"/>
                      <w:kern w:val="0"/>
                      <w:sz w:val="21"/>
                      <w:szCs w:val="21"/>
                      <w:highlight w:val="none"/>
                      <w:lang w:val="en-US" w:eastAsia="zh-CN" w:bidi="ar"/>
                      <w14:textFill>
                        <w14:solidFill>
                          <w14:schemeClr w14:val="tx1"/>
                        </w14:solidFill>
                      </w14:textFill>
                    </w:rPr>
                    <w:t>0</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dB（A）、</w:t>
                  </w:r>
                </w:p>
                <w:p w14:paraId="472C4108">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夜间：</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5</w:t>
                  </w:r>
                  <w:r>
                    <w:rPr>
                      <w:rFonts w:hint="eastAsia" w:cs="Times New Roman"/>
                      <w:color w:val="000000" w:themeColor="text1"/>
                      <w:kern w:val="0"/>
                      <w:sz w:val="21"/>
                      <w:szCs w:val="21"/>
                      <w:highlight w:val="none"/>
                      <w:lang w:val="en-US" w:eastAsia="zh-CN" w:bidi="ar"/>
                      <w14:textFill>
                        <w14:solidFill>
                          <w14:schemeClr w14:val="tx1"/>
                        </w14:solidFill>
                      </w14:textFill>
                    </w:rPr>
                    <w:t>0</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dB（A）</w:t>
                  </w:r>
                </w:p>
              </w:tc>
            </w:tr>
          </w:tbl>
          <w:p w14:paraId="6510A38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4</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、固体废物控制标准</w:t>
            </w:r>
          </w:p>
          <w:p w14:paraId="0DE0E916">
            <w:pPr>
              <w:keepNext w:val="0"/>
              <w:keepLines w:val="0"/>
              <w:pageBreakBefore w:val="0"/>
              <w:widowControl/>
              <w:suppressLineNumbers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一般工业固体废物执行《一般工业固体废物贮存和填埋污染控制标准》（GB18599-2020）中的相关</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要求；</w:t>
            </w:r>
          </w:p>
          <w:p w14:paraId="588FD51C">
            <w:pPr>
              <w:pStyle w:val="27"/>
              <w:keepNext w:val="0"/>
              <w:keepLines w:val="0"/>
              <w:pageBreakBefore w:val="0"/>
              <w:widowControl/>
              <w:kinsoku/>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危险废物执行《危险废物贮存污染控制标准》（GB18597-2023）中</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的相关</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要求。</w:t>
            </w:r>
          </w:p>
        </w:tc>
      </w:tr>
      <w:tr w14:paraId="60182A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noWrap w:val="0"/>
            <w:vAlign w:val="center"/>
          </w:tcPr>
          <w:p w14:paraId="09E6B604">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总量</w:t>
            </w:r>
          </w:p>
          <w:p w14:paraId="6CE2A92F">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控制</w:t>
            </w:r>
          </w:p>
          <w:p w14:paraId="2394F51B">
            <w:pPr>
              <w:pStyle w:val="27"/>
              <w:adjustRightInd w:val="0"/>
              <w:snapToGrid w:val="0"/>
              <w:spacing w:before="0" w:beforeAutospacing="0" w:after="0" w:afterAutospacing="0"/>
              <w:jc w:val="center"/>
              <w:rPr>
                <w:rFonts w:hint="default" w:ascii="宋体" w:hAnsi="宋体" w:eastAsia="宋体" w:cs="宋体"/>
                <w:bCs/>
                <w:color w:val="000000" w:themeColor="text1"/>
                <w:kern w:val="2"/>
                <w:sz w:val="24"/>
                <w:szCs w:val="24"/>
                <w14:textFill>
                  <w14:solidFill>
                    <w14:schemeClr w14:val="tx1"/>
                  </w14:solidFill>
                </w14:textFill>
              </w:rPr>
            </w:pPr>
            <w:r>
              <w:rPr>
                <w:rFonts w:hint="default" w:ascii="宋体" w:hAnsi="宋体" w:eastAsia="宋体" w:cs="宋体"/>
                <w:bCs/>
                <w:color w:val="000000" w:themeColor="text1"/>
                <w:kern w:val="2"/>
                <w:sz w:val="24"/>
                <w:szCs w:val="24"/>
                <w14:textFill>
                  <w14:solidFill>
                    <w14:schemeClr w14:val="tx1"/>
                  </w14:solidFill>
                </w14:textFill>
              </w:rPr>
              <w:t>指标</w:t>
            </w:r>
          </w:p>
        </w:tc>
        <w:tc>
          <w:tcPr>
            <w:tcW w:w="8190" w:type="dxa"/>
            <w:noWrap w:val="0"/>
            <w:vAlign w:val="center"/>
          </w:tcPr>
          <w:p w14:paraId="6B706A8F">
            <w:pPr>
              <w:pStyle w:val="64"/>
              <w:keepNext w:val="0"/>
              <w:keepLines w:val="0"/>
              <w:pageBreakBefore w:val="0"/>
              <w:kinsoku/>
              <w:wordWrap/>
              <w:overflowPunct/>
              <w:topLinePunct w:val="0"/>
              <w:autoSpaceDE/>
              <w:autoSpaceDN/>
              <w:bidi w:val="0"/>
              <w:adjustRightInd w:val="0"/>
              <w:snapToGrid w:val="0"/>
              <w:spacing w:line="360" w:lineRule="auto"/>
              <w:ind w:left="0" w:righ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根据国家环境保护“十四五”规划中污染物排放总量控制目标，“十四五”期间污染物控制指标以VOCs、NOx、NH</w:t>
            </w:r>
            <w:r>
              <w:rPr>
                <w:rFonts w:hint="eastAsia" w:ascii="Times New Roman" w:hAnsi="Times New Roman" w:eastAsia="宋体" w:cs="Times New Roman"/>
                <w:color w:val="000000" w:themeColor="text1"/>
                <w:kern w:val="0"/>
                <w:sz w:val="24"/>
                <w:szCs w:val="24"/>
                <w:highlight w:val="none"/>
                <w:vertAlign w:val="sub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-N及COD。</w:t>
            </w:r>
          </w:p>
          <w:p w14:paraId="1AF2303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运营期本项目生产不产生废水；</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员工盥洗及如厕生活污水排入厂区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防渗化粪池，定期拉运至</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呼图壁县工业园区化工园污水处理厂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处理，因此，</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本项目产生的废水污染物COD和NH</w:t>
            </w:r>
            <w:r>
              <w:rPr>
                <w:rFonts w:hint="default" w:ascii="Times New Roman" w:hAnsi="Times New Roman" w:eastAsia="宋体" w:cs="Times New Roman"/>
                <w:color w:val="000000" w:themeColor="text1"/>
                <w:kern w:val="0"/>
                <w:sz w:val="24"/>
                <w:szCs w:val="24"/>
                <w:highlight w:val="none"/>
                <w:vertAlign w:val="sub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-N的总量指标可不计入总量控制，将计入</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呼图壁县工业园区化工园污水处理厂</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总量控制指标中。</w:t>
            </w:r>
          </w:p>
          <w:p w14:paraId="2EA61A43">
            <w:pPr>
              <w:spacing w:line="360" w:lineRule="auto"/>
              <w:ind w:firstLine="480" w:firstLineChars="200"/>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根据</w:t>
            </w:r>
            <w:r>
              <w:rPr>
                <w:rFonts w:ascii="Segoe UI Emoji" w:hAnsi="Segoe UI Emoji" w:eastAsia="Segoe UI Emoji" w:cs="Segoe UI Emoji"/>
                <w:i w:val="0"/>
                <w:iCs w:val="0"/>
                <w:caps w:val="0"/>
                <w:color w:val="000000" w:themeColor="text1"/>
                <w:spacing w:val="0"/>
                <w:sz w:val="24"/>
                <w:szCs w:val="24"/>
                <w14:textFill>
                  <w14:solidFill>
                    <w14:schemeClr w14:val="tx1"/>
                  </w14:solidFill>
                </w14:textFill>
              </w:rPr>
              <w:t>《建设项目主要污染物排</w:t>
            </w:r>
            <w:r>
              <w:rPr>
                <w:rFonts w:hint="default" w:ascii="Times New Roman" w:hAnsi="Times New Roman" w:eastAsia="Segoe UI Emoji" w:cs="Times New Roman"/>
                <w:i w:val="0"/>
                <w:iCs w:val="0"/>
                <w:caps w:val="0"/>
                <w:color w:val="000000" w:themeColor="text1"/>
                <w:spacing w:val="0"/>
                <w:sz w:val="24"/>
                <w:szCs w:val="24"/>
                <w14:textFill>
                  <w14:solidFill>
                    <w14:schemeClr w14:val="tx1"/>
                  </w14:solidFill>
                </w14:textFill>
              </w:rPr>
              <w:t>放总量指标审核及管理暂行</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办法》（环发〔2014〕197号）</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中“用于建设项目的‘可替代总量指标’不</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得低于建设项目所需替代的主要污染物排放总量指标。上一年度环境空气</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质量年平均浓度不达标的城市、水环境质量未达到要求的市县，相关污染物应按照建设项目所需替代的主要污染物排放总量指标的2倍进行削减替代（燃煤发电机组大气污染物排放浓度基本达到燃气轮机组排放限值的除外）；细颗粒物（</w:t>
            </w:r>
            <w:r>
              <w:rPr>
                <w:rFonts w:hint="eastAsia" w:ascii="Times New Roman" w:hAnsi="Times New Roman" w:eastAsia="宋体" w:cs="Times New Roman"/>
                <w:color w:val="000000" w:themeColor="text1"/>
                <w:sz w:val="24"/>
                <w:szCs w:val="32"/>
                <w:lang w:val="en-US" w:eastAsia="zh-CN"/>
                <w14:textFill>
                  <w14:solidFill>
                    <w14:schemeClr w14:val="tx1"/>
                  </w14:solidFill>
                </w14:textFill>
              </w:rPr>
              <w:t>PM</w:t>
            </w:r>
            <w:r>
              <w:rPr>
                <w:rFonts w:hint="eastAsia" w:ascii="Times New Roman" w:hAnsi="Times New Roman" w:eastAsia="宋体" w:cs="Times New Roman"/>
                <w:color w:val="000000" w:themeColor="text1"/>
                <w:sz w:val="24"/>
                <w:szCs w:val="32"/>
                <w:vertAlign w:val="subscript"/>
                <w:lang w:val="en-US" w:eastAsia="zh-CN"/>
                <w14:textFill>
                  <w14:solidFill>
                    <w14:schemeClr w14:val="tx1"/>
                  </w14:solidFill>
                </w14:textFill>
              </w:rPr>
              <w:t>2.5</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年平均浓度不达标的城市，二氧化硫、氮氧化物、烟粉尘、挥发性有机物四项污染物均需进行2倍削减替代（燃煤发电机组大气污染物排放浓度基本达到燃气轮机组排放限值的除外）。地方有更严格倍量替代要求的，按照相关规定执行。”</w:t>
            </w:r>
          </w:p>
          <w:p w14:paraId="261C4A15">
            <w:pPr>
              <w:spacing w:line="360" w:lineRule="auto"/>
              <w:ind w:firstLine="480" w:firstLineChars="200"/>
              <w:rPr>
                <w:rFonts w:hint="eastAsia"/>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本项目位于新疆昌吉回族自治州呼图壁县大丰镇红柳塘村丹霞路28号，为联防联控区，且为环境空气</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不达标区域</w:t>
            </w:r>
            <w:r>
              <w:rPr>
                <w:rFonts w:hint="eastAsia" w:ascii="Times New Roman" w:hAnsi="Times New Roman" w:eastAsia="宋体" w:cs="Times New Roman"/>
                <w:color w:val="000000" w:themeColor="text1"/>
                <w:sz w:val="24"/>
                <w:szCs w:val="32"/>
                <w:lang w:val="en-US" w:eastAsia="zh-CN"/>
                <w14:textFill>
                  <w14:solidFill>
                    <w14:schemeClr w14:val="tx1"/>
                  </w14:solidFill>
                </w14:textFill>
              </w:rPr>
              <w:t>（PM</w:t>
            </w:r>
            <w:r>
              <w:rPr>
                <w:rFonts w:hint="eastAsia" w:ascii="Times New Roman" w:hAnsi="Times New Roman" w:eastAsia="宋体" w:cs="Times New Roman"/>
                <w:color w:val="000000" w:themeColor="text1"/>
                <w:sz w:val="24"/>
                <w:szCs w:val="32"/>
                <w:vertAlign w:val="subscript"/>
                <w:lang w:val="en-US" w:eastAsia="zh-CN"/>
                <w14:textFill>
                  <w14:solidFill>
                    <w14:schemeClr w14:val="tx1"/>
                  </w14:solidFill>
                </w14:textFill>
              </w:rPr>
              <w:t>10</w:t>
            </w:r>
            <w:r>
              <w:rPr>
                <w:rFonts w:hint="eastAsia" w:ascii="Times New Roman" w:hAnsi="Times New Roman" w:eastAsia="宋体" w:cs="Times New Roman"/>
                <w:color w:val="000000" w:themeColor="text1"/>
                <w:sz w:val="24"/>
                <w:szCs w:val="32"/>
                <w:lang w:val="en-US" w:eastAsia="zh-CN"/>
                <w14:textFill>
                  <w14:solidFill>
                    <w14:schemeClr w14:val="tx1"/>
                  </w14:solidFill>
                </w14:textFill>
              </w:rPr>
              <w:t>、PM</w:t>
            </w:r>
            <w:r>
              <w:rPr>
                <w:rFonts w:hint="eastAsia" w:ascii="Times New Roman" w:hAnsi="Times New Roman" w:eastAsia="宋体" w:cs="Times New Roman"/>
                <w:color w:val="000000" w:themeColor="text1"/>
                <w:sz w:val="24"/>
                <w:szCs w:val="32"/>
                <w:vertAlign w:val="subscript"/>
                <w:lang w:val="en-US" w:eastAsia="zh-CN"/>
                <w14:textFill>
                  <w14:solidFill>
                    <w14:schemeClr w14:val="tx1"/>
                  </w14:solidFill>
                </w14:textFill>
              </w:rPr>
              <w:t>2.5</w:t>
            </w:r>
            <w:r>
              <w:rPr>
                <w:rFonts w:hint="eastAsia" w:ascii="Times New Roman" w:hAnsi="Times New Roman" w:eastAsia="宋体" w:cs="Times New Roman"/>
                <w:color w:val="000000" w:themeColor="text1"/>
                <w:sz w:val="24"/>
                <w:szCs w:val="32"/>
                <w:lang w:val="en-US" w:eastAsia="zh-CN"/>
                <w14:textFill>
                  <w14:solidFill>
                    <w14:schemeClr w14:val="tx1"/>
                  </w14:solidFill>
                </w14:textFill>
              </w:rPr>
              <w:t>超标），因此，本项目需实施</w:t>
            </w:r>
            <w:r>
              <w:rPr>
                <w:rFonts w:hint="eastAsia"/>
                <w:color w:val="000000" w:themeColor="text1"/>
                <w:sz w:val="24"/>
                <w:highlight w:val="none"/>
                <w:lang w:val="en-US" w:eastAsia="zh-CN"/>
                <w14:textFill>
                  <w14:solidFill>
                    <w14:schemeClr w14:val="tx1"/>
                  </w14:solidFill>
                </w14:textFill>
              </w:rPr>
              <w:t>总量倍量替代；</w:t>
            </w:r>
            <w:r>
              <w:rPr>
                <w:rFonts w:hint="eastAsia"/>
                <w:color w:val="000000" w:themeColor="text1"/>
                <w:sz w:val="24"/>
                <w:highlight w:val="none"/>
                <w14:textFill>
                  <w14:solidFill>
                    <w14:schemeClr w14:val="tx1"/>
                  </w14:solidFill>
                </w14:textFill>
              </w:rPr>
              <w:t>根据环评报告“运营期环境影响和保护措施”章节相关计算，本项目</w:t>
            </w:r>
            <w:r>
              <w:rPr>
                <w:rFonts w:hint="eastAsia"/>
                <w:color w:val="000000" w:themeColor="text1"/>
                <w:sz w:val="24"/>
                <w:highlight w:val="none"/>
                <w:lang w:val="en-US" w:eastAsia="zh-CN"/>
                <w14:textFill>
                  <w14:solidFill>
                    <w14:schemeClr w14:val="tx1"/>
                  </w14:solidFill>
                </w14:textFill>
              </w:rPr>
              <w:t>需要</w:t>
            </w:r>
            <w:r>
              <w:rPr>
                <w:rFonts w:hint="eastAsia"/>
                <w:color w:val="000000" w:themeColor="text1"/>
                <w:sz w:val="24"/>
                <w:highlight w:val="none"/>
                <w14:textFill>
                  <w14:solidFill>
                    <w14:schemeClr w14:val="tx1"/>
                  </w14:solidFill>
                </w14:textFill>
              </w:rPr>
              <w:t>总量控制因子确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定为：颗粒物、SO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、NO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X</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；颗粒物</w:t>
            </w:r>
            <w:r>
              <w:rPr>
                <w:rFonts w:hint="eastAsia"/>
                <w:color w:val="000000" w:themeColor="text1"/>
                <w:sz w:val="24"/>
                <w:highlight w:val="none"/>
                <w:lang w:val="en-US" w:eastAsia="zh-CN"/>
                <w14:textFill>
                  <w14:solidFill>
                    <w14:schemeClr w14:val="tx1"/>
                  </w14:solidFill>
                </w14:textFill>
              </w:rPr>
              <w:t>总量控制指标</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0.2817</w:t>
            </w:r>
            <w:r>
              <w:rPr>
                <w:rFonts w:hint="eastAsia"/>
                <w:color w:val="000000" w:themeColor="text1"/>
                <w:sz w:val="24"/>
                <w:highlight w:val="none"/>
                <w14:textFill>
                  <w14:solidFill>
                    <w14:schemeClr w14:val="tx1"/>
                  </w14:solidFill>
                </w14:textFill>
              </w:rPr>
              <w:t>t/a</w:t>
            </w:r>
            <w:r>
              <w:rPr>
                <w:rFonts w:hint="eastAsia"/>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SO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总量控制指标</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0.0422</w:t>
            </w:r>
            <w:r>
              <w:rPr>
                <w:rFonts w:hint="eastAsia"/>
                <w:color w:val="000000" w:themeColor="text1"/>
                <w:sz w:val="24"/>
                <w:highlight w:val="none"/>
                <w14:textFill>
                  <w14:solidFill>
                    <w14:schemeClr w14:val="tx1"/>
                  </w14:solidFill>
                </w14:textFill>
              </w:rPr>
              <w:t>t/a</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、NO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X</w:t>
            </w:r>
            <w:r>
              <w:rPr>
                <w:rFonts w:hint="eastAsia"/>
                <w:color w:val="000000" w:themeColor="text1"/>
                <w:sz w:val="24"/>
                <w:highlight w:val="none"/>
                <w:lang w:val="en-US" w:eastAsia="zh-CN"/>
                <w14:textFill>
                  <w14:solidFill>
                    <w14:schemeClr w14:val="tx1"/>
                  </w14:solidFill>
                </w14:textFill>
              </w:rPr>
              <w:t>总量控制指标</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0.1998</w:t>
            </w:r>
            <w:r>
              <w:rPr>
                <w:rFonts w:hint="eastAsia"/>
                <w:color w:val="000000" w:themeColor="text1"/>
                <w:sz w:val="24"/>
                <w:highlight w:val="none"/>
                <w14:textFill>
                  <w14:solidFill>
                    <w14:schemeClr w14:val="tx1"/>
                  </w14:solidFill>
                </w14:textFill>
              </w:rPr>
              <w:t>t/a</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倍量替代后的</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颗粒物</w:t>
            </w:r>
            <w:r>
              <w:rPr>
                <w:rFonts w:hint="eastAsia"/>
                <w:color w:val="000000" w:themeColor="text1"/>
                <w:sz w:val="24"/>
                <w:highlight w:val="none"/>
                <w:lang w:val="en-US" w:eastAsia="zh-CN"/>
                <w14:textFill>
                  <w14:solidFill>
                    <w14:schemeClr w14:val="tx1"/>
                  </w14:solidFill>
                </w14:textFill>
              </w:rPr>
              <w:t>总量控制指标</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0.5634</w:t>
            </w:r>
            <w:r>
              <w:rPr>
                <w:rFonts w:hint="eastAsia"/>
                <w:color w:val="000000" w:themeColor="text1"/>
                <w:sz w:val="24"/>
                <w:highlight w:val="none"/>
                <w14:textFill>
                  <w14:solidFill>
                    <w14:schemeClr w14:val="tx1"/>
                  </w14:solidFill>
                </w14:textFill>
              </w:rPr>
              <w:t>t/a</w:t>
            </w:r>
            <w:r>
              <w:rPr>
                <w:rFonts w:hint="eastAsia"/>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SO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总量控制指标</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0.0844</w:t>
            </w:r>
            <w:r>
              <w:rPr>
                <w:rFonts w:hint="eastAsia"/>
                <w:color w:val="000000" w:themeColor="text1"/>
                <w:sz w:val="24"/>
                <w:highlight w:val="none"/>
                <w14:textFill>
                  <w14:solidFill>
                    <w14:schemeClr w14:val="tx1"/>
                  </w14:solidFill>
                </w14:textFill>
              </w:rPr>
              <w:t>t/a</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、NO</w:t>
            </w:r>
            <w:r>
              <w:rPr>
                <w:rFonts w:hint="eastAsia"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X</w:t>
            </w:r>
            <w:r>
              <w:rPr>
                <w:rFonts w:hint="eastAsia"/>
                <w:color w:val="000000" w:themeColor="text1"/>
                <w:sz w:val="24"/>
                <w:highlight w:val="none"/>
                <w:lang w:val="en-US" w:eastAsia="zh-CN"/>
                <w14:textFill>
                  <w14:solidFill>
                    <w14:schemeClr w14:val="tx1"/>
                  </w14:solidFill>
                </w14:textFill>
              </w:rPr>
              <w:t>总量控制指标</w:t>
            </w:r>
            <w:r>
              <w:rPr>
                <w:rFonts w:hint="eastAsia"/>
                <w:color w:val="000000" w:themeColor="text1"/>
                <w:sz w:val="24"/>
                <w:highlight w:val="none"/>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0.3996</w:t>
            </w:r>
            <w:r>
              <w:rPr>
                <w:rFonts w:hint="eastAsia"/>
                <w:color w:val="000000" w:themeColor="text1"/>
                <w:sz w:val="24"/>
                <w:highlight w:val="none"/>
                <w14:textFill>
                  <w14:solidFill>
                    <w14:schemeClr w14:val="tx1"/>
                  </w14:solidFill>
                </w14:textFill>
              </w:rPr>
              <w:t>t/a</w:t>
            </w:r>
            <w:r>
              <w:rPr>
                <w:rFonts w:hint="eastAsia"/>
                <w:color w:val="000000" w:themeColor="text1"/>
                <w:sz w:val="24"/>
                <w:highlight w:val="none"/>
                <w:lang w:eastAsia="zh-CN"/>
                <w14:textFill>
                  <w14:solidFill>
                    <w14:schemeClr w14:val="tx1"/>
                  </w14:solidFill>
                </w14:textFill>
              </w:rPr>
              <w:t>。</w:t>
            </w:r>
          </w:p>
          <w:p w14:paraId="4CFDB1AA">
            <w:pPr>
              <w:spacing w:line="360" w:lineRule="auto"/>
              <w:ind w:firstLine="480" w:firstLineChars="200"/>
              <w:rPr>
                <w:rFonts w:hint="default"/>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替代源削减来源、替代方案：根据昌吉回族自治州生态环境局呼图壁县分局出具的关于《呼图壁融鼎农林科技有限责任公司秸秆及粪污综合利用项目环境影响报告表》的审查意见（呼环评字〔2026〕19号），本项目倍量替代后的总量控制指标均从昌粮集团呼图壁粮油有限责任公司1000t/d玉米烘干塔煤改气项目的减排量中调剂解决。</w:t>
            </w:r>
          </w:p>
          <w:p w14:paraId="2C8668CE">
            <w:pPr>
              <w:spacing w:line="360" w:lineRule="auto"/>
              <w:ind w:firstLine="480" w:firstLineChars="200"/>
              <w:rPr>
                <w:rFonts w:hint="eastAsia"/>
                <w:color w:val="000000" w:themeColor="text1"/>
                <w:sz w:val="24"/>
                <w:highlight w:val="none"/>
                <w:lang w:eastAsia="zh-CN"/>
                <w14:textFill>
                  <w14:solidFill>
                    <w14:schemeClr w14:val="tx1"/>
                  </w14:solidFill>
                </w14:textFill>
              </w:rPr>
            </w:pPr>
          </w:p>
          <w:p w14:paraId="11EBC3EF">
            <w:pPr>
              <w:spacing w:line="360" w:lineRule="auto"/>
              <w:ind w:firstLine="480" w:firstLineChars="200"/>
              <w:rPr>
                <w:rFonts w:hint="eastAsia"/>
                <w:color w:val="000000" w:themeColor="text1"/>
                <w:sz w:val="24"/>
                <w:highlight w:val="none"/>
                <w:lang w:eastAsia="zh-CN"/>
                <w14:textFill>
                  <w14:solidFill>
                    <w14:schemeClr w14:val="tx1"/>
                  </w14:solidFill>
                </w14:textFill>
              </w:rPr>
            </w:pPr>
          </w:p>
          <w:p w14:paraId="056F61B5">
            <w:pPr>
              <w:spacing w:line="360" w:lineRule="auto"/>
              <w:ind w:firstLine="480" w:firstLineChars="200"/>
              <w:rPr>
                <w:rFonts w:hint="eastAsia"/>
                <w:color w:val="000000" w:themeColor="text1"/>
                <w:sz w:val="24"/>
                <w:highlight w:val="none"/>
                <w:lang w:eastAsia="zh-CN"/>
                <w14:textFill>
                  <w14:solidFill>
                    <w14:schemeClr w14:val="tx1"/>
                  </w14:solidFill>
                </w14:textFill>
              </w:rPr>
            </w:pPr>
          </w:p>
          <w:p w14:paraId="2A8F3919">
            <w:pPr>
              <w:spacing w:line="360" w:lineRule="auto"/>
              <w:ind w:firstLine="480" w:firstLineChars="200"/>
              <w:rPr>
                <w:rFonts w:hint="eastAsia"/>
                <w:color w:val="000000" w:themeColor="text1"/>
                <w:sz w:val="24"/>
                <w:highlight w:val="none"/>
                <w:lang w:eastAsia="zh-CN"/>
                <w14:textFill>
                  <w14:solidFill>
                    <w14:schemeClr w14:val="tx1"/>
                  </w14:solidFill>
                </w14:textFill>
              </w:rPr>
            </w:pPr>
          </w:p>
          <w:p w14:paraId="09FC82C0">
            <w:pPr>
              <w:spacing w:line="360" w:lineRule="auto"/>
              <w:ind w:firstLine="480" w:firstLineChars="200"/>
              <w:rPr>
                <w:rFonts w:hint="eastAsia"/>
                <w:color w:val="000000" w:themeColor="text1"/>
                <w:sz w:val="24"/>
                <w:highlight w:val="none"/>
                <w:lang w:eastAsia="zh-CN"/>
                <w14:textFill>
                  <w14:solidFill>
                    <w14:schemeClr w14:val="tx1"/>
                  </w14:solidFill>
                </w14:textFill>
              </w:rPr>
            </w:pPr>
          </w:p>
          <w:p w14:paraId="2C2407B3">
            <w:pPr>
              <w:spacing w:line="360" w:lineRule="auto"/>
              <w:rPr>
                <w:rFonts w:hint="eastAsia"/>
                <w:color w:val="000000" w:themeColor="text1"/>
                <w:sz w:val="24"/>
                <w:highlight w:val="none"/>
                <w:lang w:eastAsia="zh-CN"/>
                <w14:textFill>
                  <w14:solidFill>
                    <w14:schemeClr w14:val="tx1"/>
                  </w14:solidFill>
                </w14:textFill>
              </w:rPr>
            </w:pPr>
          </w:p>
        </w:tc>
      </w:tr>
    </w:tbl>
    <w:p w14:paraId="197EA485">
      <w:pPr>
        <w:pStyle w:val="27"/>
        <w:jc w:val="center"/>
        <w:outlineLvl w:val="0"/>
        <w:rPr>
          <w:rFonts w:hint="default" w:ascii="Times New Roman" w:hAnsi="Times New Roman" w:eastAsia="宋体" w:cs="Times New Roman"/>
          <w:snapToGrid w:val="0"/>
          <w:color w:val="000000" w:themeColor="text1"/>
          <w:sz w:val="30"/>
          <w:szCs w:val="30"/>
          <w14:textFill>
            <w14:solidFill>
              <w14:schemeClr w14:val="tx1"/>
            </w14:solidFill>
          </w14:textFill>
        </w:rPr>
      </w:pPr>
      <w:r>
        <w:rPr>
          <w:rFonts w:hint="default" w:ascii="Times New Roman" w:hAnsi="Times New Roman" w:eastAsia="宋体" w:cs="Times New Roman"/>
          <w:snapToGrid w:val="0"/>
          <w:color w:val="000000" w:themeColor="text1"/>
          <w:sz w:val="36"/>
          <w:szCs w:val="36"/>
          <w14:textFill>
            <w14:solidFill>
              <w14:schemeClr w14:val="tx1"/>
            </w14:solidFill>
          </w14:textFill>
        </w:rPr>
        <w:br w:type="page"/>
      </w:r>
      <w:bookmarkStart w:id="6" w:name="_Toc26343"/>
      <w:r>
        <w:rPr>
          <w:rFonts w:hint="default" w:ascii="Times New Roman" w:hAnsi="Times New Roman" w:eastAsia="宋体" w:cs="Times New Roman"/>
          <w:b/>
          <w:bCs/>
          <w:snapToGrid w:val="0"/>
          <w:color w:val="000000" w:themeColor="text1"/>
          <w:sz w:val="30"/>
          <w:szCs w:val="30"/>
          <w14:textFill>
            <w14:solidFill>
              <w14:schemeClr w14:val="tx1"/>
            </w14:solidFill>
          </w14:textFill>
        </w:rPr>
        <w:t>四、主要环境影响和保护措施</w:t>
      </w:r>
      <w:bookmarkEnd w:id="6"/>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360D8E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746" w:type="dxa"/>
            <w:noWrap w:val="0"/>
            <w:tcMar>
              <w:left w:w="28" w:type="dxa"/>
              <w:right w:w="28" w:type="dxa"/>
            </w:tcMar>
            <w:vAlign w:val="center"/>
          </w:tcPr>
          <w:p w14:paraId="56ECA44D">
            <w:pPr>
              <w:pStyle w:val="27"/>
              <w:adjustRightInd w:val="0"/>
              <w:snapToGrid w:val="0"/>
              <w:spacing w:before="0" w:beforeAutospacing="0" w:after="0" w:afterAutospacing="0"/>
              <w:jc w:val="center"/>
              <w:rPr>
                <w:rFonts w:hint="default" w:ascii="Times New Roman" w:hAnsi="Times New Roman" w:eastAsia="宋体" w:cs="Times New Roman"/>
                <w:color w:val="000000" w:themeColor="text1"/>
                <w:kern w:val="2"/>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14:textFill>
                  <w14:solidFill>
                    <w14:schemeClr w14:val="tx1"/>
                  </w14:solidFill>
                </w14:textFill>
              </w:rPr>
              <w:t>施工</w:t>
            </w:r>
          </w:p>
          <w:p w14:paraId="3FA4FB0C">
            <w:pPr>
              <w:pStyle w:val="27"/>
              <w:adjustRightInd w:val="0"/>
              <w:snapToGrid w:val="0"/>
              <w:spacing w:before="0" w:beforeAutospacing="0" w:after="0" w:afterAutospacing="0"/>
              <w:jc w:val="center"/>
              <w:rPr>
                <w:rFonts w:hint="default" w:ascii="Times New Roman" w:hAnsi="Times New Roman" w:eastAsia="宋体" w:cs="Times New Roman"/>
                <w:color w:val="000000" w:themeColor="text1"/>
                <w:kern w:val="2"/>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14:textFill>
                  <w14:solidFill>
                    <w14:schemeClr w14:val="tx1"/>
                  </w14:solidFill>
                </w14:textFill>
              </w:rPr>
              <w:t>期环</w:t>
            </w:r>
          </w:p>
          <w:p w14:paraId="13574560">
            <w:pPr>
              <w:pStyle w:val="27"/>
              <w:adjustRightInd w:val="0"/>
              <w:snapToGrid w:val="0"/>
              <w:spacing w:before="0" w:beforeAutospacing="0" w:after="0" w:afterAutospacing="0"/>
              <w:jc w:val="center"/>
              <w:rPr>
                <w:rFonts w:hint="default" w:ascii="Times New Roman" w:hAnsi="Times New Roman" w:eastAsia="宋体" w:cs="Times New Roman"/>
                <w:color w:val="000000" w:themeColor="text1"/>
                <w:kern w:val="2"/>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14:textFill>
                  <w14:solidFill>
                    <w14:schemeClr w14:val="tx1"/>
                  </w14:solidFill>
                </w14:textFill>
              </w:rPr>
              <w:t>境保</w:t>
            </w:r>
          </w:p>
          <w:p w14:paraId="060FF2D8">
            <w:pPr>
              <w:pStyle w:val="27"/>
              <w:adjustRightInd w:val="0"/>
              <w:snapToGrid w:val="0"/>
              <w:spacing w:before="0" w:beforeAutospacing="0" w:after="0" w:afterAutospacing="0"/>
              <w:jc w:val="center"/>
              <w:rPr>
                <w:rFonts w:hint="default" w:ascii="Times New Roman" w:hAnsi="Times New Roman" w:eastAsia="宋体" w:cs="Times New Roman"/>
                <w:color w:val="000000" w:themeColor="text1"/>
                <w:kern w:val="2"/>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14:textFill>
                  <w14:solidFill>
                    <w14:schemeClr w14:val="tx1"/>
                  </w14:solidFill>
                </w14:textFill>
              </w:rPr>
              <w:t>护措</w:t>
            </w:r>
          </w:p>
          <w:p w14:paraId="315B1506">
            <w:pPr>
              <w:pStyle w:val="27"/>
              <w:adjustRightInd w:val="0"/>
              <w:snapToGrid w:val="0"/>
              <w:spacing w:before="0" w:beforeAutospacing="0" w:after="0" w:afterAutospacing="0"/>
              <w:jc w:val="center"/>
              <w:rPr>
                <w:rFonts w:hint="default" w:ascii="Times New Roman" w:hAnsi="Times New Roman" w:eastAsia="宋体" w:cs="Times New Roman"/>
                <w:bCs/>
                <w:color w:val="000000" w:themeColor="text1"/>
                <w:kern w:val="2"/>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14:textFill>
                  <w14:solidFill>
                    <w14:schemeClr w14:val="tx1"/>
                  </w14:solidFill>
                </w14:textFill>
              </w:rPr>
              <w:t>施</w:t>
            </w:r>
          </w:p>
        </w:tc>
        <w:tc>
          <w:tcPr>
            <w:tcW w:w="8162" w:type="dxa"/>
            <w:noWrap w:val="0"/>
            <w:vAlign w:val="center"/>
          </w:tcPr>
          <w:p w14:paraId="3A0E6C9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本项目位于新疆昌吉回族自治州呼图壁县大丰镇红柳塘村丹霞路28号，租赁呼图壁县大丰镇红柳塘村股份经济合作社现有场地，</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施工期</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主要为液体肥车间、固体废车间及成品车间等的建设；生产设备及废气净化设施的安装。</w:t>
            </w:r>
          </w:p>
          <w:p w14:paraId="5A238B2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《建设项目环境影响报告表编制技术指南（污染影响类）（试行）》</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及本项目施工期产排污环节，提出施工期各环境要素保护措施如下：</w:t>
            </w:r>
          </w:p>
          <w:p w14:paraId="3BD27FB8">
            <w:pPr>
              <w:pStyle w:val="76"/>
              <w:keepNext/>
              <w:keepLines w:val="0"/>
              <w:pageBreakBefore/>
              <w:widowControl/>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2"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施工废气</w:t>
            </w:r>
          </w:p>
          <w:p w14:paraId="7179F7A7">
            <w:pPr>
              <w:pStyle w:val="77"/>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施工期大气污染物主要为施工扬尘，为最大程度减轻施工扬尘对周围大气环境的影响，</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本项目施工过</w:t>
            </w:r>
            <w:r>
              <w:rPr>
                <w:rFonts w:hint="eastAsia" w:cs="Times New Roman"/>
                <w:color w:val="000000" w:themeColor="text1"/>
                <w:sz w:val="24"/>
                <w:szCs w:val="24"/>
                <w:highlight w:val="none"/>
                <w:lang w:val="en-US" w:eastAsia="zh-CN"/>
                <w14:textFill>
                  <w14:solidFill>
                    <w14:schemeClr w14:val="tx1"/>
                  </w14:solidFill>
                </w14:textFill>
              </w:rPr>
              <w:t>程中</w:t>
            </w:r>
            <w:r>
              <w:rPr>
                <w:rFonts w:hint="default" w:ascii="Times New Roman" w:hAnsi="Times New Roman" w:eastAsia="宋体" w:cs="Times New Roman"/>
                <w:color w:val="000000" w:themeColor="text1"/>
                <w:sz w:val="24"/>
                <w:szCs w:val="24"/>
                <w:highlight w:val="none"/>
                <w14:textFill>
                  <w14:solidFill>
                    <w14:schemeClr w14:val="tx1"/>
                  </w14:solidFill>
                </w14:textFill>
              </w:rPr>
              <w:t>应采取扬尘控制措施，具体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措施</w:t>
            </w:r>
            <w:r>
              <w:rPr>
                <w:rFonts w:hint="default" w:ascii="Times New Roman" w:hAnsi="Times New Roman" w:eastAsia="宋体" w:cs="Times New Roman"/>
                <w:color w:val="000000" w:themeColor="text1"/>
                <w:sz w:val="24"/>
                <w:szCs w:val="24"/>
                <w:highlight w:val="none"/>
                <w14:textFill>
                  <w14:solidFill>
                    <w14:schemeClr w14:val="tx1"/>
                  </w14:solidFill>
                </w14:textFill>
              </w:rPr>
              <w:t>如下：</w:t>
            </w:r>
          </w:p>
          <w:p w14:paraId="58155D94">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在施工过程中，作业场地采取围挡、围护以减少扬尘扩散，围挡、围护对减少扬尘对环境的污染有明显作用，当风速为2.5m/s时可使影响距离缩短40%。在施工现场周围，连续设置不低于</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1.8</w:t>
            </w:r>
            <w:r>
              <w:rPr>
                <w:rFonts w:hint="default" w:ascii="Times New Roman" w:hAnsi="Times New Roman" w:eastAsia="宋体" w:cs="Times New Roman"/>
                <w:color w:val="000000" w:themeColor="text1"/>
                <w:sz w:val="24"/>
                <w:szCs w:val="24"/>
                <w:highlight w:val="none"/>
                <w14:textFill>
                  <w14:solidFill>
                    <w14:schemeClr w14:val="tx1"/>
                  </w14:solidFill>
                </w14:textFill>
              </w:rPr>
              <w:t>m高的围挡，并做到坚固美观</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3E20361B">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在施工场地安排员工定期对施工场地洒水以减少扬尘量，洒水次数根据天气状况而定，一般每天洒水1～2次，若遇到大风或干燥天气可适当增加洒水次数。施工场地洒水与否对扬尘的影响较大，场地洒水后，扬尘量将减低28%～75%，大大减少了其对环境的影响</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5A1121D3">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工程建设期间，使用的具有粉尘逸散性的工程材料、砂石、土方或废弃物，应当密闭处理。若在工地内堆置，则应采取覆盖防尘布、覆盖防尘网，防止风蚀起尘。同时对运输建筑材料及建筑垃圾的车辆加盖</w:t>
            </w:r>
            <w:r>
              <w:rPr>
                <w:rFonts w:hint="eastAsia" w:cs="Times New Roman"/>
                <w:color w:val="000000" w:themeColor="text1"/>
                <w:sz w:val="24"/>
                <w:szCs w:val="24"/>
                <w:highlight w:val="none"/>
                <w:lang w:eastAsia="zh-CN"/>
                <w14:textFill>
                  <w14:solidFill>
                    <w14:schemeClr w14:val="tx1"/>
                  </w14:solidFill>
                </w14:textFill>
              </w:rPr>
              <w:t>篷布</w:t>
            </w:r>
            <w:r>
              <w:rPr>
                <w:rFonts w:hint="default" w:ascii="Times New Roman" w:hAnsi="Times New Roman" w:eastAsia="宋体" w:cs="Times New Roman"/>
                <w:color w:val="000000" w:themeColor="text1"/>
                <w:sz w:val="24"/>
                <w:szCs w:val="24"/>
                <w:highlight w:val="none"/>
                <w14:textFill>
                  <w14:solidFill>
                    <w14:schemeClr w14:val="tx1"/>
                  </w14:solidFill>
                </w14:textFill>
              </w:rPr>
              <w:t>减少洒落；车辆进出、装卸场地时应用水将轮胎冲洗干净；车辆行驶路线尽量避开居民区</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37AD88C6">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（4）避免在大风天气进行土地开挖和回填作业，减少开挖土方的露天堆放时间尽量随挖随填</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3BFA63A2">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在施工场地设置专人负责弃土、建筑垃圾、建筑材料的处置、清运和堆放，堆放场地加盖</w:t>
            </w:r>
            <w:r>
              <w:rPr>
                <w:rFonts w:hint="eastAsia" w:cs="Times New Roman"/>
                <w:color w:val="000000" w:themeColor="text1"/>
                <w:sz w:val="24"/>
                <w:szCs w:val="24"/>
                <w:highlight w:val="none"/>
                <w:lang w:eastAsia="zh-CN"/>
                <w14:textFill>
                  <w14:solidFill>
                    <w14:schemeClr w14:val="tx1"/>
                  </w14:solidFill>
                </w14:textFill>
              </w:rPr>
              <w:t>篷布</w:t>
            </w:r>
            <w:r>
              <w:rPr>
                <w:rFonts w:hint="default" w:ascii="Times New Roman" w:hAnsi="Times New Roman" w:eastAsia="宋体" w:cs="Times New Roman"/>
                <w:color w:val="000000" w:themeColor="text1"/>
                <w:sz w:val="24"/>
                <w:szCs w:val="24"/>
                <w:highlight w:val="none"/>
                <w14:textFill>
                  <w14:solidFill>
                    <w14:schemeClr w14:val="tx1"/>
                  </w14:solidFill>
                </w14:textFill>
              </w:rPr>
              <w:t>或洒水，防止二次扬尘</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66D577E1">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施工单位应负责工地周边道路的保洁与清洗责任；随工程进度及时进行回填和植被恢复，减少裸露地面和临时土方堆场</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0708D31E">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对建筑垃圾及弃土应及时处理、清运、以减少占地，防止扬尘污染，改善施工场地的环境</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782A259F">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8</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加强监管执法，严格落实施工工地扬尘管控责任，全面推行绿色施工，严格落实建筑施工工地周边围挡、物料堆放覆盖、土方开挖湿法作业、路面硬化、渣土车辆密闭运输等</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六个百分之百</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措施，减少扬尘污染</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020318E7">
            <w:pPr>
              <w:pStyle w:val="76"/>
              <w:keepLines w:val="0"/>
              <w:widowControl/>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2"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施工废水</w:t>
            </w:r>
          </w:p>
          <w:p w14:paraId="4C574002">
            <w:pPr>
              <w:keepNext w:val="0"/>
              <w:keepLines w:val="0"/>
              <w:widowControl w:val="0"/>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jc w:val="both"/>
              <w:textAlignment w:val="baseline"/>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施工期的废水主要来自建筑施工废水和施工人员生活污水。</w:t>
            </w:r>
          </w:p>
          <w:p w14:paraId="463541A5">
            <w:pPr>
              <w:pStyle w:val="77"/>
              <w:keepNext w:val="0"/>
              <w:keepLines w:val="0"/>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生活污水</w:t>
            </w:r>
          </w:p>
          <w:p w14:paraId="519014F0">
            <w:pPr>
              <w:keepNext w:val="0"/>
              <w:keepLines w:val="0"/>
              <w:widowControl w:val="0"/>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jc w:val="both"/>
              <w:textAlignment w:val="baseline"/>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施工员工盥洗及如厕生活污水排入厂区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防渗化粪池，定期拉运至</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呼图壁县工业园区化工园污水处理厂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处理</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4084A79F">
            <w:pPr>
              <w:pStyle w:val="77"/>
              <w:keepNext w:val="0"/>
              <w:keepLines w:val="0"/>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施工废水</w:t>
            </w:r>
          </w:p>
          <w:p w14:paraId="4A051CEE">
            <w:pPr>
              <w:pStyle w:val="77"/>
              <w:keepNext w:val="0"/>
              <w:keepLines w:val="0"/>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施工期废水主要为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水泥</w:t>
            </w:r>
            <w:r>
              <w:rPr>
                <w:rFonts w:hint="default" w:ascii="Times New Roman" w:hAnsi="Times New Roman" w:eastAsia="宋体" w:cs="Times New Roman"/>
                <w:color w:val="000000" w:themeColor="text1"/>
                <w:sz w:val="24"/>
                <w:szCs w:val="24"/>
                <w:highlight w:val="none"/>
                <w14:textFill>
                  <w14:solidFill>
                    <w14:schemeClr w14:val="tx1"/>
                  </w14:solidFill>
                </w14:textFill>
              </w:rPr>
              <w:t>养护水</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此类废水自然蒸发，无废水。</w:t>
            </w:r>
          </w:p>
          <w:p w14:paraId="556C32D7">
            <w:pPr>
              <w:pStyle w:val="76"/>
              <w:keepLines w:val="0"/>
              <w:widowControl/>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2"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施工噪声</w:t>
            </w:r>
          </w:p>
          <w:p w14:paraId="1BA46A49">
            <w:pPr>
              <w:pStyle w:val="77"/>
              <w:keepNext w:val="0"/>
              <w:keepLines w:val="0"/>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根据现场勘查，本项目施工场界周边50m范围内主要为道路和</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农田</w:t>
            </w:r>
            <w:r>
              <w:rPr>
                <w:rFonts w:hint="default" w:ascii="Times New Roman" w:hAnsi="Times New Roman" w:eastAsia="宋体" w:cs="Times New Roman"/>
                <w:color w:val="000000" w:themeColor="text1"/>
                <w:sz w:val="24"/>
                <w:szCs w:val="24"/>
                <w:highlight w:val="none"/>
                <w14:textFill>
                  <w14:solidFill>
                    <w14:schemeClr w14:val="tx1"/>
                  </w14:solidFill>
                </w14:textFill>
              </w:rPr>
              <w:t>等，无声环境敏感目标。且施工噪声的影响特点为短期性，暂时性，一旦施工活动结束，施工噪声也就随之结束。</w:t>
            </w:r>
          </w:p>
          <w:p w14:paraId="2DBF1773">
            <w:pPr>
              <w:pStyle w:val="77"/>
              <w:keepNext w:val="0"/>
              <w:keepLines w:val="0"/>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为确保施工阶段噪声不对周围环境造成显著影响，建设单位应采取以下措施：</w:t>
            </w:r>
          </w:p>
          <w:p w14:paraId="31AB2D36">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（1）合理安排施工运输路线，运输车辆路线尽量避开人群积聚地区</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途经</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大丰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镇</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红柳塘村</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应禁止鸣笛；</w:t>
            </w:r>
          </w:p>
          <w:p w14:paraId="67215A56">
            <w:pPr>
              <w:pStyle w:val="77"/>
              <w:keepNext w:val="0"/>
              <w:keepLines w:val="0"/>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合理安排施工时间，高噪声设备施工尽量安排在非休息日昼间进行，夜间22：00～6：00禁止高噪声设备施工；如因施工需要必须连续作业的强噪声施工，必须提前向当地主管部门提出申请，经审核批准后，方可施工</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19F2C304">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）尽量采用低噪声机械，施工过程中还应经常对设备进行维修保养，避免因使用的设备性能差而使噪声增加的现象发生</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4C3EBDEC">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）要求施工单位通过文明施工、加强有效管理，以缓解敲击、人的喊叫等作为施工活动的声源。施工方应该制定合理有效的施工计划，提高工作效率，把施工时间控制在最短范围内</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01DDE0A4">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）施工场地和临时堆场等的位置要远离</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周边</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企业</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生活区</w:t>
            </w:r>
            <w:r>
              <w:rPr>
                <w:rFonts w:hint="default" w:ascii="Times New Roman" w:hAnsi="Times New Roman" w:eastAsia="宋体" w:cs="Times New Roman"/>
                <w:color w:val="000000" w:themeColor="text1"/>
                <w:sz w:val="24"/>
                <w:szCs w:val="24"/>
                <w:highlight w:val="none"/>
                <w14:textFill>
                  <w14:solidFill>
                    <w14:schemeClr w14:val="tx1"/>
                  </w14:solidFill>
                </w14:textFill>
              </w:rPr>
              <w:t>，避免物料运输、装卸产生的噪声对周边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企业工作人员生活产生影响</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6BDF0C06">
            <w:pPr>
              <w:pStyle w:val="76"/>
              <w:keepLines w:val="0"/>
              <w:widowControl/>
              <w:numPr>
                <w:ilvl w:val="0"/>
                <w:numId w:val="0"/>
              </w:numPr>
              <w:suppressLineNumbers w:val="0"/>
              <w:kinsoku/>
              <w:wordWrap/>
              <w:overflowPunct/>
              <w:topLinePunct w:val="0"/>
              <w:autoSpaceDE/>
              <w:autoSpaceDN/>
              <w:bidi w:val="0"/>
              <w:adjustRightInd w:val="0"/>
              <w:snapToGrid w:val="0"/>
              <w:spacing w:beforeAutospacing="0" w:afterAutospacing="0" w:line="360" w:lineRule="auto"/>
              <w:ind w:left="0" w:leftChars="0" w:right="0" w:firstLine="482"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施工期固体废物</w:t>
            </w:r>
          </w:p>
          <w:p w14:paraId="4A62E19F">
            <w:pPr>
              <w:pStyle w:val="77"/>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施工期产生的固体废物主要有建筑垃圾以及施工人员产生的生活垃圾。建设单位必须采取措施减少并降低施工废物和生活垃圾对周围环境的影响，须采取以下措施：</w:t>
            </w:r>
          </w:p>
          <w:p w14:paraId="2B34267D">
            <w:pPr>
              <w:pStyle w:val="11"/>
              <w:keepNext w:val="0"/>
              <w:keepLines w:val="0"/>
              <w:pageBreakBefore w:val="0"/>
              <w:widowControl w:val="0"/>
              <w:numPr>
                <w:ilvl w:val="0"/>
                <w:numId w:val="3"/>
              </w:numPr>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土石方处置：合理安排施工时序，做到</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即挖即填</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；做好剥离表层土保护工作，分类堆放，施工结束后用于临时占地迹地恢复和道路、绿化用土</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50F8B553">
            <w:pPr>
              <w:pStyle w:val="11"/>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建筑</w:t>
            </w:r>
            <w:r>
              <w:rPr>
                <w:rFonts w:hint="default" w:ascii="Times New Roman" w:hAnsi="Times New Roman" w:eastAsia="宋体" w:cs="Times New Roman"/>
                <w:color w:val="000000" w:themeColor="text1"/>
                <w:sz w:val="24"/>
                <w:szCs w:val="24"/>
                <w:highlight w:val="none"/>
                <w14:textFill>
                  <w14:solidFill>
                    <w14:schemeClr w14:val="tx1"/>
                  </w14:solidFill>
                </w14:textFill>
              </w:rPr>
              <w:t>垃圾：水泥袋</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钢筋、钢板之类的废料，可分类回收，交废物收购站处理</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，剩余部分无法回收再利用</w:t>
            </w:r>
            <w:r>
              <w:rPr>
                <w:rFonts w:hint="default" w:ascii="Times New Roman" w:hAnsi="Times New Roman" w:eastAsia="宋体" w:cs="Times New Roman"/>
                <w:color w:val="000000" w:themeColor="text1"/>
                <w:sz w:val="24"/>
                <w:szCs w:val="24"/>
                <w:highlight w:val="none"/>
                <w14:textFill>
                  <w14:solidFill>
                    <w14:schemeClr w14:val="tx1"/>
                  </w14:solidFill>
                </w14:textFill>
              </w:rPr>
              <w:t>建筑垃圾送市政部门指定地点堆存</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52919E65">
            <w:pPr>
              <w:pStyle w:val="11"/>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生活垃圾：生活垃圾集中堆放到垃圾桶等临时收集系统，交由当地环卫部门统一处置</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2598C60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（4）施工管理：加强施工管理，做好各类固体废弃物的收集与处置。</w:t>
            </w:r>
          </w:p>
          <w:p w14:paraId="7DF973F6">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93788D6">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DE9647C">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1274CBCE">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F14F10D">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49F27CCB">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FA7590C">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A246487">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C6A4836">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1095802F">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0F0096A">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C35FAAE">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D215D03">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6557961">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F957BEF">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8F6325C">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442ED4A1">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468601F9">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tc>
      </w:tr>
      <w:tr w14:paraId="53CA83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746" w:type="dxa"/>
            <w:noWrap w:val="0"/>
            <w:tcMar>
              <w:left w:w="28" w:type="dxa"/>
              <w:right w:w="28" w:type="dxa"/>
            </w:tcMar>
            <w:vAlign w:val="center"/>
          </w:tcPr>
          <w:p w14:paraId="40382532">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运营</w:t>
            </w:r>
          </w:p>
          <w:p w14:paraId="28D0E675">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期环</w:t>
            </w:r>
          </w:p>
          <w:p w14:paraId="61CF9619">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境影</w:t>
            </w:r>
          </w:p>
          <w:p w14:paraId="1AE09DA9">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响和</w:t>
            </w:r>
          </w:p>
          <w:p w14:paraId="31BEDA5F">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保护</w:t>
            </w:r>
          </w:p>
          <w:p w14:paraId="593A64B9">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措施</w:t>
            </w:r>
          </w:p>
        </w:tc>
        <w:tc>
          <w:tcPr>
            <w:tcW w:w="8162" w:type="dxa"/>
            <w:noWrap w:val="0"/>
            <w:vAlign w:val="center"/>
          </w:tcPr>
          <w:p w14:paraId="2079C6E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1、</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废</w:t>
            </w: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气</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环境影响和保护措施</w:t>
            </w:r>
          </w:p>
          <w:p w14:paraId="73E4AD3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pPr>
            <w:r>
              <w:rPr>
                <w:rFonts w:hint="default" w:ascii="Times New Roman" w:hAnsi="Times New Roman" w:eastAsia="Segoe UI Emoji" w:cs="Times New Roman"/>
                <w:i w:val="0"/>
                <w:iCs w:val="0"/>
                <w:caps w:val="0"/>
                <w:color w:val="000000" w:themeColor="text1"/>
                <w:spacing w:val="0"/>
                <w:sz w:val="24"/>
                <w:szCs w:val="24"/>
                <w14:textFill>
                  <w14:solidFill>
                    <w14:schemeClr w14:val="tx1"/>
                  </w14:solidFill>
                </w14:textFill>
              </w:rPr>
              <w:t>本次环评以运营期废气产生源分布图（图2-4）为基础，采用分车间方式对各类废气源强开展分项核算。</w:t>
            </w:r>
          </w:p>
          <w:p w14:paraId="44BA00E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Segoe UI Emoji" w:cs="Times New Roman"/>
                <w:i w:val="0"/>
                <w:iCs w:val="0"/>
                <w:caps w:val="0"/>
                <w:color w:val="000000" w:themeColor="text1"/>
                <w:spacing w:val="0"/>
                <w:sz w:val="24"/>
                <w:szCs w:val="24"/>
                <w:highlight w:val="none"/>
                <w:lang w:val="en-US" w:eastAsia="zh-CN"/>
                <w14:textFill>
                  <w14:solidFill>
                    <w14:schemeClr w14:val="tx1"/>
                  </w14:solidFill>
                </w14:textFill>
              </w:rPr>
            </w:pP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有组织废气：</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营运期</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有组织废气主要为农林秸秆废弃物破碎</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（G2），位于破碎车间；炭块</w:t>
            </w:r>
            <w:r>
              <w:rPr>
                <w:rFonts w:hint="eastAsia" w:ascii="Times New Roman" w:hAnsi="Times New Roman" w:eastAsia="Segoe UI Emoji" w:cs="Times New Roman"/>
                <w:i w:val="0"/>
                <w:iCs w:val="0"/>
                <w:caps w:val="0"/>
                <w:color w:val="000000" w:themeColor="text1"/>
                <w:spacing w:val="0"/>
                <w:sz w:val="24"/>
                <w:szCs w:val="24"/>
                <w:highlight w:val="none"/>
                <w:lang w:val="en-US" w:eastAsia="zh-CN"/>
                <w14:textFill>
                  <w14:solidFill>
                    <w14:schemeClr w14:val="tx1"/>
                  </w14:solidFill>
                </w14:textFill>
              </w:rPr>
              <w:t>粉碎、有机肥（筛分</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、造粒、灌装</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（G6、G7、G8、G9），位于固体肥车间；炭化炉秸秆下料</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（G3），位于炭化车间；</w:t>
            </w:r>
            <w:r>
              <w:rPr>
                <w:rFonts w:hint="eastAsia" w:cs="Times New Roman"/>
                <w:color w:val="000000" w:themeColor="text1"/>
                <w:kern w:val="0"/>
                <w:sz w:val="24"/>
                <w:szCs w:val="24"/>
                <w:highlight w:val="none"/>
                <w:lang w:val="en-US" w:eastAsia="zh-CN" w:bidi="ar"/>
                <w14:textFill>
                  <w14:solidFill>
                    <w14:schemeClr w14:val="tx1"/>
                  </w14:solidFill>
                </w14:textFill>
              </w:rPr>
              <w:t>热风炉</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燃烧工序产生的颗粒物、二氧化硫、氮氧化物（G10），位于热储能车间</w:t>
            </w:r>
            <w:r>
              <w:rPr>
                <w:rFonts w:hint="eastAsia" w:cs="Times New Roman"/>
                <w:b w:val="0"/>
                <w:bCs w:val="0"/>
                <w:color w:val="000000" w:themeColor="text1"/>
                <w:sz w:val="24"/>
                <w:szCs w:val="24"/>
                <w:highlight w:val="none"/>
                <w:lang w:val="en-US" w:eastAsia="zh-CN"/>
                <w14:textFill>
                  <w14:solidFill>
                    <w14:schemeClr w14:val="tx1"/>
                  </w14:solidFill>
                </w14:textFill>
              </w:rPr>
              <w:t>；</w:t>
            </w:r>
          </w:p>
          <w:p w14:paraId="143BAB1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Segoe UI Emoji" w:cs="Times New Roman"/>
                <w:i w:val="0"/>
                <w:iCs w:val="0"/>
                <w:caps w:val="0"/>
                <w:color w:val="000000" w:themeColor="text1"/>
                <w:spacing w:val="0"/>
                <w:sz w:val="24"/>
                <w:szCs w:val="24"/>
                <w:highlight w:val="none"/>
                <w:lang w:val="en-US" w:eastAsia="zh-CN"/>
                <w14:textFill>
                  <w14:solidFill>
                    <w14:schemeClr w14:val="tx1"/>
                  </w14:solidFill>
                </w14:textFill>
              </w:rPr>
              <w:t>无组织废</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气：炭化炉炭化</w:t>
            </w:r>
            <w:r>
              <w:rPr>
                <w:rFonts w:hint="eastAsia" w:cs="Times New Roman"/>
                <w:color w:val="000000" w:themeColor="text1"/>
                <w:kern w:val="0"/>
                <w:sz w:val="24"/>
                <w:szCs w:val="24"/>
                <w:highlight w:val="none"/>
                <w:lang w:val="en-US" w:eastAsia="zh-CN" w:bidi="ar"/>
                <w14:textFill>
                  <w14:solidFill>
                    <w14:schemeClr w14:val="tx1"/>
                  </w14:solidFill>
                </w14:textFill>
              </w:rPr>
              <w:t>出碳</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逸散废气（G</w:t>
            </w:r>
            <w:r>
              <w:rPr>
                <w:rFonts w:hint="eastAsia" w:cs="Times New Roman"/>
                <w:color w:val="000000" w:themeColor="text1"/>
                <w:kern w:val="0"/>
                <w:sz w:val="24"/>
                <w:szCs w:val="24"/>
                <w:highlight w:val="none"/>
                <w:lang w:val="en-US" w:eastAsia="zh-CN" w:bidi="ar"/>
                <w14:textFill>
                  <w14:solidFill>
                    <w14:schemeClr w14:val="tx1"/>
                  </w14:solidFill>
                </w14:textFill>
              </w:rPr>
              <w:t>4</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）；木醋液及木焦油静置、蒸馏、均质、过滤、储存逸散</w:t>
            </w:r>
            <w:r>
              <w:rPr>
                <w:rFonts w:hint="eastAsia" w:cs="Times New Roman"/>
                <w:color w:val="000000" w:themeColor="text1"/>
                <w:kern w:val="0"/>
                <w:sz w:val="24"/>
                <w:szCs w:val="24"/>
                <w:highlight w:val="none"/>
                <w:lang w:val="en-US" w:eastAsia="zh-CN" w:bidi="ar"/>
                <w14:textFill>
                  <w14:solidFill>
                    <w14:schemeClr w14:val="tx1"/>
                  </w14:solidFill>
                </w14:textFill>
              </w:rPr>
              <w:t>废气</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（G5）</w:t>
            </w:r>
            <w:r>
              <w:rPr>
                <w:rFonts w:hint="eastAsia" w:cs="Times New Roman"/>
                <w:color w:val="000000" w:themeColor="text1"/>
                <w:kern w:val="0"/>
                <w:sz w:val="24"/>
                <w:szCs w:val="24"/>
                <w:highlight w:val="none"/>
                <w:lang w:val="en-US" w:eastAsia="zh-CN" w:bidi="ar"/>
                <w14:textFill>
                  <w14:solidFill>
                    <w14:schemeClr w14:val="tx1"/>
                  </w14:solidFill>
                </w14:textFill>
              </w:rPr>
              <w:t>；氢氧化钙烘干逸散的颗粒物（G11）；生石灰（氧化钙）包装和装运逸散的颗粒物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（G</w:t>
            </w:r>
            <w:r>
              <w:rPr>
                <w:rFonts w:hint="eastAsia" w:cs="Times New Roman"/>
                <w:color w:val="000000" w:themeColor="text1"/>
                <w:kern w:val="0"/>
                <w:sz w:val="24"/>
                <w:szCs w:val="24"/>
                <w:highlight w:val="none"/>
                <w:lang w:val="en-US" w:eastAsia="zh-CN" w:bidi="ar"/>
                <w14:textFill>
                  <w14:solidFill>
                    <w14:schemeClr w14:val="tx1"/>
                  </w14:solidFill>
                </w14:textFill>
              </w:rPr>
              <w:t>12</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炭化车间及固体肥车间</w:t>
            </w:r>
            <w:r>
              <w:rPr>
                <w:rFonts w:hint="eastAsia" w:cs="Times New Roman"/>
                <w:color w:val="000000" w:themeColor="text1"/>
                <w:kern w:val="0"/>
                <w:sz w:val="24"/>
                <w:szCs w:val="24"/>
                <w:highlight w:val="none"/>
                <w:lang w:val="en-US" w:eastAsia="zh-CN" w:bidi="ar"/>
                <w14:textFill>
                  <w14:solidFill>
                    <w14:schemeClr w14:val="tx1"/>
                  </w14:solidFill>
                </w14:textFill>
              </w:rPr>
              <w:t>等</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未收集到的逸散的粉尘G1</w:t>
            </w:r>
            <w:r>
              <w:rPr>
                <w:rFonts w:hint="eastAsia" w:cs="Times New Roman"/>
                <w:color w:val="000000" w:themeColor="text1"/>
                <w:kern w:val="0"/>
                <w:sz w:val="24"/>
                <w:szCs w:val="24"/>
                <w:highlight w:val="none"/>
                <w:lang w:val="en-US" w:eastAsia="zh-CN" w:bidi="ar"/>
                <w14:textFill>
                  <w14:solidFill>
                    <w14:schemeClr w14:val="tx1"/>
                  </w14:solidFill>
                </w14:textFill>
              </w:rPr>
              <w:t>3</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双膜储气柜膜材渗透及压力波动综合逸散</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VOC</w:t>
            </w:r>
            <w:r>
              <w:rPr>
                <w:rFonts w:hint="eastAsia" w:ascii="Times New Roman" w:hAnsi="Times New Roman" w:cs="Times New Roman"/>
                <w:b w:val="0"/>
                <w:bCs w:val="0"/>
                <w:color w:val="000000" w:themeColor="text1"/>
                <w:sz w:val="24"/>
                <w:szCs w:val="24"/>
                <w:highlight w:val="none"/>
                <w:vertAlign w:val="subscript"/>
                <w:lang w:val="en-US" w:eastAsia="zh-CN"/>
                <w14:textFill>
                  <w14:solidFill>
                    <w14:schemeClr w14:val="tx1"/>
                  </w14:solidFill>
                </w14:textFill>
              </w:rPr>
              <w:t>S</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G1</w:t>
            </w:r>
            <w:r>
              <w:rPr>
                <w:rFonts w:hint="eastAsia" w:cs="Times New Roman"/>
                <w:b w:val="0"/>
                <w:bCs w:val="0"/>
                <w:color w:val="000000" w:themeColor="text1"/>
                <w:sz w:val="24"/>
                <w:szCs w:val="24"/>
                <w:highlight w:val="none"/>
                <w:lang w:val="en-US" w:eastAsia="zh-CN"/>
                <w14:textFill>
                  <w14:solidFill>
                    <w14:schemeClr w14:val="tx1"/>
                  </w14:solidFill>
                </w14:textFill>
              </w:rPr>
              <w:t>4</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w:t>
            </w:r>
          </w:p>
          <w:p w14:paraId="32D7C44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default"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农林秸秆废弃物呈秆状，装卸过程不易产生粉尘；矿源腐殖酸粉袋装转</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运进厂，装卸过程不易产生粉尘</w:t>
            </w:r>
            <w:r>
              <w:rPr>
                <w:rFonts w:hint="eastAsia" w:cs="Times New Roman"/>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综上，</w:t>
            </w:r>
            <w:r>
              <w:rPr>
                <w:rFonts w:hint="eastAsia" w:cs="Times New Roman"/>
                <w:color w:val="000000" w:themeColor="text1"/>
                <w:kern w:val="0"/>
                <w:sz w:val="24"/>
                <w:szCs w:val="24"/>
                <w:lang w:val="en-US" w:eastAsia="zh-CN" w:bidi="ar"/>
                <w14:textFill>
                  <w14:solidFill>
                    <w14:schemeClr w14:val="tx1"/>
                  </w14:solidFill>
                </w14:textFill>
              </w:rPr>
              <w:t>此</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两类原料装卸工序粉尘均可忽略不计</w:t>
            </w:r>
            <w:r>
              <w:rPr>
                <w:rFonts w:hint="eastAsia" w:cs="Times New Roman"/>
                <w:color w:val="000000" w:themeColor="text1"/>
                <w:kern w:val="0"/>
                <w:sz w:val="24"/>
                <w:szCs w:val="24"/>
                <w:lang w:val="en-US" w:eastAsia="zh-CN" w:bidi="ar"/>
                <w14:textFill>
                  <w14:solidFill>
                    <w14:schemeClr w14:val="tx1"/>
                  </w14:solidFill>
                </w14:textFill>
              </w:rPr>
              <w:t>；本项目场地为水泥硬化地面，路面起尘量</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可忽略不计</w:t>
            </w:r>
            <w:r>
              <w:rPr>
                <w:rFonts w:hint="eastAsia" w:cs="Times New Roman"/>
                <w:color w:val="000000" w:themeColor="text1"/>
                <w:kern w:val="0"/>
                <w:sz w:val="24"/>
                <w:szCs w:val="24"/>
                <w:lang w:val="en-US" w:eastAsia="zh-CN" w:bidi="ar"/>
                <w14:textFill>
                  <w14:solidFill>
                    <w14:schemeClr w14:val="tx1"/>
                  </w14:solidFill>
                </w14:textFill>
              </w:rPr>
              <w:t>；洒水降温后炭块不易起尘，</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可忽略不计</w:t>
            </w:r>
            <w:r>
              <w:rPr>
                <w:rFonts w:hint="eastAsia" w:cs="Times New Roman"/>
                <w:color w:val="000000" w:themeColor="text1"/>
                <w:kern w:val="0"/>
                <w:sz w:val="24"/>
                <w:szCs w:val="24"/>
                <w:lang w:val="en-US" w:eastAsia="zh-CN" w:bidi="ar"/>
                <w14:textFill>
                  <w14:solidFill>
                    <w14:schemeClr w14:val="tx1"/>
                  </w14:solidFill>
                </w14:textFill>
              </w:rPr>
              <w:t>；</w:t>
            </w:r>
          </w:p>
          <w:p w14:paraId="3D3DBD7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本项目年工作300天，每天24小时，年运行小时数7200h。</w:t>
            </w:r>
          </w:p>
          <w:p w14:paraId="15FD601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1.1</w:t>
            </w:r>
            <w:r>
              <w:rPr>
                <w:rFonts w:hint="eastAsia" w:cs="Times New Roman"/>
                <w:b/>
                <w:bCs/>
                <w:color w:val="000000" w:themeColor="text1"/>
                <w:kern w:val="0"/>
                <w:sz w:val="24"/>
                <w:szCs w:val="24"/>
                <w:lang w:val="en-US" w:eastAsia="zh-CN" w:bidi="ar"/>
                <w14:textFill>
                  <w14:solidFill>
                    <w14:schemeClr w14:val="tx1"/>
                  </w14:solidFill>
                </w14:textFill>
              </w:rPr>
              <w:t>有组织废气</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源强分析</w:t>
            </w:r>
          </w:p>
          <w:p w14:paraId="6CD9D02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（1）破碎车间内</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源强</w:t>
            </w: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p>
          <w:p w14:paraId="654B33D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pP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农林秸秆废弃物破碎</w:t>
            </w:r>
            <w:r>
              <w:rPr>
                <w:rFonts w:hint="eastAsia" w:eastAsia="Segoe UI Emoji" w:cs="Times New Roman"/>
                <w:i w:val="0"/>
                <w:iCs w:val="0"/>
                <w:caps w:val="0"/>
                <w:color w:val="000000" w:themeColor="text1"/>
                <w:spacing w:val="0"/>
                <w:sz w:val="24"/>
                <w:szCs w:val="24"/>
                <w:lang w:val="en-US" w:eastAsia="zh-CN"/>
                <w14:textFill>
                  <w14:solidFill>
                    <w14:schemeClr w14:val="tx1"/>
                  </w14:solidFill>
                </w14:textFill>
              </w:rPr>
              <w:t>颗粒物</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（G2）</w:t>
            </w:r>
          </w:p>
          <w:p w14:paraId="0D4377B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参考</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《排污源统计调查产排污核算方法和系数手册》（公告2021年第24号）中</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“2625有机肥及微生物肥制造行业系数表”</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w:t>
            </w:r>
            <w:r>
              <w:rPr>
                <w:rFonts w:hint="eastAsia" w:cs="Times New Roman"/>
                <w:i w:val="0"/>
                <w:iCs w:val="0"/>
                <w:caps w:val="0"/>
                <w:color w:val="000000" w:themeColor="text1"/>
                <w:spacing w:val="0"/>
                <w:sz w:val="24"/>
                <w:szCs w:val="24"/>
                <w:lang w:val="en-US" w:eastAsia="zh-CN"/>
                <w14:textFill>
                  <w14:solidFill>
                    <w14:schemeClr w14:val="tx1"/>
                  </w14:solidFill>
                </w14:textFill>
              </w:rPr>
              <w:t>前处理、后处理工段</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过程颗粒物产污系数为</w:t>
            </w:r>
            <w:r>
              <w:rPr>
                <w:rFonts w:hint="eastAsia" w:cs="Times New Roman"/>
                <w:i w:val="0"/>
                <w:iCs w:val="0"/>
                <w:caps w:val="0"/>
                <w:color w:val="000000" w:themeColor="text1"/>
                <w:spacing w:val="0"/>
                <w:sz w:val="24"/>
                <w:szCs w:val="24"/>
                <w:lang w:val="en-US" w:eastAsia="zh-CN"/>
                <w14:textFill>
                  <w14:solidFill>
                    <w14:schemeClr w14:val="tx1"/>
                  </w14:solidFill>
                </w14:textFill>
              </w:rPr>
              <w:t>0.370千克</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/吨-产品，</w:t>
            </w:r>
            <w:r>
              <w:rPr>
                <w:rFonts w:hint="eastAsia" w:cs="Times New Roman"/>
                <w:i w:val="0"/>
                <w:iCs w:val="0"/>
                <w:caps w:val="0"/>
                <w:color w:val="000000" w:themeColor="text1"/>
                <w:spacing w:val="0"/>
                <w:sz w:val="24"/>
                <w:szCs w:val="24"/>
                <w:lang w:val="en-US" w:eastAsia="zh-CN"/>
                <w14:textFill>
                  <w14:solidFill>
                    <w14:schemeClr w14:val="tx1"/>
                  </w14:solidFill>
                </w14:textFill>
              </w:rPr>
              <w:t>本项目</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4台</w:t>
            </w:r>
            <w:r>
              <w:rPr>
                <w:rFonts w:hint="eastAsia" w:cs="Times New Roman"/>
                <w:snapToGrid/>
                <w:color w:val="000000" w:themeColor="text1"/>
                <w:kern w:val="2"/>
                <w:sz w:val="24"/>
                <w:szCs w:val="24"/>
                <w:highlight w:val="none"/>
                <w:lang w:val="en-US" w:eastAsia="zh-CN"/>
                <w14:textFill>
                  <w14:solidFill>
                    <w14:schemeClr w14:val="tx1"/>
                  </w14:solidFill>
                </w14:textFill>
              </w:rPr>
              <w:t>炭化炉</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共计消耗秸秆最大量为64t/d</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全年</w:t>
            </w:r>
            <w:r>
              <w:rPr>
                <w:rFonts w:hint="eastAsia" w:cs="Times New Roman"/>
                <w:snapToGrid/>
                <w:color w:val="000000" w:themeColor="text1"/>
                <w:kern w:val="2"/>
                <w:sz w:val="24"/>
                <w:szCs w:val="24"/>
                <w:highlight w:val="none"/>
                <w:lang w:val="en-US" w:eastAsia="zh-CN"/>
                <w14:textFill>
                  <w14:solidFill>
                    <w14:schemeClr w14:val="tx1"/>
                  </w14:solidFill>
                </w14:textFill>
              </w:rPr>
              <w:t>消耗量</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为19200</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t</w:t>
            </w:r>
            <w:r>
              <w:rPr>
                <w:rFonts w:hint="eastAsia" w:cs="Times New Roman"/>
                <w:snapToGrid/>
                <w:color w:val="000000" w:themeColor="text1"/>
                <w:kern w:val="2"/>
                <w:sz w:val="24"/>
                <w:szCs w:val="24"/>
                <w:highlight w:val="none"/>
                <w:lang w:val="en-US" w:eastAsia="zh-CN"/>
                <w14:textFill>
                  <w14:solidFill>
                    <w14:schemeClr w14:val="tx1"/>
                  </w14:solidFill>
                </w14:textFill>
              </w:rPr>
              <w:t>（粉碎后进入炭化工艺的</w:t>
            </w:r>
            <w:r>
              <w:rPr>
                <w:rFonts w:hint="eastAsia"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秸秆总量</w:t>
            </w:r>
            <w:r>
              <w:rPr>
                <w:rFonts w:hint="eastAsia" w:cs="Times New Roman"/>
                <w:snapToGrid/>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则破碎</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粉尘</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产生量为</w:t>
            </w:r>
            <w:r>
              <w:rPr>
                <w:rFonts w:hint="eastAsia" w:cs="Times New Roman"/>
                <w:i w:val="0"/>
                <w:iCs w:val="0"/>
                <w:caps w:val="0"/>
                <w:color w:val="000000" w:themeColor="text1"/>
                <w:spacing w:val="0"/>
                <w:sz w:val="24"/>
                <w:szCs w:val="24"/>
                <w:lang w:val="en-US" w:eastAsia="zh-CN"/>
                <w14:textFill>
                  <w14:solidFill>
                    <w14:schemeClr w14:val="tx1"/>
                  </w14:solidFill>
                </w14:textFill>
              </w:rPr>
              <w:t>7.104</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t/a。</w:t>
            </w:r>
          </w:p>
          <w:p w14:paraId="7010793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农林秸秆废弃物</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接收、破碎工序均位于封闭</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车间内。在破碎工序设置一台布袋除尘器，破碎工序为固定工段，因此在破碎工序</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工区上部加装集气罩，破碎工序粉尘经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集气罩（收集效率90%）收集后在风机</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（设计风量为20000m</w:t>
            </w:r>
            <w:r>
              <w:rPr>
                <w:rFonts w:hint="eastAsia"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/h）</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的作用下</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引入</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布袋除尘器（处理效率</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99</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%）处理后由</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1根</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15m高排气筒排放</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（DA001）</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因此，本项目农林秸秆废弃物破碎工序有组织颗粒物排放量为0.063936</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t/a</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，排放速率为</w:t>
            </w:r>
            <w:r>
              <w:rPr>
                <w:rFonts w:hint="eastAsia" w:cs="Times New Roman"/>
                <w:color w:val="000000" w:themeColor="text1"/>
                <w:kern w:val="0"/>
                <w:sz w:val="24"/>
                <w:szCs w:val="24"/>
                <w:highlight w:val="none"/>
                <w:lang w:val="en-US" w:eastAsia="zh-CN" w:bidi="ar"/>
                <w14:textFill>
                  <w14:solidFill>
                    <w14:schemeClr w14:val="tx1"/>
                  </w14:solidFill>
                </w14:textFill>
              </w:rPr>
              <w:t>0.00888</w:t>
            </w:r>
            <w:r>
              <w:rPr>
                <w:rFonts w:hint="default" w:ascii="Times New Roman" w:hAnsi="Times New Roman" w:eastAsia="宋体" w:cs="Times New Roman"/>
                <w:bCs/>
                <w:color w:val="000000" w:themeColor="text1"/>
                <w:spacing w:val="-10"/>
                <w:sz w:val="24"/>
                <w:szCs w:val="24"/>
                <w:highlight w:val="none"/>
                <w14:textFill>
                  <w14:solidFill>
                    <w14:schemeClr w14:val="tx1"/>
                  </w14:solidFill>
                </w14:textFill>
              </w:rPr>
              <w:t>kg/h</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，排放浓度为</w:t>
            </w:r>
            <w:r>
              <w:rPr>
                <w:rFonts w:hint="eastAsia" w:cs="Times New Roman"/>
                <w:color w:val="000000" w:themeColor="text1"/>
                <w:kern w:val="0"/>
                <w:sz w:val="24"/>
                <w:szCs w:val="24"/>
                <w:highlight w:val="none"/>
                <w:lang w:val="en-US" w:eastAsia="zh-CN" w:bidi="ar"/>
                <w14:textFill>
                  <w14:solidFill>
                    <w14:schemeClr w14:val="tx1"/>
                  </w14:solidFill>
                </w14:textFill>
              </w:rPr>
              <w:t>0.444</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mg/m</w:t>
            </w:r>
            <w:r>
              <w:rPr>
                <w:rFonts w:hint="default" w:ascii="Times New Roman" w:hAnsi="Times New Roman" w:eastAsia="宋体" w:cs="Times New Roman"/>
                <w:color w:val="000000" w:themeColor="text1"/>
                <w:kern w:val="0"/>
                <w:sz w:val="24"/>
                <w:szCs w:val="24"/>
                <w:highlight w:val="none"/>
                <w:vertAlign w:val="super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；无组织</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排放量为</w:t>
            </w:r>
            <w:r>
              <w:rPr>
                <w:rFonts w:hint="eastAsia" w:cs="Times New Roman"/>
                <w:color w:val="000000" w:themeColor="text1"/>
                <w:kern w:val="0"/>
                <w:sz w:val="24"/>
                <w:szCs w:val="24"/>
                <w:highlight w:val="none"/>
                <w:lang w:val="en-US" w:eastAsia="zh-CN" w:bidi="ar"/>
                <w14:textFill>
                  <w14:solidFill>
                    <w14:schemeClr w14:val="tx1"/>
                  </w14:solidFill>
                </w14:textFill>
              </w:rPr>
              <w:t>0.7014</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t/a</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35B5B2D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（2）固体肥车间内</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源强</w:t>
            </w: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p>
          <w:p w14:paraId="084C99DF">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pacing w:val="-1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炭块粉碎、</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有机肥（</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筛分、造粒、灌装</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w:t>
            </w:r>
            <w:r>
              <w:rPr>
                <w:rFonts w:hint="eastAsia" w:cs="Times New Roman"/>
                <w:i w:val="0"/>
                <w:iCs w:val="0"/>
                <w:caps w:val="0"/>
                <w:color w:val="000000" w:themeColor="text1"/>
                <w:spacing w:val="0"/>
                <w:sz w:val="24"/>
                <w:szCs w:val="24"/>
                <w:lang w:val="en-US" w:eastAsia="zh-CN"/>
                <w14:textFill>
                  <w14:solidFill>
                    <w14:schemeClr w14:val="tx1"/>
                  </w14:solidFill>
                </w14:textFill>
              </w:rPr>
              <w:t>颗粒物</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（G6、G7、G8、G9）</w:t>
            </w:r>
          </w:p>
          <w:p w14:paraId="04DD044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参考</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《排污源统计调查产排污核算方法和系数手册》（公告2021年第24号）中</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“2625有机肥及微生物肥制造行业系数表”</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，前处理、后处理工段过程颗粒物产污系数为</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0.370kg</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/吨-产品，本项目</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年产有机肥为29442.4</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t，则</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炭块粉碎、</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有机肥（</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筛分、造粒、灌装</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颗粒物</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产生量为</w:t>
            </w:r>
            <w:r>
              <w:rPr>
                <w:rFonts w:hint="eastAsia" w:cs="Times New Roman"/>
                <w:i w:val="0"/>
                <w:iCs w:val="0"/>
                <w:caps w:val="0"/>
                <w:color w:val="000000" w:themeColor="text1"/>
                <w:spacing w:val="0"/>
                <w:sz w:val="24"/>
                <w:szCs w:val="24"/>
                <w:lang w:val="en-US" w:eastAsia="zh-CN"/>
                <w14:textFill>
                  <w14:solidFill>
                    <w14:schemeClr w14:val="tx1"/>
                  </w14:solidFill>
                </w14:textFill>
              </w:rPr>
              <w:t>10.893688</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t/a。</w:t>
            </w:r>
          </w:p>
          <w:p w14:paraId="56A0A22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本项目炭块粉碎、</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有机肥（</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筛分、造粒、灌装</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工序均位于封闭车间内。在该工序设置一台布袋除尘器，炭块粉碎、</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有机肥（</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筛分、造粒、灌装</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工序为固定工段，因此在炭块粉碎、</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有机肥（</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筛分、造粒、灌装</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工序工区上部加装集气罩，工序粉尘经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集气罩（收集效率9</w:t>
            </w:r>
            <w:r>
              <w:rPr>
                <w:rFonts w:hint="eastAsia" w:cs="Times New Roman"/>
                <w:color w:val="000000" w:themeColor="text1"/>
                <w:kern w:val="0"/>
                <w:sz w:val="24"/>
                <w:szCs w:val="24"/>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%）收集后在风机</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（设计风量为20000m</w:t>
            </w:r>
            <w:r>
              <w:rPr>
                <w:rFonts w:hint="eastAsia"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/h）</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的作用下</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引入</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布袋除尘器</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（处理效率</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99</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%）处理后由</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1根</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15m高排气筒排放</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（DA002）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因此，本项目炭块粉碎、</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有机肥（</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筛分、造粒、灌装</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工序有组织</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排放量为0.10349</w:t>
            </w:r>
            <w:r>
              <w:rPr>
                <w:rFonts w:hint="default" w:ascii="Times New Roman" w:hAnsi="Times New Roman" w:eastAsia="宋体" w:cs="Times New Roman"/>
                <w:bCs/>
                <w:color w:val="000000" w:themeColor="text1"/>
                <w:spacing w:val="-10"/>
                <w:sz w:val="24"/>
                <w:szCs w:val="24"/>
                <w:highlight w:val="none"/>
                <w14:textFill>
                  <w14:solidFill>
                    <w14:schemeClr w14:val="tx1"/>
                  </w14:solidFill>
                </w14:textFill>
              </w:rPr>
              <w:t>t/a</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速率为0.01437</w:t>
            </w:r>
            <w:r>
              <w:rPr>
                <w:rFonts w:hint="default" w:ascii="Times New Roman" w:hAnsi="Times New Roman" w:eastAsia="宋体" w:cs="Times New Roman"/>
                <w:bCs/>
                <w:color w:val="000000" w:themeColor="text1"/>
                <w:spacing w:val="-10"/>
                <w:sz w:val="24"/>
                <w:szCs w:val="24"/>
                <w14:textFill>
                  <w14:solidFill>
                    <w14:schemeClr w14:val="tx1"/>
                  </w14:solidFill>
                </w14:textFill>
              </w:rPr>
              <w:t>k</w:t>
            </w:r>
            <w:r>
              <w:rPr>
                <w:rFonts w:hint="default" w:ascii="Times New Roman" w:hAnsi="Times New Roman" w:eastAsia="宋体" w:cs="Times New Roman"/>
                <w:bCs/>
                <w:color w:val="000000" w:themeColor="text1"/>
                <w:spacing w:val="-10"/>
                <w:sz w:val="24"/>
                <w:szCs w:val="24"/>
                <w:highlight w:val="none"/>
                <w14:textFill>
                  <w14:solidFill>
                    <w14:schemeClr w14:val="tx1"/>
                  </w14:solidFill>
                </w14:textFill>
              </w:rPr>
              <w:t>g/h</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，排放浓度为0.7185mg/m</w:t>
            </w:r>
            <w:r>
              <w:rPr>
                <w:rFonts w:hint="default" w:ascii="Times New Roman" w:hAnsi="Times New Roman" w:eastAsia="宋体" w:cs="Times New Roman"/>
                <w:color w:val="000000" w:themeColor="text1"/>
                <w:kern w:val="0"/>
                <w:sz w:val="24"/>
                <w:szCs w:val="24"/>
                <w:highlight w:val="none"/>
                <w:vertAlign w:val="super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；无组织</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排放量为0.54468</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t/a</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1C63B0F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（3）炭化车间内</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源强</w:t>
            </w: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p>
          <w:p w14:paraId="422B716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炭化炉秸秆下料</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（G3）</w:t>
            </w:r>
          </w:p>
          <w:p w14:paraId="338EA28A">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yellow"/>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破碎后的</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农林秸秆废弃物</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通过全封闭运输皮带输送至炭化炉进行炭化</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农林秸秆在炉顶下料时会产生</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装卸粉尘，参考《工业逸散性粉尘控制技术》，</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木材加工作业</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工序颗粒物产污系数为0.</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kg/t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（原料）</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本次核算以19207.104</w:t>
            </w:r>
            <w:r>
              <w:rPr>
                <w:rFonts w:hint="default" w:ascii="Times New Roman" w:hAnsi="Times New Roman" w:eastAsia="宋体" w:cs="Times New Roman"/>
                <w:snapToGrid/>
                <w:color w:val="000000" w:themeColor="text1"/>
                <w:kern w:val="2"/>
                <w:sz w:val="24"/>
                <w:szCs w:val="24"/>
                <w:highlight w:val="none"/>
                <w:lang w:val="en-US" w:eastAsia="zh-CN"/>
                <w14:textFill>
                  <w14:solidFill>
                    <w14:schemeClr w14:val="tx1"/>
                  </w14:solidFill>
                </w14:textFill>
              </w:rPr>
              <w:t>t</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为计算基准</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则</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下料</w:t>
            </w:r>
            <w:r>
              <w:rPr>
                <w:rFonts w:hint="eastAsia" w:cs="Times New Roman"/>
                <w:color w:val="000000" w:themeColor="text1"/>
                <w:kern w:val="0"/>
                <w:sz w:val="24"/>
                <w:szCs w:val="24"/>
                <w:lang w:val="en-US" w:eastAsia="zh-CN" w:bidi="ar"/>
                <w14:textFill>
                  <w14:solidFill>
                    <w14:schemeClr w14:val="tx1"/>
                  </w14:solidFill>
                </w14:textFill>
              </w:rPr>
              <w:t>颗粒物</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产生量为</w:t>
            </w:r>
            <w:r>
              <w:rPr>
                <w:rFonts w:hint="eastAsia"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9.6</w:t>
            </w:r>
            <w:r>
              <w:rPr>
                <w:rFonts w:hint="eastAsia" w:cs="Times New Roman"/>
                <w:i w:val="0"/>
                <w:iCs w:val="0"/>
                <w:caps w:val="0"/>
                <w:color w:val="000000" w:themeColor="text1"/>
                <w:spacing w:val="0"/>
                <w:sz w:val="24"/>
                <w:szCs w:val="24"/>
                <w:lang w:val="en-US" w:eastAsia="zh-CN"/>
                <w14:textFill>
                  <w14:solidFill>
                    <w14:schemeClr w14:val="tx1"/>
                  </w14:solidFill>
                </w14:textFill>
              </w:rPr>
              <w:t>03552</w:t>
            </w:r>
            <w:r>
              <w:rPr>
                <w:rFonts w:hint="default" w:ascii="Times New Roman" w:hAnsi="Times New Roman" w:eastAsia="宋体" w:cs="Times New Roman"/>
                <w:i w:val="0"/>
                <w:iCs w:val="0"/>
                <w:caps w:val="0"/>
                <w:color w:val="000000" w:themeColor="text1"/>
                <w:spacing w:val="0"/>
                <w:sz w:val="24"/>
                <w:szCs w:val="24"/>
                <w:lang w:val="en-US" w:eastAsia="zh-CN"/>
                <w14:textFill>
                  <w14:solidFill>
                    <w14:schemeClr w14:val="tx1"/>
                  </w14:solidFill>
                </w14:textFill>
              </w:rPr>
              <w:t>t/a。</w:t>
            </w:r>
          </w:p>
          <w:p w14:paraId="5BB41B5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农林秸秆废弃物碳化</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位于封闭车间内。在该工序设置一台布袋除尘器，</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碳化</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工序为固定工段，因此在</w:t>
            </w:r>
            <w:r>
              <w:rPr>
                <w:rFonts w:hint="eastAsia" w:ascii="Times New Roman" w:hAnsi="Times New Roman" w:eastAsia="Segoe UI Emoji" w:cs="Times New Roman"/>
                <w:i w:val="0"/>
                <w:iCs w:val="0"/>
                <w:caps w:val="0"/>
                <w:color w:val="000000" w:themeColor="text1"/>
                <w:spacing w:val="0"/>
                <w:sz w:val="24"/>
                <w:szCs w:val="24"/>
                <w:lang w:val="en-US" w:eastAsia="zh-CN"/>
                <w14:textFill>
                  <w14:solidFill>
                    <w14:schemeClr w14:val="tx1"/>
                  </w14:solidFill>
                </w14:textFill>
              </w:rPr>
              <w:t>碳化</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工序工区上部加装集气罩（共计4台碳化炉，每台顶部各安装1个集气罩），工序粉尘经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集气罩（收集效率90%）收集后在风机</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（设计风量为20000m</w:t>
            </w:r>
            <w:r>
              <w:rPr>
                <w:rFonts w:hint="eastAsia"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/h）</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的作用下</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引入</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布袋除尘器（处理效率</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99</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%）处理后由</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1根</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15m高排气筒排放</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（DA003）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因此，本项目破碎后农林秸秆废弃物在炭化炉</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顶部下料工序有组织</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排放量为0.086431968</w:t>
            </w:r>
            <w:r>
              <w:rPr>
                <w:rFonts w:hint="default" w:ascii="Times New Roman" w:hAnsi="Times New Roman" w:eastAsia="宋体" w:cs="Times New Roman"/>
                <w:bCs/>
                <w:color w:val="000000" w:themeColor="text1"/>
                <w:spacing w:val="-10"/>
                <w:sz w:val="24"/>
                <w:szCs w:val="24"/>
                <w:highlight w:val="none"/>
                <w14:textFill>
                  <w14:solidFill>
                    <w14:schemeClr w14:val="tx1"/>
                  </w14:solidFill>
                </w14:textFill>
              </w:rPr>
              <w:t>t/a</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，排放速率为0.01200444</w:t>
            </w:r>
            <w:r>
              <w:rPr>
                <w:rFonts w:hint="default" w:ascii="Times New Roman" w:hAnsi="Times New Roman" w:eastAsia="宋体" w:cs="Times New Roman"/>
                <w:bCs/>
                <w:color w:val="000000" w:themeColor="text1"/>
                <w:spacing w:val="-10"/>
                <w:sz w:val="24"/>
                <w:szCs w:val="24"/>
                <w:highlight w:val="none"/>
                <w14:textFill>
                  <w14:solidFill>
                    <w14:schemeClr w14:val="tx1"/>
                  </w14:solidFill>
                </w14:textFill>
              </w:rPr>
              <w:t>kg/h</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，排放浓度为0.600222mg/m</w:t>
            </w:r>
            <w:r>
              <w:rPr>
                <w:rFonts w:hint="default" w:ascii="Times New Roman" w:hAnsi="Times New Roman" w:eastAsia="宋体" w:cs="Times New Roman"/>
                <w:color w:val="000000" w:themeColor="text1"/>
                <w:kern w:val="0"/>
                <w:sz w:val="24"/>
                <w:szCs w:val="24"/>
                <w:highlight w:val="none"/>
                <w:vertAlign w:val="super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；无组织</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排放量为0.9603552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t/a</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551A0EE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（4）热储能车间内</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源强</w:t>
            </w: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p>
          <w:p w14:paraId="19B877B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a.</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木煤气燃烧工序产生的颗粒物、二氧化硫、氮氧化物（G10）</w:t>
            </w:r>
          </w:p>
          <w:p w14:paraId="20469E0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本项目炭化工序依托缺氧环境对主料开展炭化（干馏）作业：原料装填进</w:t>
            </w:r>
            <w:r>
              <w:rPr>
                <w:rFonts w:hint="eastAsia" w:cs="Times New Roman"/>
                <w:color w:val="000000" w:themeColor="text1"/>
                <w:kern w:val="0"/>
                <w:sz w:val="24"/>
                <w:szCs w:val="24"/>
                <w:lang w:val="en-US" w:eastAsia="zh-CN" w:bidi="ar"/>
                <w14:textFill>
                  <w14:solidFill>
                    <w14:schemeClr w14:val="tx1"/>
                  </w14:solidFill>
                </w14:textFill>
              </w:rPr>
              <w:t>炉</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引燃后无需外部持续供热，依靠自持燃烧完成炭化反应；工序反应期间会副产炭化气（粗木煤气），粗木煤气送入冷凝设施做冷凝净化处理，产出洁净木煤气；净化后的木煤气经管路输送存入双膜储气柜暂存，再由储气柜通过供气管道将木煤气输送至储热设备进行二次燃烧储能。</w:t>
            </w:r>
          </w:p>
          <w:p w14:paraId="5D9FAF6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可燃烧的</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木煤气为</w:t>
            </w:r>
            <w:r>
              <w:rPr>
                <w:rFonts w:hint="eastAsia" w:cs="Times New Roman"/>
                <w:b w:val="0"/>
                <w:bCs w:val="0"/>
                <w:color w:val="000000" w:themeColor="text1"/>
                <w:sz w:val="24"/>
                <w:szCs w:val="24"/>
                <w:highlight w:val="none"/>
                <w:lang w:val="en-US" w:eastAsia="zh-CN"/>
                <w14:textFill>
                  <w14:solidFill>
                    <w14:schemeClr w14:val="tx1"/>
                  </w14:solidFill>
                </w14:textFill>
              </w:rPr>
              <w:t>3020.3424</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t/a（密度取1.3kg/m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），则燃料总体积为</w:t>
            </w:r>
            <w:r>
              <w:rPr>
                <w:rFonts w:hint="eastAsia" w:cs="Times New Roman"/>
                <w:color w:val="000000" w:themeColor="text1"/>
                <w:kern w:val="0"/>
                <w:sz w:val="24"/>
                <w:szCs w:val="24"/>
                <w:lang w:val="en-US" w:eastAsia="zh-CN" w:bidi="ar"/>
                <w14:textFill>
                  <w14:solidFill>
                    <w14:schemeClr w14:val="tx1"/>
                  </w14:solidFill>
                </w14:textFill>
              </w:rPr>
              <w:t>232.33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万m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木煤气燃烧废气产排污见</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表</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4-2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44820D55">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表</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4-2  </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木煤气燃烧废气产排污情况一览表</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2"/>
              <w:gridCol w:w="722"/>
              <w:gridCol w:w="722"/>
              <w:gridCol w:w="722"/>
              <w:gridCol w:w="722"/>
              <w:gridCol w:w="722"/>
              <w:gridCol w:w="722"/>
              <w:gridCol w:w="723"/>
              <w:gridCol w:w="723"/>
              <w:gridCol w:w="723"/>
              <w:gridCol w:w="724"/>
            </w:tblGrid>
            <w:tr w14:paraId="4374E2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2" w:type="dxa"/>
                  <w:tcBorders>
                    <w:tl2br w:val="nil"/>
                    <w:tr2bl w:val="nil"/>
                  </w:tcBorders>
                  <w:vAlign w:val="center"/>
                </w:tcPr>
                <w:p w14:paraId="6746FFC7">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污染源</w:t>
                  </w:r>
                </w:p>
              </w:tc>
              <w:tc>
                <w:tcPr>
                  <w:tcW w:w="722" w:type="dxa"/>
                  <w:tcBorders>
                    <w:tl2br w:val="nil"/>
                    <w:tr2bl w:val="nil"/>
                  </w:tcBorders>
                  <w:vAlign w:val="center"/>
                </w:tcPr>
                <w:p w14:paraId="6F77ECEB">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燃木煤气（万m</w:t>
                  </w:r>
                  <w:r>
                    <w:rPr>
                      <w:rFonts w:hint="default" w:ascii="Times New Roman" w:hAnsi="Times New Roman" w:eastAsia="宋体" w:cs="Times New Roman"/>
                      <w:b/>
                      <w:bCs/>
                      <w:color w:val="000000" w:themeColor="text1"/>
                      <w:kern w:val="0"/>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/a）</w:t>
                  </w:r>
                </w:p>
              </w:tc>
              <w:tc>
                <w:tcPr>
                  <w:tcW w:w="722" w:type="dxa"/>
                  <w:tcBorders>
                    <w:tl2br w:val="nil"/>
                    <w:tr2bl w:val="nil"/>
                  </w:tcBorders>
                  <w:vAlign w:val="center"/>
                </w:tcPr>
                <w:p w14:paraId="6D30A7B3">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烟气量</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w:t>
                  </w:r>
                  <w:r>
                    <w:rPr>
                      <w:rFonts w:hint="eastAsia" w:cs="Times New Roman"/>
                      <w:b/>
                      <w:bCs/>
                      <w:color w:val="000000" w:themeColor="text1"/>
                      <w:kern w:val="0"/>
                      <w:sz w:val="21"/>
                      <w:szCs w:val="21"/>
                      <w:lang w:val="en-US" w:eastAsia="zh-CN" w:bidi="ar"/>
                      <w14:textFill>
                        <w14:solidFill>
                          <w14:schemeClr w14:val="tx1"/>
                        </w14:solidFill>
                      </w14:textFill>
                    </w:rPr>
                    <w:t>万N</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m</w:t>
                  </w:r>
                  <w:r>
                    <w:rPr>
                      <w:rFonts w:hint="default" w:ascii="Times New Roman" w:hAnsi="Times New Roman" w:eastAsia="宋体" w:cs="Times New Roman"/>
                      <w:b/>
                      <w:bCs/>
                      <w:color w:val="000000" w:themeColor="text1"/>
                      <w:kern w:val="0"/>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/a）</w:t>
                  </w:r>
                </w:p>
              </w:tc>
              <w:tc>
                <w:tcPr>
                  <w:tcW w:w="722" w:type="dxa"/>
                  <w:tcBorders>
                    <w:tl2br w:val="nil"/>
                    <w:tr2bl w:val="nil"/>
                  </w:tcBorders>
                  <w:vAlign w:val="center"/>
                </w:tcPr>
                <w:p w14:paraId="7F568518">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污染物名称</w:t>
                  </w:r>
                </w:p>
              </w:tc>
              <w:tc>
                <w:tcPr>
                  <w:tcW w:w="722" w:type="dxa"/>
                  <w:tcBorders>
                    <w:tl2br w:val="nil"/>
                    <w:tr2bl w:val="nil"/>
                  </w:tcBorders>
                  <w:vAlign w:val="center"/>
                </w:tcPr>
                <w:p w14:paraId="5DBC06FA">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产生量（t/a）</w:t>
                  </w:r>
                </w:p>
              </w:tc>
              <w:tc>
                <w:tcPr>
                  <w:tcW w:w="722" w:type="dxa"/>
                  <w:tcBorders>
                    <w:tl2br w:val="nil"/>
                    <w:tr2bl w:val="nil"/>
                  </w:tcBorders>
                  <w:vAlign w:val="center"/>
                </w:tcPr>
                <w:p w14:paraId="36F15AA7">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产生速率（kg/h）</w:t>
                  </w:r>
                </w:p>
              </w:tc>
              <w:tc>
                <w:tcPr>
                  <w:tcW w:w="722" w:type="dxa"/>
                  <w:tcBorders>
                    <w:tl2br w:val="nil"/>
                    <w:tr2bl w:val="nil"/>
                  </w:tcBorders>
                  <w:vAlign w:val="center"/>
                </w:tcPr>
                <w:p w14:paraId="36CC9878">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产生浓度（mg/m</w:t>
                  </w:r>
                  <w:r>
                    <w:rPr>
                      <w:rFonts w:hint="default" w:ascii="Times New Roman" w:hAnsi="Times New Roman" w:eastAsia="宋体" w:cs="Times New Roman"/>
                      <w:b/>
                      <w:bCs/>
                      <w:color w:val="000000" w:themeColor="text1"/>
                      <w:kern w:val="0"/>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w:t>
                  </w:r>
                </w:p>
              </w:tc>
              <w:tc>
                <w:tcPr>
                  <w:tcW w:w="723" w:type="dxa"/>
                  <w:tcBorders>
                    <w:tl2br w:val="nil"/>
                    <w:tr2bl w:val="nil"/>
                  </w:tcBorders>
                  <w:vAlign w:val="center"/>
                </w:tcPr>
                <w:p w14:paraId="4C3D17B4">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处理措施</w:t>
                  </w:r>
                </w:p>
              </w:tc>
              <w:tc>
                <w:tcPr>
                  <w:tcW w:w="723" w:type="dxa"/>
                  <w:tcBorders>
                    <w:tl2br w:val="nil"/>
                    <w:tr2bl w:val="nil"/>
                  </w:tcBorders>
                  <w:vAlign w:val="center"/>
                </w:tcPr>
                <w:p w14:paraId="244CFAF1">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排放量（t/a）</w:t>
                  </w:r>
                </w:p>
              </w:tc>
              <w:tc>
                <w:tcPr>
                  <w:tcW w:w="723" w:type="dxa"/>
                  <w:tcBorders>
                    <w:tl2br w:val="nil"/>
                    <w:tr2bl w:val="nil"/>
                  </w:tcBorders>
                  <w:vAlign w:val="center"/>
                </w:tcPr>
                <w:p w14:paraId="0EAA2941">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排放速率（kg/h）</w:t>
                  </w:r>
                </w:p>
              </w:tc>
              <w:tc>
                <w:tcPr>
                  <w:tcW w:w="724" w:type="dxa"/>
                  <w:tcBorders>
                    <w:tl2br w:val="nil"/>
                    <w:tr2bl w:val="nil"/>
                  </w:tcBorders>
                  <w:vAlign w:val="center"/>
                </w:tcPr>
                <w:p w14:paraId="6756F65B">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排放浓度（mg/m</w:t>
                  </w:r>
                  <w:r>
                    <w:rPr>
                      <w:rFonts w:hint="default" w:ascii="Times New Roman" w:hAnsi="Times New Roman" w:eastAsia="宋体" w:cs="Times New Roman"/>
                      <w:b/>
                      <w:bCs/>
                      <w:color w:val="000000" w:themeColor="text1"/>
                      <w:kern w:val="0"/>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w:t>
                  </w:r>
                </w:p>
              </w:tc>
            </w:tr>
            <w:tr w14:paraId="510486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2" w:type="dxa"/>
                  <w:vMerge w:val="restart"/>
                  <w:tcBorders>
                    <w:tl2br w:val="nil"/>
                    <w:tr2bl w:val="nil"/>
                  </w:tcBorders>
                  <w:vAlign w:val="center"/>
                </w:tcPr>
                <w:p w14:paraId="689BD728">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排气筒DA004</w:t>
                  </w:r>
                </w:p>
              </w:tc>
              <w:tc>
                <w:tcPr>
                  <w:tcW w:w="722" w:type="dxa"/>
                  <w:vMerge w:val="restart"/>
                  <w:tcBorders>
                    <w:tl2br w:val="nil"/>
                    <w:tr2bl w:val="nil"/>
                  </w:tcBorders>
                  <w:vAlign w:val="center"/>
                </w:tcPr>
                <w:p w14:paraId="7931049B">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232.33</w:t>
                  </w:r>
                </w:p>
              </w:tc>
              <w:tc>
                <w:tcPr>
                  <w:tcW w:w="722" w:type="dxa"/>
                  <w:vMerge w:val="restart"/>
                  <w:tcBorders>
                    <w:tl2br w:val="nil"/>
                    <w:tr2bl w:val="nil"/>
                  </w:tcBorders>
                  <w:vAlign w:val="center"/>
                </w:tcPr>
                <w:p w14:paraId="22121DED">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368.12</w:t>
                  </w:r>
                </w:p>
              </w:tc>
              <w:tc>
                <w:tcPr>
                  <w:tcW w:w="722" w:type="dxa"/>
                  <w:tcBorders>
                    <w:tl2br w:val="nil"/>
                    <w:tr2bl w:val="nil"/>
                  </w:tcBorders>
                  <w:vAlign w:val="center"/>
                </w:tcPr>
                <w:p w14:paraId="4D4F1F13">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颗粒物</w:t>
                  </w:r>
                </w:p>
              </w:tc>
              <w:tc>
                <w:tcPr>
                  <w:tcW w:w="722" w:type="dxa"/>
                  <w:tcBorders>
                    <w:tl2br w:val="nil"/>
                    <w:tr2bl w:val="nil"/>
                  </w:tcBorders>
                  <w:vAlign w:val="center"/>
                </w:tcPr>
                <w:p w14:paraId="16E0BD5B">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0.557</w:t>
                  </w: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6</w:t>
                  </w:r>
                </w:p>
              </w:tc>
              <w:tc>
                <w:tcPr>
                  <w:tcW w:w="722" w:type="dxa"/>
                  <w:tcBorders>
                    <w:tl2br w:val="nil"/>
                    <w:tr2bl w:val="nil"/>
                  </w:tcBorders>
                  <w:vAlign w:val="center"/>
                </w:tcPr>
                <w:p w14:paraId="776D2CB5">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0.0774</w:t>
                  </w:r>
                </w:p>
              </w:tc>
              <w:tc>
                <w:tcPr>
                  <w:tcW w:w="722" w:type="dxa"/>
                  <w:tcBorders>
                    <w:tl2br w:val="nil"/>
                    <w:tr2bl w:val="nil"/>
                  </w:tcBorders>
                  <w:vAlign w:val="center"/>
                </w:tcPr>
                <w:p w14:paraId="1FBFF387">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151.5</w:t>
                  </w:r>
                </w:p>
              </w:tc>
              <w:tc>
                <w:tcPr>
                  <w:tcW w:w="723" w:type="dxa"/>
                  <w:tcBorders>
                    <w:tl2br w:val="nil"/>
                    <w:tr2bl w:val="nil"/>
                  </w:tcBorders>
                  <w:vAlign w:val="center"/>
                </w:tcPr>
                <w:p w14:paraId="6AC43817">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静电式除尘器（去除率95%）</w:t>
                  </w:r>
                </w:p>
              </w:tc>
              <w:tc>
                <w:tcPr>
                  <w:tcW w:w="723" w:type="dxa"/>
                  <w:tcBorders>
                    <w:tl2br w:val="nil"/>
                    <w:tr2bl w:val="nil"/>
                  </w:tcBorders>
                  <w:vAlign w:val="center"/>
                </w:tcPr>
                <w:p w14:paraId="2C0F120A">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0.02788</w:t>
                  </w:r>
                </w:p>
              </w:tc>
              <w:tc>
                <w:tcPr>
                  <w:tcW w:w="723" w:type="dxa"/>
                  <w:tcBorders>
                    <w:tl2br w:val="nil"/>
                    <w:tr2bl w:val="nil"/>
                  </w:tcBorders>
                  <w:vAlign w:val="center"/>
                </w:tcPr>
                <w:p w14:paraId="41B46C02">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0.00387</w:t>
                  </w:r>
                </w:p>
              </w:tc>
              <w:tc>
                <w:tcPr>
                  <w:tcW w:w="724" w:type="dxa"/>
                  <w:tcBorders>
                    <w:tl2br w:val="nil"/>
                    <w:tr2bl w:val="nil"/>
                  </w:tcBorders>
                  <w:vAlign w:val="center"/>
                </w:tcPr>
                <w:p w14:paraId="7A153B3A">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7.58</w:t>
                  </w:r>
                </w:p>
              </w:tc>
            </w:tr>
            <w:tr w14:paraId="058CF6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2" w:type="dxa"/>
                  <w:vMerge w:val="continue"/>
                  <w:tcBorders>
                    <w:tl2br w:val="nil"/>
                    <w:tr2bl w:val="nil"/>
                  </w:tcBorders>
                  <w:vAlign w:val="center"/>
                </w:tcPr>
                <w:p w14:paraId="05725DED">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p>
              </w:tc>
              <w:tc>
                <w:tcPr>
                  <w:tcW w:w="722" w:type="dxa"/>
                  <w:vMerge w:val="continue"/>
                  <w:tcBorders>
                    <w:tl2br w:val="nil"/>
                    <w:tr2bl w:val="nil"/>
                  </w:tcBorders>
                  <w:vAlign w:val="center"/>
                </w:tcPr>
                <w:p w14:paraId="3D3603AC">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p>
              </w:tc>
              <w:tc>
                <w:tcPr>
                  <w:tcW w:w="722" w:type="dxa"/>
                  <w:vMerge w:val="continue"/>
                  <w:tcBorders>
                    <w:tl2br w:val="nil"/>
                    <w:tr2bl w:val="nil"/>
                  </w:tcBorders>
                  <w:vAlign w:val="center"/>
                </w:tcPr>
                <w:p w14:paraId="4F718190">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p>
              </w:tc>
              <w:tc>
                <w:tcPr>
                  <w:tcW w:w="722" w:type="dxa"/>
                  <w:tcBorders>
                    <w:tl2br w:val="nil"/>
                    <w:tr2bl w:val="nil"/>
                  </w:tcBorders>
                  <w:vAlign w:val="center"/>
                </w:tcPr>
                <w:p w14:paraId="1EB5DA06">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二氧化硫</w:t>
                  </w:r>
                </w:p>
              </w:tc>
              <w:tc>
                <w:tcPr>
                  <w:tcW w:w="722" w:type="dxa"/>
                  <w:tcBorders>
                    <w:tl2br w:val="nil"/>
                    <w:tr2bl w:val="nil"/>
                  </w:tcBorders>
                  <w:vAlign w:val="center"/>
                </w:tcPr>
                <w:p w14:paraId="5EC8C0A2">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0.042238</w:t>
                  </w:r>
                </w:p>
              </w:tc>
              <w:tc>
                <w:tcPr>
                  <w:tcW w:w="722" w:type="dxa"/>
                  <w:tcBorders>
                    <w:tl2br w:val="nil"/>
                    <w:tr2bl w:val="nil"/>
                  </w:tcBorders>
                  <w:vAlign w:val="center"/>
                </w:tcPr>
                <w:p w14:paraId="1D7E5293">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0.00587</w:t>
                  </w:r>
                </w:p>
              </w:tc>
              <w:tc>
                <w:tcPr>
                  <w:tcW w:w="722" w:type="dxa"/>
                  <w:tcBorders>
                    <w:tl2br w:val="nil"/>
                    <w:tr2bl w:val="nil"/>
                  </w:tcBorders>
                  <w:vAlign w:val="center"/>
                </w:tcPr>
                <w:p w14:paraId="779A6FFE">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11.47</w:t>
                  </w:r>
                </w:p>
              </w:tc>
              <w:tc>
                <w:tcPr>
                  <w:tcW w:w="723" w:type="dxa"/>
                  <w:tcBorders>
                    <w:tl2br w:val="nil"/>
                    <w:tr2bl w:val="nil"/>
                  </w:tcBorders>
                  <w:vAlign w:val="center"/>
                </w:tcPr>
                <w:p w14:paraId="19CCE7FD">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无</w:t>
                  </w:r>
                </w:p>
              </w:tc>
              <w:tc>
                <w:tcPr>
                  <w:tcW w:w="723" w:type="dxa"/>
                  <w:tcBorders>
                    <w:tl2br w:val="nil"/>
                    <w:tr2bl w:val="nil"/>
                  </w:tcBorders>
                  <w:vAlign w:val="center"/>
                </w:tcPr>
                <w:p w14:paraId="7839B57A">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0.042238</w:t>
                  </w:r>
                </w:p>
              </w:tc>
              <w:tc>
                <w:tcPr>
                  <w:tcW w:w="723" w:type="dxa"/>
                  <w:tcBorders>
                    <w:tl2br w:val="nil"/>
                    <w:tr2bl w:val="nil"/>
                  </w:tcBorders>
                  <w:vAlign w:val="center"/>
                </w:tcPr>
                <w:p w14:paraId="015B29AD">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0.00587</w:t>
                  </w:r>
                </w:p>
              </w:tc>
              <w:tc>
                <w:tcPr>
                  <w:tcW w:w="724" w:type="dxa"/>
                  <w:tcBorders>
                    <w:tl2br w:val="nil"/>
                    <w:tr2bl w:val="nil"/>
                  </w:tcBorders>
                  <w:vAlign w:val="center"/>
                </w:tcPr>
                <w:p w14:paraId="435CE4B3">
                  <w:pPr>
                    <w:keepNext w:val="0"/>
                    <w:keepLines w:val="0"/>
                    <w:widowControl/>
                    <w:suppressLineNumbers w:val="0"/>
                    <w:jc w:val="cente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11.47</w:t>
                  </w:r>
                </w:p>
              </w:tc>
            </w:tr>
            <w:tr w14:paraId="1FB971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2" w:type="dxa"/>
                  <w:vMerge w:val="continue"/>
                  <w:tcBorders>
                    <w:tl2br w:val="nil"/>
                    <w:tr2bl w:val="nil"/>
                  </w:tcBorders>
                  <w:vAlign w:val="center"/>
                </w:tcPr>
                <w:p w14:paraId="5DA2AEB4">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p>
              </w:tc>
              <w:tc>
                <w:tcPr>
                  <w:tcW w:w="722" w:type="dxa"/>
                  <w:vMerge w:val="continue"/>
                  <w:tcBorders>
                    <w:tl2br w:val="nil"/>
                    <w:tr2bl w:val="nil"/>
                  </w:tcBorders>
                  <w:vAlign w:val="center"/>
                </w:tcPr>
                <w:p w14:paraId="4AA2A107">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p>
              </w:tc>
              <w:tc>
                <w:tcPr>
                  <w:tcW w:w="722" w:type="dxa"/>
                  <w:vMerge w:val="continue"/>
                  <w:tcBorders>
                    <w:tl2br w:val="nil"/>
                    <w:tr2bl w:val="nil"/>
                  </w:tcBorders>
                  <w:vAlign w:val="center"/>
                </w:tcPr>
                <w:p w14:paraId="2E7DE355">
                  <w:pPr>
                    <w:keepNext w:val="0"/>
                    <w:keepLines w:val="0"/>
                    <w:widowControl/>
                    <w:suppressLineNumbers w:val="0"/>
                    <w:jc w:val="center"/>
                    <w:rPr>
                      <w:rFonts w:hint="default" w:ascii="Times New Roman" w:hAnsi="Times New Roman" w:eastAsia="宋体" w:cs="Times New Roman"/>
                      <w:b/>
                      <w:bCs/>
                      <w:color w:val="000000" w:themeColor="text1"/>
                      <w:kern w:val="0"/>
                      <w:sz w:val="21"/>
                      <w:szCs w:val="21"/>
                      <w:highlight w:val="none"/>
                      <w:vertAlign w:val="baseline"/>
                      <w:lang w:val="en-US" w:eastAsia="zh-CN" w:bidi="ar"/>
                      <w14:textFill>
                        <w14:solidFill>
                          <w14:schemeClr w14:val="tx1"/>
                        </w14:solidFill>
                      </w14:textFill>
                    </w:rPr>
                  </w:pPr>
                </w:p>
              </w:tc>
              <w:tc>
                <w:tcPr>
                  <w:tcW w:w="722" w:type="dxa"/>
                  <w:tcBorders>
                    <w:tl2br w:val="nil"/>
                    <w:tr2bl w:val="nil"/>
                  </w:tcBorders>
                  <w:vAlign w:val="center"/>
                </w:tcPr>
                <w:p w14:paraId="2CEE6F3A">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氮氧化物</w:t>
                  </w:r>
                </w:p>
              </w:tc>
              <w:tc>
                <w:tcPr>
                  <w:tcW w:w="722" w:type="dxa"/>
                  <w:tcBorders>
                    <w:tl2br w:val="nil"/>
                    <w:tr2bl w:val="nil"/>
                  </w:tcBorders>
                  <w:vAlign w:val="center"/>
                </w:tcPr>
                <w:p w14:paraId="380FD3D6">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0.1998038</w:t>
                  </w:r>
                </w:p>
              </w:tc>
              <w:tc>
                <w:tcPr>
                  <w:tcW w:w="722" w:type="dxa"/>
                  <w:tcBorders>
                    <w:tl2br w:val="nil"/>
                    <w:tr2bl w:val="nil"/>
                  </w:tcBorders>
                  <w:vAlign w:val="center"/>
                </w:tcPr>
                <w:p w14:paraId="4631765A">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0.02775</w:t>
                  </w:r>
                </w:p>
              </w:tc>
              <w:tc>
                <w:tcPr>
                  <w:tcW w:w="722" w:type="dxa"/>
                  <w:tcBorders>
                    <w:tl2br w:val="nil"/>
                    <w:tr2bl w:val="nil"/>
                  </w:tcBorders>
                  <w:vAlign w:val="center"/>
                </w:tcPr>
                <w:p w14:paraId="2F2D95B3">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54.28</w:t>
                  </w:r>
                </w:p>
              </w:tc>
              <w:tc>
                <w:tcPr>
                  <w:tcW w:w="723" w:type="dxa"/>
                  <w:tcBorders>
                    <w:tl2br w:val="nil"/>
                    <w:tr2bl w:val="nil"/>
                  </w:tcBorders>
                  <w:vAlign w:val="center"/>
                </w:tcPr>
                <w:p w14:paraId="6B2F5B59">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无</w:t>
                  </w:r>
                </w:p>
              </w:tc>
              <w:tc>
                <w:tcPr>
                  <w:tcW w:w="723" w:type="dxa"/>
                  <w:tcBorders>
                    <w:tl2br w:val="nil"/>
                    <w:tr2bl w:val="nil"/>
                  </w:tcBorders>
                  <w:vAlign w:val="center"/>
                </w:tcPr>
                <w:p w14:paraId="68216187">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0.1998038</w:t>
                  </w:r>
                </w:p>
              </w:tc>
              <w:tc>
                <w:tcPr>
                  <w:tcW w:w="723" w:type="dxa"/>
                  <w:tcBorders>
                    <w:tl2br w:val="nil"/>
                    <w:tr2bl w:val="nil"/>
                  </w:tcBorders>
                  <w:vAlign w:val="center"/>
                </w:tcPr>
                <w:p w14:paraId="40E6913F">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0.02775</w:t>
                  </w:r>
                </w:p>
              </w:tc>
              <w:tc>
                <w:tcPr>
                  <w:tcW w:w="724" w:type="dxa"/>
                  <w:tcBorders>
                    <w:tl2br w:val="nil"/>
                    <w:tr2bl w:val="nil"/>
                  </w:tcBorders>
                  <w:vAlign w:val="center"/>
                </w:tcPr>
                <w:p w14:paraId="533DD684">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54.28</w:t>
                  </w:r>
                </w:p>
              </w:tc>
            </w:tr>
          </w:tbl>
          <w:p w14:paraId="7E46FD13">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cs="Times New Roman"/>
                <w:b w:val="0"/>
                <w:bCs w:val="0"/>
                <w:color w:val="000000" w:themeColor="text1"/>
                <w:kern w:val="0"/>
                <w:sz w:val="24"/>
                <w:szCs w:val="24"/>
                <w:highlight w:val="none"/>
                <w:lang w:val="en-US" w:eastAsia="zh-CN" w:bidi="ar"/>
                <w14:textFill>
                  <w14:solidFill>
                    <w14:schemeClr w14:val="tx1"/>
                  </w14:solidFill>
                </w14:textFill>
              </w:rPr>
              <w:t>b.氢氧化钙烘干逸散的颗粒物（G11）</w:t>
            </w:r>
          </w:p>
          <w:p w14:paraId="11E6FA4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pPr>
            <w:r>
              <w:rPr>
                <w:rFonts w:hint="eastAsia" w:cs="Times New Roman"/>
                <w:b w:val="0"/>
                <w:bCs w:val="0"/>
                <w:color w:val="000000" w:themeColor="text1"/>
                <w:kern w:val="0"/>
                <w:sz w:val="24"/>
                <w:szCs w:val="24"/>
                <w:highlight w:val="none"/>
                <w:lang w:val="en-US" w:eastAsia="zh-CN" w:bidi="ar"/>
                <w14:textFill>
                  <w14:solidFill>
                    <w14:schemeClr w14:val="tx1"/>
                  </w14:solidFill>
                </w14:textFill>
              </w:rPr>
              <w:t>烘干废气</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参考</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《排污源统计调查产排污核算方法和系数手册》（公告2021年第24号）中</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w:t>
            </w:r>
            <w:r>
              <w:rPr>
                <w:rFonts w:hint="eastAsia" w:cs="Times New Roman"/>
                <w:i w:val="0"/>
                <w:iCs w:val="0"/>
                <w:caps w:val="0"/>
                <w:color w:val="000000" w:themeColor="text1"/>
                <w:spacing w:val="0"/>
                <w:sz w:val="24"/>
                <w:szCs w:val="24"/>
                <w:highlight w:val="none"/>
                <w:lang w:val="en-US" w:eastAsia="zh-CN"/>
                <w14:textFill>
                  <w14:solidFill>
                    <w14:schemeClr w14:val="tx1"/>
                  </w14:solidFill>
                </w14:textFill>
              </w:rPr>
              <w:t>2613</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无机碱制造行业系数手册”</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，回转重灰干燥炉工段</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烘干</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过程颗粒物产污系数为</w:t>
            </w:r>
            <w:r>
              <w:rPr>
                <w:rFonts w:hint="eastAsia" w:cs="Times New Roman"/>
                <w:i w:val="0"/>
                <w:iCs w:val="0"/>
                <w:caps w:val="0"/>
                <w:color w:val="000000" w:themeColor="text1"/>
                <w:spacing w:val="0"/>
                <w:sz w:val="24"/>
                <w:szCs w:val="24"/>
                <w:highlight w:val="none"/>
                <w:lang w:val="en-US" w:eastAsia="zh-CN"/>
                <w14:textFill>
                  <w14:solidFill>
                    <w14:schemeClr w14:val="tx1"/>
                  </w14:solidFill>
                </w14:textFill>
              </w:rPr>
              <w:t>0.600</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kg</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/吨-产品，</w:t>
            </w:r>
            <w:r>
              <w:rPr>
                <w:rFonts w:hint="eastAsia" w:cs="Times New Roman"/>
                <w:i w:val="0"/>
                <w:iCs w:val="0"/>
                <w:caps w:val="0"/>
                <w:color w:val="000000" w:themeColor="text1"/>
                <w:spacing w:val="0"/>
                <w:sz w:val="24"/>
                <w:szCs w:val="24"/>
                <w:highlight w:val="none"/>
                <w:lang w:val="en-US" w:eastAsia="zh-CN"/>
                <w14:textFill>
                  <w14:solidFill>
                    <w14:schemeClr w14:val="tx1"/>
                  </w14:solidFill>
                </w14:textFill>
              </w:rPr>
              <w:t>本项目年生产石灰石（氧化钙）7506.18t，</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则</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氢氧化钙烘干颗粒物</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产生量为</w:t>
            </w:r>
            <w:r>
              <w:rPr>
                <w:rFonts w:hint="eastAsia" w:cs="Times New Roman"/>
                <w:i w:val="0"/>
                <w:iCs w:val="0"/>
                <w:caps w:val="0"/>
                <w:color w:val="000000" w:themeColor="text1"/>
                <w:spacing w:val="0"/>
                <w:sz w:val="24"/>
                <w:szCs w:val="24"/>
                <w:highlight w:val="none"/>
                <w:lang w:val="en-US" w:eastAsia="zh-CN"/>
                <w14:textFill>
                  <w14:solidFill>
                    <w14:schemeClr w14:val="tx1"/>
                  </w14:solidFill>
                </w14:textFill>
              </w:rPr>
              <w:t>4.503708</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t/a。</w:t>
            </w:r>
          </w:p>
          <w:p w14:paraId="6A5A16C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氢氧化钙烘干</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工序</w:t>
            </w:r>
            <w:r>
              <w:rPr>
                <w:rFonts w:hint="eastAsia" w:cs="Times New Roman"/>
                <w:color w:val="000000" w:themeColor="text1"/>
                <w:kern w:val="0"/>
                <w:sz w:val="24"/>
                <w:szCs w:val="24"/>
                <w:highlight w:val="none"/>
                <w:lang w:val="en-US" w:eastAsia="zh-CN" w:bidi="ar"/>
                <w14:textFill>
                  <w14:solidFill>
                    <w14:schemeClr w14:val="tx1"/>
                  </w14:solidFill>
                </w14:textFill>
              </w:rPr>
              <w:t>为填充封闭式</w:t>
            </w:r>
            <w:r>
              <w:rPr>
                <w:rFonts w:hint="eastAsia" w:cs="Times New Roman"/>
                <w:color w:val="000000" w:themeColor="text1"/>
                <w:kern w:val="0"/>
                <w:sz w:val="24"/>
                <w:szCs w:val="24"/>
                <w:highlight w:val="none"/>
                <w:lang w:val="en-US" w:eastAsia="zh-CN" w:bidi="ar"/>
                <w14:textFill>
                  <w14:solidFill>
                    <w14:schemeClr w14:val="tx1"/>
                  </w14:solidFill>
                </w14:textFill>
              </w:rPr>
              <w:t>（留有呼吸口，烘干颗粒物、水蒸气从呼吸口溢出，水蒸气不进入热风炉）</w:t>
            </w:r>
            <w:r>
              <w:rPr>
                <w:rFonts w:hint="eastAsia" w:cs="Times New Roman"/>
                <w:color w:val="000000" w:themeColor="text1"/>
                <w:kern w:val="0"/>
                <w:sz w:val="24"/>
                <w:szCs w:val="24"/>
                <w:highlight w:val="none"/>
                <w:lang w:val="en-US" w:eastAsia="zh-CN" w:bidi="ar"/>
                <w14:textFill>
                  <w14:solidFill>
                    <w14:schemeClr w14:val="tx1"/>
                  </w14:solidFill>
                </w14:textFill>
              </w:rPr>
              <w:t>，且</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位于封闭车间内。</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收集效率</w:t>
            </w:r>
            <w:r>
              <w:rPr>
                <w:rFonts w:hint="eastAsia" w:cs="Times New Roman"/>
                <w:color w:val="000000" w:themeColor="text1"/>
                <w:kern w:val="0"/>
                <w:sz w:val="24"/>
                <w:szCs w:val="24"/>
                <w:highlight w:val="none"/>
                <w:lang w:val="en-US" w:eastAsia="zh-CN" w:bidi="ar"/>
                <w14:textFill>
                  <w14:solidFill>
                    <w14:schemeClr w14:val="tx1"/>
                  </w14:solidFill>
                </w14:textFill>
              </w:rPr>
              <w:t>按</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9</w:t>
            </w:r>
            <w:r>
              <w:rPr>
                <w:rFonts w:hint="eastAsia" w:cs="Times New Roman"/>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cs="Times New Roman"/>
                <w:color w:val="000000" w:themeColor="text1"/>
                <w:kern w:val="0"/>
                <w:sz w:val="24"/>
                <w:szCs w:val="24"/>
                <w:highlight w:val="none"/>
                <w:lang w:val="en-US" w:eastAsia="zh-CN" w:bidi="ar"/>
                <w14:textFill>
                  <w14:solidFill>
                    <w14:schemeClr w14:val="tx1"/>
                  </w14:solidFill>
                </w14:textFill>
              </w:rPr>
              <w:t>计</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因此</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无组织</w:t>
            </w:r>
            <w:r>
              <w:rPr>
                <w:rFonts w:hint="eastAsia" w:cs="Times New Roman"/>
                <w:color w:val="000000" w:themeColor="text1"/>
                <w:kern w:val="0"/>
                <w:sz w:val="24"/>
                <w:szCs w:val="24"/>
                <w:highlight w:val="none"/>
                <w:lang w:val="en-US" w:eastAsia="zh-CN" w:bidi="ar"/>
                <w14:textFill>
                  <w14:solidFill>
                    <w14:schemeClr w14:val="tx1"/>
                  </w14:solidFill>
                </w14:textFill>
              </w:rPr>
              <w:t>颗粒物</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排放</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量为0.2251854</w:t>
            </w:r>
            <w:r>
              <w:rPr>
                <w:rFonts w:hint="default"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t/a</w:t>
            </w:r>
            <w:r>
              <w:rPr>
                <w:rFonts w:hint="eastAsia" w:ascii="Times New Roman" w:hAnsi="Times New Roman" w:eastAsia="宋体" w:cs="Times New Roman"/>
                <w:i w:val="0"/>
                <w:iCs w:val="0"/>
                <w:caps w:val="0"/>
                <w:color w:val="000000" w:themeColor="text1"/>
                <w:spacing w:val="0"/>
                <w:sz w:val="24"/>
                <w:szCs w:val="24"/>
                <w:highlight w:val="none"/>
                <w:lang w:val="en-US" w:eastAsia="zh-CN"/>
                <w14:textFill>
                  <w14:solidFill>
                    <w14:schemeClr w14:val="tx1"/>
                  </w14:solidFill>
                </w14:textFill>
              </w:rPr>
              <w:t>。</w:t>
            </w:r>
          </w:p>
          <w:p w14:paraId="61C1E28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1.2无组织废气</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源强分析</w:t>
            </w:r>
          </w:p>
          <w:p w14:paraId="63F0A5BF">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（1）炭化炉</w:t>
            </w:r>
            <w:r>
              <w:rPr>
                <w:rFonts w:hint="eastAsia" w:cs="Times New Roman"/>
                <w:color w:val="000000" w:themeColor="text1"/>
                <w:kern w:val="0"/>
                <w:sz w:val="24"/>
                <w:szCs w:val="24"/>
                <w:lang w:val="en-US" w:eastAsia="zh-CN" w:bidi="ar"/>
                <w14:textFill>
                  <w14:solidFill>
                    <w14:schemeClr w14:val="tx1"/>
                  </w14:solidFill>
                </w14:textFill>
              </w:rPr>
              <w:t>出碳</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逸散废气（G4）</w:t>
            </w:r>
          </w:p>
          <w:p w14:paraId="65E2580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项目年产木煤气</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3035.52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出碳</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逸散损耗按照0.5%计算，木煤气中非甲烷总烃含量为2.80%，则木煤气逸散的非甲烷总烃无组织排放量为0.42t/a，0.05</w:t>
            </w:r>
            <w:r>
              <w:rPr>
                <w:rFonts w:hint="eastAsia" w:cs="Times New Roman"/>
                <w:color w:val="000000" w:themeColor="text1"/>
                <w:kern w:val="0"/>
                <w:sz w:val="24"/>
                <w:szCs w:val="24"/>
                <w:lang w:val="en-US" w:eastAsia="zh-CN" w:bidi="ar"/>
                <w14:textFill>
                  <w14:solidFill>
                    <w14:schemeClr w14:val="tx1"/>
                  </w14:solidFill>
                </w14:textFill>
              </w:rPr>
              <w:t>8</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kg/h。</w:t>
            </w:r>
          </w:p>
          <w:p w14:paraId="406D0ACB">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（2）</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双膜储气柜膜材渗透及压力波动综合逸散废气（G1</w:t>
            </w:r>
            <w:r>
              <w:rPr>
                <w:rFonts w:hint="eastAsia" w:cs="Times New Roman"/>
                <w:color w:val="000000" w:themeColor="text1"/>
                <w:kern w:val="0"/>
                <w:sz w:val="24"/>
                <w:szCs w:val="24"/>
                <w:lang w:val="en-US" w:eastAsia="zh-CN" w:bidi="ar"/>
                <w14:textFill>
                  <w14:solidFill>
                    <w14:schemeClr w14:val="tx1"/>
                  </w14:solidFill>
                </w14:textFill>
              </w:rPr>
              <w:t>4</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78BE8B4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双膜储气柜内暂存的木煤气为气体，不涉及气液相转换，且，储罐内气体在动态利用；逸散点主要为双膜储气柜膜材渗透及压力波动呼吸，逸散损耗按照1%计算，本</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项目年产木煤气</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3035.52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，木煤气中非甲烷总烃含量为2.80%，则木煤气逸散的非甲烷总烃无组织排放量为0.8499456t/a，0.118048kg/h。</w:t>
            </w:r>
          </w:p>
          <w:p w14:paraId="2F4A37C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）木焦油</w:t>
            </w:r>
            <w:r>
              <w:rPr>
                <w:rFonts w:hint="eastAsia" w:cs="Times New Roman"/>
                <w:color w:val="000000" w:themeColor="text1"/>
                <w:kern w:val="0"/>
                <w:sz w:val="24"/>
                <w:szCs w:val="24"/>
                <w:lang w:val="en-US" w:eastAsia="zh-CN" w:bidi="ar"/>
                <w14:textFill>
                  <w14:solidFill>
                    <w14:schemeClr w14:val="tx1"/>
                  </w14:solidFill>
                </w14:textFill>
              </w:rPr>
              <w:t>蒸馏、</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分装逸散</w:t>
            </w:r>
            <w:r>
              <w:rPr>
                <w:rFonts w:hint="eastAsia" w:cs="Times New Roman"/>
                <w:color w:val="000000" w:themeColor="text1"/>
                <w:kern w:val="0"/>
                <w:sz w:val="24"/>
                <w:szCs w:val="24"/>
                <w:lang w:val="en-US" w:eastAsia="zh-CN" w:bidi="ar"/>
                <w14:textFill>
                  <w14:solidFill>
                    <w14:schemeClr w14:val="tx1"/>
                  </w14:solidFill>
                </w14:textFill>
              </w:rPr>
              <w:t>废气</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（G5）</w:t>
            </w:r>
          </w:p>
          <w:p w14:paraId="40AF267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木焦油</w:t>
            </w:r>
            <w:r>
              <w:rPr>
                <w:rFonts w:hint="eastAsia" w:cs="Times New Roman"/>
                <w:color w:val="000000" w:themeColor="text1"/>
                <w:kern w:val="0"/>
                <w:sz w:val="24"/>
                <w:szCs w:val="24"/>
                <w:lang w:val="en-US" w:eastAsia="zh-CN" w:bidi="ar"/>
                <w14:textFill>
                  <w14:solidFill>
                    <w14:schemeClr w14:val="tx1"/>
                  </w14:solidFill>
                </w14:textFill>
              </w:rPr>
              <w:t>蒸馏、</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分装废气以总量的0.01%计考虑最不利情况逸散的木焦油非甲烷总烃含量100%，本项目</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木焦油约</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1488t/a，则非甲烷总烃无组织排放量为0.15t/a，</w:t>
            </w:r>
            <w:r>
              <w:rPr>
                <w:rFonts w:hint="eastAsia" w:cs="Times New Roman"/>
                <w:color w:val="000000" w:themeColor="text1"/>
                <w:kern w:val="0"/>
                <w:sz w:val="24"/>
                <w:szCs w:val="24"/>
                <w:lang w:val="en-US" w:eastAsia="zh-CN" w:bidi="ar"/>
                <w14:textFill>
                  <w14:solidFill>
                    <w14:schemeClr w14:val="tx1"/>
                  </w14:solidFill>
                </w14:textFill>
              </w:rPr>
              <w:t>蒸馏、</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分装时间为1200h/a，则非甲烷总烃最大排放速率为0.12kg/h。</w:t>
            </w:r>
          </w:p>
          <w:p w14:paraId="2ABF5A3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（4）生石灰（氧化钙）包装和装运逸散的颗粒物（G12）</w:t>
            </w:r>
          </w:p>
          <w:p w14:paraId="0CB22CC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pP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参照《逸散性工业粉尘控制技术》“表</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3-1石灰生产的逸散尘排放因子</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”中</w:t>
            </w:r>
            <w:r>
              <w:rPr>
                <w:rFonts w:hint="eastAsia" w:cs="Times New Roman"/>
                <w:color w:val="000000" w:themeColor="text1"/>
                <w:sz w:val="24"/>
                <w:highlight w:val="none"/>
                <w:lang w:val="en-US" w:eastAsia="zh-CN"/>
                <w14:textFill>
                  <w14:solidFill>
                    <w14:schemeClr w14:val="tx1"/>
                  </w14:solidFill>
                </w14:textFill>
              </w:rPr>
              <w:t>包装和装运（包括贮料筒仓的排气）颗粒物</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排放因子为</w:t>
            </w:r>
            <w:r>
              <w:rPr>
                <w:rFonts w:hint="default"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0.</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125</w:t>
            </w:r>
            <w:r>
              <w:rPr>
                <w:rFonts w:hint="default"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kg/t</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装运</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w:t>
            </w:r>
            <w:r>
              <w:rPr>
                <w:rFonts w:hint="eastAsia" w:cs="Times New Roman"/>
                <w:i w:val="0"/>
                <w:iCs w:val="0"/>
                <w:caps w:val="0"/>
                <w:color w:val="000000" w:themeColor="text1"/>
                <w:spacing w:val="0"/>
                <w:sz w:val="24"/>
                <w:szCs w:val="24"/>
                <w:highlight w:val="none"/>
                <w:lang w:val="en-US" w:eastAsia="zh-CN"/>
                <w14:textFill>
                  <w14:solidFill>
                    <w14:schemeClr w14:val="tx1"/>
                  </w14:solidFill>
                </w14:textFill>
              </w:rPr>
              <w:t>本项目年生产石灰石（氧化钙）7506.18t，</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则</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本项目</w:t>
            </w:r>
            <w:r>
              <w:rPr>
                <w:rFonts w:hint="eastAsia" w:cs="Times New Roman"/>
                <w:color w:val="000000" w:themeColor="text1"/>
                <w:sz w:val="24"/>
                <w:highlight w:val="none"/>
                <w:lang w:val="en-US" w:eastAsia="zh-CN"/>
                <w14:textFill>
                  <w14:solidFill>
                    <w14:schemeClr w14:val="tx1"/>
                  </w14:solidFill>
                </w14:textFill>
              </w:rPr>
              <w:t>生石灰（氧化钙）包装和装运</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等颗粒物</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产生量为</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0.9382725</w:t>
            </w:r>
            <w:r>
              <w:rPr>
                <w:rFonts w:hint="default"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t/a</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w:t>
            </w:r>
          </w:p>
          <w:p w14:paraId="6D1CF6A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pP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本项目石灰石</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氧化钙</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采用密闭专用运输车运出，通过气泵经密闭管道由料仓输送至运输车内</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，少量逸散；</w:t>
            </w:r>
            <w:r>
              <w:rPr>
                <w:rFonts w:hint="eastAsia" w:cs="Times New Roman"/>
                <w:color w:val="000000" w:themeColor="text1"/>
                <w:sz w:val="24"/>
                <w:highlight w:val="none"/>
                <w:lang w:val="en-US" w:eastAsia="zh-CN"/>
                <w14:textFill>
                  <w14:solidFill>
                    <w14:schemeClr w14:val="tx1"/>
                  </w14:solidFill>
                </w14:textFill>
              </w:rPr>
              <w:t>料仓顶部自带布袋除尘器，颗粒物</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经除尘处理后由顶端呼吸口无组织排放，除尘器收集的</w:t>
            </w:r>
            <w:r>
              <w:rPr>
                <w:rFonts w:hint="eastAsia" w:cs="Times New Roman"/>
                <w:color w:val="000000" w:themeColor="text1"/>
                <w:sz w:val="24"/>
                <w:highlight w:val="none"/>
                <w:lang w:val="en-US" w:eastAsia="zh-CN"/>
                <w14:textFill>
                  <w14:solidFill>
                    <w14:schemeClr w14:val="tx1"/>
                  </w14:solidFill>
                </w14:textFill>
              </w:rPr>
              <w:t>颗粒物落回料仓。颗粒物</w:t>
            </w:r>
            <w:r>
              <w:rPr>
                <w:rFonts w:hint="default" w:cs="Times New Roman"/>
                <w:color w:val="000000" w:themeColor="text1"/>
                <w:sz w:val="24"/>
                <w:highlight w:val="none"/>
                <w:lang w:val="en-US" w:eastAsia="zh-CN"/>
                <w14:textFill>
                  <w14:solidFill>
                    <w14:schemeClr w14:val="tx1"/>
                  </w14:solidFill>
                </w14:textFill>
              </w:rPr>
              <w:t>收集效率</w:t>
            </w:r>
            <w:r>
              <w:rPr>
                <w:rFonts w:hint="eastAsia" w:cs="Times New Roman"/>
                <w:color w:val="000000" w:themeColor="text1"/>
                <w:sz w:val="24"/>
                <w:highlight w:val="none"/>
                <w:lang w:val="en-US" w:eastAsia="zh-CN"/>
                <w14:textFill>
                  <w14:solidFill>
                    <w14:schemeClr w14:val="tx1"/>
                  </w14:solidFill>
                </w14:textFill>
              </w:rPr>
              <w:t>按</w:t>
            </w:r>
            <w:r>
              <w:rPr>
                <w:rFonts w:hint="default" w:cs="Times New Roman"/>
                <w:color w:val="000000" w:themeColor="text1"/>
                <w:sz w:val="24"/>
                <w:highlight w:val="none"/>
                <w:lang w:val="en-US" w:eastAsia="zh-CN"/>
                <w14:textFill>
                  <w14:solidFill>
                    <w14:schemeClr w14:val="tx1"/>
                  </w14:solidFill>
                </w14:textFill>
              </w:rPr>
              <w:t>9</w:t>
            </w:r>
            <w:r>
              <w:rPr>
                <w:rFonts w:hint="eastAsia" w:cs="Times New Roman"/>
                <w:color w:val="000000" w:themeColor="text1"/>
                <w:sz w:val="24"/>
                <w:highlight w:val="none"/>
                <w:lang w:val="en-US" w:eastAsia="zh-CN"/>
                <w14:textFill>
                  <w14:solidFill>
                    <w14:schemeClr w14:val="tx1"/>
                  </w14:solidFill>
                </w14:textFill>
              </w:rPr>
              <w:t>5</w:t>
            </w:r>
            <w:r>
              <w:rPr>
                <w:rFonts w:hint="default" w:cs="Times New Roman"/>
                <w:color w:val="000000" w:themeColor="text1"/>
                <w:sz w:val="24"/>
                <w:highlight w:val="none"/>
                <w:lang w:val="en-US"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计</w:t>
            </w:r>
            <w:r>
              <w:rPr>
                <w:rFonts w:hint="default" w:cs="Times New Roman"/>
                <w:color w:val="000000" w:themeColor="text1"/>
                <w:sz w:val="24"/>
                <w:highlight w:val="none"/>
                <w:lang w:val="en-US"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因此，无组织颗粒物排放量为0.0469</w:t>
            </w:r>
            <w:r>
              <w:rPr>
                <w:rFonts w:hint="default" w:cs="Times New Roman"/>
                <w:color w:val="000000" w:themeColor="text1"/>
                <w:sz w:val="24"/>
                <w:highlight w:val="none"/>
                <w:lang w:val="en-US" w:eastAsia="zh-CN"/>
                <w14:textFill>
                  <w14:solidFill>
                    <w14:schemeClr w14:val="tx1"/>
                  </w14:solidFill>
                </w14:textFill>
              </w:rPr>
              <w:t>t/a</w:t>
            </w:r>
            <w:r>
              <w:rPr>
                <w:rFonts w:hint="eastAsia" w:cs="Times New Roman"/>
                <w:color w:val="000000" w:themeColor="text1"/>
                <w:sz w:val="24"/>
                <w:highlight w:val="none"/>
                <w:lang w:val="en-US" w:eastAsia="zh-CN"/>
                <w14:textFill>
                  <w14:solidFill>
                    <w14:schemeClr w14:val="tx1"/>
                  </w14:solidFill>
                </w14:textFill>
              </w:rPr>
              <w:t>。</w:t>
            </w:r>
          </w:p>
          <w:p w14:paraId="260A9B03">
            <w:pPr>
              <w:keepNext w:val="0"/>
              <w:keepLines w:val="0"/>
              <w:widowControl/>
              <w:suppressLineNumbers w:val="0"/>
              <w:ind w:firstLine="480" w:firstLineChars="200"/>
              <w:jc w:val="both"/>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本项目</w:t>
            </w:r>
            <w:r>
              <w:rPr>
                <w:rFonts w:hint="default" w:ascii="Times New Roman" w:hAnsi="Times New Roman" w:cs="Times New Roman"/>
                <w:color w:val="000000" w:themeColor="text1"/>
                <w:sz w:val="24"/>
                <w:highlight w:val="none"/>
                <w14:textFill>
                  <w14:solidFill>
                    <w14:schemeClr w14:val="tx1"/>
                  </w14:solidFill>
                </w14:textFill>
              </w:rPr>
              <w:t>废气</w:t>
            </w:r>
            <w:r>
              <w:rPr>
                <w:rFonts w:hint="eastAsia" w:ascii="Times New Roman" w:hAnsi="Times New Roman" w:cs="Times New Roman"/>
                <w:color w:val="000000" w:themeColor="text1"/>
                <w:sz w:val="24"/>
                <w:highlight w:val="none"/>
                <w:lang w:val="en-US" w:eastAsia="zh-CN"/>
                <w14:textFill>
                  <w14:solidFill>
                    <w14:schemeClr w14:val="tx1"/>
                  </w14:solidFill>
                </w14:textFill>
              </w:rPr>
              <w:t>产</w:t>
            </w:r>
            <w:r>
              <w:rPr>
                <w:rFonts w:hint="default" w:ascii="Times New Roman" w:hAnsi="Times New Roman" w:cs="Times New Roman"/>
                <w:color w:val="000000" w:themeColor="text1"/>
                <w:sz w:val="24"/>
                <w:highlight w:val="none"/>
                <w14:textFill>
                  <w14:solidFill>
                    <w14:schemeClr w14:val="tx1"/>
                  </w14:solidFill>
                </w14:textFill>
              </w:rPr>
              <w:t>排放情况见表</w:t>
            </w:r>
            <w:r>
              <w:rPr>
                <w:rFonts w:hint="eastAsia" w:ascii="Times New Roman" w:hAnsi="Times New Roman" w:cs="Times New Roman"/>
                <w:color w:val="000000" w:themeColor="text1"/>
                <w:sz w:val="24"/>
                <w:highlight w:val="none"/>
                <w:lang w:val="en-US" w:eastAsia="zh-CN"/>
                <w14:textFill>
                  <w14:solidFill>
                    <w14:schemeClr w14:val="tx1"/>
                  </w14:solidFill>
                </w14:textFill>
              </w:rPr>
              <w:t>4-3。</w:t>
            </w:r>
          </w:p>
          <w:p w14:paraId="6B4074DA">
            <w:pPr>
              <w:keepNext w:val="0"/>
              <w:keepLines w:val="0"/>
              <w:widowControl/>
              <w:suppressLineNumbers w:val="0"/>
              <w:jc w:val="both"/>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4781222E">
            <w:pPr>
              <w:keepNext w:val="0"/>
              <w:keepLines w:val="0"/>
              <w:widowControl/>
              <w:suppressLineNumbers w:val="0"/>
              <w:jc w:val="both"/>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p>
          <w:p w14:paraId="5FACB187">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8A91AB5">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B5609AD">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A1AAAD8">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F262E0E">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935108F">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6834F5C">
            <w:pPr>
              <w:adjustRightInd w:val="0"/>
              <w:snapToGrid w:val="0"/>
              <w:jc w:val="cente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1682215">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820B692">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4979693">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4DFAFE8">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33E2796">
            <w:pPr>
              <w:pStyle w:val="36"/>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4541A70C">
            <w:pPr>
              <w:pStyle w:val="39"/>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1F53719">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F1BCC81">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160B8267">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6691459">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7A1FF2E">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4876318">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FA36C67">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77CC7CD">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2C112D7">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7B79AF7">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A76BCA4">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86EE1BC">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07A09A6">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FACC4EC">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B4DCB32">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102EFE9">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4CA0954B">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2278448">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46C633C">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04D60A1">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5192965">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1CD18D4D">
            <w:pPr>
              <w:pStyle w:val="36"/>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3A67E219">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tc>
      </w:tr>
    </w:tbl>
    <w:p w14:paraId="1162719D">
      <w:pPr>
        <w:adjustRightInd w:val="0"/>
        <w:snapToGrid w:val="0"/>
        <w:spacing w:line="360" w:lineRule="auto"/>
        <w:rPr>
          <w:rFonts w:hint="default" w:ascii="Times New Roman" w:hAnsi="Times New Roman" w:eastAsia="宋体" w:cs="Times New Roman"/>
          <w:b/>
          <w:color w:val="000000" w:themeColor="text1"/>
          <w:kern w:val="0"/>
          <w:sz w:val="28"/>
          <w:szCs w:val="28"/>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0"/>
        <w:tblW w:w="14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13530"/>
      </w:tblGrid>
      <w:tr w14:paraId="5FA5D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5" w:hRule="atLeast"/>
          <w:jc w:val="center"/>
        </w:trPr>
        <w:tc>
          <w:tcPr>
            <w:tcW w:w="549" w:type="dxa"/>
            <w:noWrap w:val="0"/>
            <w:vAlign w:val="center"/>
          </w:tcPr>
          <w:p w14:paraId="0B5BBF36">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运营</w:t>
            </w:r>
          </w:p>
          <w:p w14:paraId="1F01EADE">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期环</w:t>
            </w:r>
          </w:p>
          <w:p w14:paraId="5080771A">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境影</w:t>
            </w:r>
          </w:p>
          <w:p w14:paraId="548C67DB">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响和</w:t>
            </w:r>
          </w:p>
          <w:p w14:paraId="14AECB2F">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保护</w:t>
            </w:r>
          </w:p>
          <w:p w14:paraId="0F721295">
            <w:pPr>
              <w:pStyle w:val="2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outlineLvl w:val="9"/>
              <w:rPr>
                <w:rFonts w:hint="default" w:ascii="Times New Roman" w:hAnsi="Times New Roman" w:eastAsia="宋体" w:cs="Times New Roman"/>
                <w:b/>
                <w:bCs/>
                <w:snapToGrid w:val="0"/>
                <w:color w:val="000000" w:themeColor="text1"/>
                <w:sz w:val="30"/>
                <w:szCs w:val="30"/>
                <w:vertAlign w:val="baseline"/>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措施</w:t>
            </w:r>
          </w:p>
        </w:tc>
        <w:tc>
          <w:tcPr>
            <w:tcW w:w="13530" w:type="dxa"/>
            <w:noWrap w:val="0"/>
            <w:vAlign w:val="top"/>
          </w:tcPr>
          <w:p w14:paraId="46F67C2D">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表</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4-3</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项目</w:t>
            </w:r>
            <w:r>
              <w:rPr>
                <w:rFonts w:hint="default" w:ascii="Times New Roman" w:hAnsi="Times New Roman" w:cs="Times New Roman"/>
                <w:b/>
                <w:bCs/>
                <w:color w:val="000000" w:themeColor="text1"/>
                <w:sz w:val="21"/>
                <w:szCs w:val="21"/>
                <w:highlight w:val="none"/>
                <w14:textFill>
                  <w14:solidFill>
                    <w14:schemeClr w14:val="tx1"/>
                  </w14:solidFill>
                </w14:textFill>
              </w:rPr>
              <w:t>废气产排情况</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一览表</w:t>
            </w:r>
          </w:p>
          <w:tbl>
            <w:tblPr>
              <w:tblStyle w:val="30"/>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65"/>
              <w:gridCol w:w="549"/>
              <w:gridCol w:w="922"/>
              <w:gridCol w:w="922"/>
              <w:gridCol w:w="779"/>
              <w:gridCol w:w="925"/>
              <w:gridCol w:w="967"/>
              <w:gridCol w:w="1026"/>
              <w:gridCol w:w="1102"/>
              <w:gridCol w:w="922"/>
              <w:gridCol w:w="922"/>
              <w:gridCol w:w="932"/>
              <w:gridCol w:w="922"/>
              <w:gridCol w:w="927"/>
              <w:gridCol w:w="931"/>
            </w:tblGrid>
            <w:tr w14:paraId="5C74A7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2" w:type="pct"/>
                  <w:vMerge w:val="restart"/>
                  <w:tcBorders>
                    <w:tl2br w:val="nil"/>
                    <w:tr2bl w:val="nil"/>
                  </w:tcBorders>
                  <w:noWrap w:val="0"/>
                  <w:vAlign w:val="center"/>
                </w:tcPr>
                <w:p w14:paraId="44A3FF28">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排放形式</w:t>
                  </w:r>
                </w:p>
              </w:tc>
              <w:tc>
                <w:tcPr>
                  <w:tcW w:w="206" w:type="pct"/>
                  <w:vMerge w:val="restart"/>
                  <w:tcBorders>
                    <w:tl2br w:val="nil"/>
                    <w:tr2bl w:val="nil"/>
                  </w:tcBorders>
                  <w:noWrap w:val="0"/>
                  <w:vAlign w:val="center"/>
                </w:tcPr>
                <w:p w14:paraId="327AA325">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排气筒编号</w:t>
                  </w:r>
                </w:p>
              </w:tc>
              <w:tc>
                <w:tcPr>
                  <w:tcW w:w="346" w:type="pct"/>
                  <w:vMerge w:val="restart"/>
                  <w:tcBorders>
                    <w:tl2br w:val="nil"/>
                    <w:tr2bl w:val="nil"/>
                  </w:tcBorders>
                  <w:noWrap w:val="0"/>
                  <w:vAlign w:val="center"/>
                </w:tcPr>
                <w:p w14:paraId="7F8EFF3E">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废气来源</w:t>
                  </w:r>
                </w:p>
              </w:tc>
              <w:tc>
                <w:tcPr>
                  <w:tcW w:w="346" w:type="pct"/>
                  <w:vMerge w:val="restart"/>
                  <w:tcBorders>
                    <w:tl2br w:val="nil"/>
                    <w:tr2bl w:val="nil"/>
                  </w:tcBorders>
                  <w:noWrap w:val="0"/>
                  <w:vAlign w:val="center"/>
                </w:tcPr>
                <w:p w14:paraId="7AF7FB23">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w:t>
                  </w:r>
                </w:p>
              </w:tc>
              <w:tc>
                <w:tcPr>
                  <w:tcW w:w="292" w:type="pct"/>
                  <w:vMerge w:val="restart"/>
                  <w:tcBorders>
                    <w:tl2br w:val="nil"/>
                    <w:tr2bl w:val="nil"/>
                  </w:tcBorders>
                  <w:noWrap w:val="0"/>
                  <w:vAlign w:val="center"/>
                </w:tcPr>
                <w:p w14:paraId="15DD9474">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废气量</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h</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1095" w:type="pct"/>
                  <w:gridSpan w:val="3"/>
                  <w:tcBorders>
                    <w:tl2br w:val="nil"/>
                    <w:tr2bl w:val="nil"/>
                  </w:tcBorders>
                  <w:noWrap w:val="0"/>
                  <w:vAlign w:val="center"/>
                </w:tcPr>
                <w:p w14:paraId="142B4E38">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产生情况</w:t>
                  </w:r>
                </w:p>
              </w:tc>
              <w:tc>
                <w:tcPr>
                  <w:tcW w:w="413" w:type="pct"/>
                  <w:vMerge w:val="restart"/>
                  <w:tcBorders>
                    <w:tl2br w:val="nil"/>
                    <w:tr2bl w:val="nil"/>
                  </w:tcBorders>
                  <w:noWrap w:val="0"/>
                  <w:vAlign w:val="center"/>
                </w:tcPr>
                <w:p w14:paraId="3721BB6F">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治理措施及效率</w:t>
                  </w:r>
                </w:p>
              </w:tc>
              <w:tc>
                <w:tcPr>
                  <w:tcW w:w="1042" w:type="pct"/>
                  <w:gridSpan w:val="3"/>
                  <w:tcBorders>
                    <w:tl2br w:val="nil"/>
                    <w:tr2bl w:val="nil"/>
                  </w:tcBorders>
                  <w:noWrap w:val="0"/>
                  <w:vAlign w:val="center"/>
                </w:tcPr>
                <w:p w14:paraId="38ECA191">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排放情况</w:t>
                  </w:r>
                </w:p>
              </w:tc>
              <w:tc>
                <w:tcPr>
                  <w:tcW w:w="346" w:type="pct"/>
                  <w:vMerge w:val="restart"/>
                  <w:tcBorders>
                    <w:tl2br w:val="nil"/>
                    <w:tr2bl w:val="nil"/>
                  </w:tcBorders>
                  <w:noWrap w:val="0"/>
                  <w:vAlign w:val="center"/>
                </w:tcPr>
                <w:p w14:paraId="7C173AD2">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排放时间</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h/a)</w:t>
                  </w:r>
                </w:p>
              </w:tc>
              <w:tc>
                <w:tcPr>
                  <w:tcW w:w="697" w:type="pct"/>
                  <w:gridSpan w:val="2"/>
                  <w:tcBorders>
                    <w:tl2br w:val="nil"/>
                    <w:tr2bl w:val="nil"/>
                  </w:tcBorders>
                  <w:noWrap w:val="0"/>
                  <w:vAlign w:val="center"/>
                </w:tcPr>
                <w:p w14:paraId="2DE1A628">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标准限值</w:t>
                  </w:r>
                </w:p>
              </w:tc>
            </w:tr>
            <w:tr w14:paraId="1DECF3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2" w:type="pct"/>
                  <w:vMerge w:val="continue"/>
                  <w:tcBorders>
                    <w:tl2br w:val="nil"/>
                    <w:tr2bl w:val="nil"/>
                  </w:tcBorders>
                  <w:noWrap w:val="0"/>
                  <w:vAlign w:val="center"/>
                </w:tcPr>
                <w:p w14:paraId="4B35CEC1">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206" w:type="pct"/>
                  <w:vMerge w:val="continue"/>
                  <w:tcBorders>
                    <w:tl2br w:val="nil"/>
                    <w:tr2bl w:val="nil"/>
                  </w:tcBorders>
                  <w:noWrap w:val="0"/>
                  <w:vAlign w:val="center"/>
                </w:tcPr>
                <w:p w14:paraId="6357FD61">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346" w:type="pct"/>
                  <w:vMerge w:val="continue"/>
                  <w:tcBorders>
                    <w:tl2br w:val="nil"/>
                    <w:tr2bl w:val="nil"/>
                  </w:tcBorders>
                  <w:noWrap w:val="0"/>
                  <w:vAlign w:val="center"/>
                </w:tcPr>
                <w:p w14:paraId="5C924363">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346" w:type="pct"/>
                  <w:vMerge w:val="continue"/>
                  <w:tcBorders>
                    <w:tl2br w:val="nil"/>
                    <w:tr2bl w:val="nil"/>
                  </w:tcBorders>
                  <w:noWrap w:val="0"/>
                  <w:vAlign w:val="center"/>
                </w:tcPr>
                <w:p w14:paraId="6CA6706D">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292" w:type="pct"/>
                  <w:vMerge w:val="continue"/>
                  <w:tcBorders>
                    <w:tl2br w:val="nil"/>
                    <w:tr2bl w:val="nil"/>
                  </w:tcBorders>
                  <w:noWrap w:val="0"/>
                  <w:vAlign w:val="center"/>
                </w:tcPr>
                <w:p w14:paraId="7646E463">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347" w:type="pct"/>
                  <w:tcBorders>
                    <w:tl2br w:val="nil"/>
                    <w:tr2bl w:val="nil"/>
                  </w:tcBorders>
                  <w:noWrap w:val="0"/>
                  <w:vAlign w:val="center"/>
                </w:tcPr>
                <w:p w14:paraId="6FCFB9E9">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浓度</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mg/m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363" w:type="pct"/>
                  <w:tcBorders>
                    <w:tl2br w:val="nil"/>
                    <w:tr2bl w:val="nil"/>
                  </w:tcBorders>
                  <w:noWrap w:val="0"/>
                  <w:vAlign w:val="center"/>
                </w:tcPr>
                <w:p w14:paraId="6CB6C1FD">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速率</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kg/h)</w:t>
                  </w:r>
                </w:p>
              </w:tc>
              <w:tc>
                <w:tcPr>
                  <w:tcW w:w="385" w:type="pct"/>
                  <w:tcBorders>
                    <w:tl2br w:val="nil"/>
                    <w:tr2bl w:val="nil"/>
                  </w:tcBorders>
                  <w:noWrap w:val="0"/>
                  <w:vAlign w:val="center"/>
                </w:tcPr>
                <w:p w14:paraId="558F6296">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产生量</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t/a)</w:t>
                  </w:r>
                </w:p>
              </w:tc>
              <w:tc>
                <w:tcPr>
                  <w:tcW w:w="413" w:type="pct"/>
                  <w:vMerge w:val="continue"/>
                  <w:tcBorders>
                    <w:tl2br w:val="nil"/>
                    <w:tr2bl w:val="nil"/>
                  </w:tcBorders>
                  <w:noWrap w:val="0"/>
                  <w:vAlign w:val="center"/>
                </w:tcPr>
                <w:p w14:paraId="4A89A467">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346" w:type="pct"/>
                  <w:tcBorders>
                    <w:tl2br w:val="nil"/>
                    <w:tr2bl w:val="nil"/>
                  </w:tcBorders>
                  <w:noWrap w:val="0"/>
                  <w:vAlign w:val="center"/>
                </w:tcPr>
                <w:p w14:paraId="1B2366F8">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浓度</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mg/m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346" w:type="pct"/>
                  <w:tcBorders>
                    <w:tl2br w:val="nil"/>
                    <w:tr2bl w:val="nil"/>
                  </w:tcBorders>
                  <w:noWrap w:val="0"/>
                  <w:vAlign w:val="center"/>
                </w:tcPr>
                <w:p w14:paraId="3630F689">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速率</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kg/h)</w:t>
                  </w:r>
                </w:p>
              </w:tc>
              <w:tc>
                <w:tcPr>
                  <w:tcW w:w="350" w:type="pct"/>
                  <w:tcBorders>
                    <w:tl2br w:val="nil"/>
                    <w:tr2bl w:val="nil"/>
                  </w:tcBorders>
                  <w:noWrap w:val="0"/>
                  <w:vAlign w:val="center"/>
                </w:tcPr>
                <w:p w14:paraId="07083FEE">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排放</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量</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t/a)</w:t>
                  </w:r>
                </w:p>
              </w:tc>
              <w:tc>
                <w:tcPr>
                  <w:tcW w:w="346" w:type="pct"/>
                  <w:vMerge w:val="continue"/>
                  <w:tcBorders>
                    <w:tl2br w:val="nil"/>
                    <w:tr2bl w:val="nil"/>
                  </w:tcBorders>
                  <w:noWrap w:val="0"/>
                  <w:vAlign w:val="center"/>
                </w:tcPr>
                <w:p w14:paraId="6262E793">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348" w:type="pct"/>
                  <w:tcBorders>
                    <w:tl2br w:val="nil"/>
                    <w:tr2bl w:val="nil"/>
                  </w:tcBorders>
                  <w:noWrap w:val="0"/>
                  <w:vAlign w:val="center"/>
                </w:tcPr>
                <w:p w14:paraId="0F35D1A2">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浓度</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mg/m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349" w:type="pct"/>
                  <w:tcBorders>
                    <w:tl2br w:val="nil"/>
                    <w:tr2bl w:val="nil"/>
                  </w:tcBorders>
                  <w:noWrap w:val="0"/>
                  <w:vAlign w:val="center"/>
                </w:tcPr>
                <w:p w14:paraId="3240413D">
                  <w:pPr>
                    <w:pStyle w:val="72"/>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速率</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kg/h)</w:t>
                  </w:r>
                </w:p>
              </w:tc>
            </w:tr>
            <w:tr w14:paraId="2C9D08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15" w:hRule="atLeast"/>
                <w:jc w:val="center"/>
              </w:trPr>
              <w:tc>
                <w:tcPr>
                  <w:tcW w:w="212" w:type="pct"/>
                  <w:tcBorders>
                    <w:tl2br w:val="nil"/>
                    <w:tr2bl w:val="nil"/>
                  </w:tcBorders>
                  <w:noWrap w:val="0"/>
                  <w:vAlign w:val="center"/>
                </w:tcPr>
                <w:p w14:paraId="5B5B2F5C">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有组织排放G</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w:t>
                  </w:r>
                </w:p>
              </w:tc>
              <w:tc>
                <w:tcPr>
                  <w:tcW w:w="206" w:type="pct"/>
                  <w:tcBorders>
                    <w:tl2br w:val="nil"/>
                    <w:tr2bl w:val="nil"/>
                  </w:tcBorders>
                  <w:noWrap w:val="0"/>
                  <w:vAlign w:val="center"/>
                </w:tcPr>
                <w:p w14:paraId="5C714CAE">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DA</w:t>
                  </w:r>
                </w:p>
                <w:p w14:paraId="1F74DCD4">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001</w:t>
                  </w:r>
                </w:p>
              </w:tc>
              <w:tc>
                <w:tcPr>
                  <w:tcW w:w="346" w:type="pct"/>
                  <w:tcBorders>
                    <w:tl2br w:val="nil"/>
                    <w:tr2bl w:val="nil"/>
                  </w:tcBorders>
                  <w:noWrap w:val="0"/>
                  <w:vAlign w:val="center"/>
                </w:tcPr>
                <w:p w14:paraId="6482FEB8">
                  <w:pPr>
                    <w:pStyle w:val="72"/>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农林秸秆废弃物破碎</w:t>
                  </w:r>
                </w:p>
              </w:tc>
              <w:tc>
                <w:tcPr>
                  <w:tcW w:w="346" w:type="pct"/>
                  <w:tcBorders>
                    <w:tl2br w:val="nil"/>
                    <w:tr2bl w:val="nil"/>
                  </w:tcBorders>
                  <w:noWrap w:val="0"/>
                  <w:vAlign w:val="center"/>
                </w:tcPr>
                <w:p w14:paraId="2BE692AC">
                  <w:pPr>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92" w:type="pct"/>
                  <w:tcBorders>
                    <w:tl2br w:val="nil"/>
                    <w:tr2bl w:val="nil"/>
                  </w:tcBorders>
                  <w:noWrap w:val="0"/>
                  <w:vAlign w:val="center"/>
                </w:tcPr>
                <w:p w14:paraId="56F960ED">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20000</w:t>
                  </w:r>
                </w:p>
              </w:tc>
              <w:tc>
                <w:tcPr>
                  <w:tcW w:w="347" w:type="pct"/>
                  <w:tcBorders>
                    <w:tl2br w:val="nil"/>
                    <w:tr2bl w:val="nil"/>
                  </w:tcBorders>
                  <w:noWrap w:val="0"/>
                  <w:vAlign w:val="center"/>
                </w:tcPr>
                <w:p w14:paraId="5491ADE8">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44.4</w:t>
                  </w:r>
                </w:p>
              </w:tc>
              <w:tc>
                <w:tcPr>
                  <w:tcW w:w="363" w:type="pct"/>
                  <w:tcBorders>
                    <w:tl2br w:val="nil"/>
                    <w:tr2bl w:val="nil"/>
                  </w:tcBorders>
                  <w:noWrap w:val="0"/>
                  <w:vAlign w:val="center"/>
                </w:tcPr>
                <w:p w14:paraId="0AFDC608">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0.888</w:t>
                  </w:r>
                </w:p>
              </w:tc>
              <w:tc>
                <w:tcPr>
                  <w:tcW w:w="385" w:type="pct"/>
                  <w:tcBorders>
                    <w:tl2br w:val="nil"/>
                    <w:tr2bl w:val="nil"/>
                  </w:tcBorders>
                  <w:noWrap w:val="0"/>
                  <w:vAlign w:val="center"/>
                </w:tcPr>
                <w:p w14:paraId="788AC939">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6.3936</w:t>
                  </w:r>
                </w:p>
              </w:tc>
              <w:tc>
                <w:tcPr>
                  <w:tcW w:w="413" w:type="pct"/>
                  <w:tcBorders>
                    <w:tl2br w:val="nil"/>
                    <w:tr2bl w:val="nil"/>
                  </w:tcBorders>
                  <w:noWrap w:val="0"/>
                  <w:vAlign w:val="center"/>
                </w:tcPr>
                <w:p w14:paraId="593F8858">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集气罩+布袋除尘器（处理效率99%）</w:t>
                  </w:r>
                </w:p>
              </w:tc>
              <w:tc>
                <w:tcPr>
                  <w:tcW w:w="346" w:type="pct"/>
                  <w:tcBorders>
                    <w:tl2br w:val="nil"/>
                    <w:tr2bl w:val="nil"/>
                  </w:tcBorders>
                  <w:noWrap w:val="0"/>
                  <w:vAlign w:val="center"/>
                </w:tcPr>
                <w:p w14:paraId="38DB8089">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0.444</w:t>
                  </w:r>
                </w:p>
              </w:tc>
              <w:tc>
                <w:tcPr>
                  <w:tcW w:w="346" w:type="pct"/>
                  <w:tcBorders>
                    <w:tl2br w:val="nil"/>
                    <w:tr2bl w:val="nil"/>
                  </w:tcBorders>
                  <w:noWrap w:val="0"/>
                  <w:vAlign w:val="center"/>
                </w:tcPr>
                <w:p w14:paraId="73D8D4D4">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0.00888</w:t>
                  </w:r>
                </w:p>
              </w:tc>
              <w:tc>
                <w:tcPr>
                  <w:tcW w:w="350" w:type="pct"/>
                  <w:tcBorders>
                    <w:tl2br w:val="nil"/>
                    <w:tr2bl w:val="nil"/>
                  </w:tcBorders>
                  <w:noWrap w:val="0"/>
                  <w:vAlign w:val="center"/>
                </w:tcPr>
                <w:p w14:paraId="6AD0E2CB">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0.063936</w:t>
                  </w:r>
                </w:p>
              </w:tc>
              <w:tc>
                <w:tcPr>
                  <w:tcW w:w="346" w:type="pct"/>
                  <w:vMerge w:val="restart"/>
                  <w:tcBorders>
                    <w:tl2br w:val="nil"/>
                    <w:tr2bl w:val="nil"/>
                  </w:tcBorders>
                  <w:noWrap w:val="0"/>
                  <w:vAlign w:val="center"/>
                </w:tcPr>
                <w:p w14:paraId="0EE17F18">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7200</w:t>
                  </w:r>
                </w:p>
              </w:tc>
              <w:tc>
                <w:tcPr>
                  <w:tcW w:w="348" w:type="pct"/>
                  <w:tcBorders>
                    <w:tl2br w:val="nil"/>
                    <w:tr2bl w:val="nil"/>
                  </w:tcBorders>
                  <w:noWrap w:val="0"/>
                  <w:vAlign w:val="center"/>
                </w:tcPr>
                <w:p w14:paraId="0C2017A6">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120</w:t>
                  </w:r>
                </w:p>
              </w:tc>
              <w:tc>
                <w:tcPr>
                  <w:tcW w:w="349" w:type="pct"/>
                  <w:tcBorders>
                    <w:tl2br w:val="nil"/>
                    <w:tr2bl w:val="nil"/>
                  </w:tcBorders>
                  <w:noWrap w:val="0"/>
                  <w:vAlign w:val="center"/>
                </w:tcPr>
                <w:p w14:paraId="4A70FB47">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3.5</w:t>
                  </w:r>
                </w:p>
              </w:tc>
            </w:tr>
            <w:tr w14:paraId="59D965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212" w:type="pct"/>
                  <w:tcBorders>
                    <w:tl2br w:val="nil"/>
                    <w:tr2bl w:val="nil"/>
                  </w:tcBorders>
                  <w:noWrap w:val="0"/>
                  <w:vAlign w:val="center"/>
                </w:tcPr>
                <w:p w14:paraId="73C20EFA">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有组织排放</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G6、G7、G8、G9</w:t>
                  </w:r>
                </w:p>
              </w:tc>
              <w:tc>
                <w:tcPr>
                  <w:tcW w:w="206" w:type="pct"/>
                  <w:tcBorders>
                    <w:tl2br w:val="nil"/>
                    <w:tr2bl w:val="nil"/>
                  </w:tcBorders>
                  <w:noWrap w:val="0"/>
                  <w:vAlign w:val="center"/>
                </w:tcPr>
                <w:p w14:paraId="66749551">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DA</w:t>
                  </w:r>
                </w:p>
                <w:p w14:paraId="4895142A">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346" w:type="pct"/>
                  <w:tcBorders>
                    <w:tl2br w:val="nil"/>
                    <w:tr2bl w:val="nil"/>
                  </w:tcBorders>
                  <w:noWrap w:val="0"/>
                  <w:vAlign w:val="center"/>
                </w:tcPr>
                <w:p w14:paraId="3FC15852">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炭块粉碎、有机肥（筛分、造粒、灌装）</w:t>
                  </w:r>
                </w:p>
              </w:tc>
              <w:tc>
                <w:tcPr>
                  <w:tcW w:w="346" w:type="pct"/>
                  <w:tcBorders>
                    <w:tl2br w:val="nil"/>
                    <w:tr2bl w:val="nil"/>
                  </w:tcBorders>
                  <w:noWrap w:val="0"/>
                  <w:vAlign w:val="center"/>
                </w:tcPr>
                <w:p w14:paraId="5D932214">
                  <w:pPr>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92" w:type="pct"/>
                  <w:tcBorders>
                    <w:tl2br w:val="nil"/>
                    <w:tr2bl w:val="nil"/>
                  </w:tcBorders>
                  <w:noWrap w:val="0"/>
                  <w:vAlign w:val="center"/>
                </w:tcPr>
                <w:p w14:paraId="0BD343AA">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20000</w:t>
                  </w:r>
                </w:p>
              </w:tc>
              <w:tc>
                <w:tcPr>
                  <w:tcW w:w="347" w:type="pct"/>
                  <w:tcBorders>
                    <w:tl2br w:val="nil"/>
                    <w:tr2bl w:val="nil"/>
                  </w:tcBorders>
                  <w:noWrap w:val="0"/>
                  <w:vAlign w:val="center"/>
                </w:tcPr>
                <w:p w14:paraId="44922A43">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71.85</w:t>
                  </w:r>
                </w:p>
              </w:tc>
              <w:tc>
                <w:tcPr>
                  <w:tcW w:w="363" w:type="pct"/>
                  <w:tcBorders>
                    <w:tl2br w:val="nil"/>
                    <w:tr2bl w:val="nil"/>
                  </w:tcBorders>
                  <w:noWrap w:val="0"/>
                  <w:vAlign w:val="center"/>
                </w:tcPr>
                <w:p w14:paraId="4F6BECC6">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1.437</w:t>
                  </w:r>
                </w:p>
              </w:tc>
              <w:tc>
                <w:tcPr>
                  <w:tcW w:w="385" w:type="pct"/>
                  <w:tcBorders>
                    <w:tl2br w:val="nil"/>
                    <w:tr2bl w:val="nil"/>
                  </w:tcBorders>
                  <w:noWrap w:val="0"/>
                  <w:vAlign w:val="center"/>
                </w:tcPr>
                <w:p w14:paraId="141F280E">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10.349</w:t>
                  </w:r>
                </w:p>
              </w:tc>
              <w:tc>
                <w:tcPr>
                  <w:tcW w:w="413" w:type="pct"/>
                  <w:tcBorders>
                    <w:tl2br w:val="nil"/>
                    <w:tr2bl w:val="nil"/>
                  </w:tcBorders>
                  <w:noWrap w:val="0"/>
                  <w:vAlign w:val="center"/>
                </w:tcPr>
                <w:p w14:paraId="6D9240F6">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集气罩+布袋除尘器（处理效率99%）</w:t>
                  </w:r>
                </w:p>
              </w:tc>
              <w:tc>
                <w:tcPr>
                  <w:tcW w:w="346" w:type="pct"/>
                  <w:tcBorders>
                    <w:tl2br w:val="nil"/>
                    <w:tr2bl w:val="nil"/>
                  </w:tcBorders>
                  <w:noWrap w:val="0"/>
                  <w:vAlign w:val="center"/>
                </w:tcPr>
                <w:p w14:paraId="4786897E">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0.7185</w:t>
                  </w:r>
                </w:p>
              </w:tc>
              <w:tc>
                <w:tcPr>
                  <w:tcW w:w="346" w:type="pct"/>
                  <w:tcBorders>
                    <w:tl2br w:val="nil"/>
                    <w:tr2bl w:val="nil"/>
                  </w:tcBorders>
                  <w:noWrap w:val="0"/>
                  <w:vAlign w:val="center"/>
                </w:tcPr>
                <w:p w14:paraId="5E8767E9">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0.01437</w:t>
                  </w:r>
                </w:p>
              </w:tc>
              <w:tc>
                <w:tcPr>
                  <w:tcW w:w="350" w:type="pct"/>
                  <w:tcBorders>
                    <w:tl2br w:val="nil"/>
                    <w:tr2bl w:val="nil"/>
                  </w:tcBorders>
                  <w:noWrap w:val="0"/>
                  <w:vAlign w:val="center"/>
                </w:tcPr>
                <w:p w14:paraId="3808E09A">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0.10349</w:t>
                  </w:r>
                </w:p>
              </w:tc>
              <w:tc>
                <w:tcPr>
                  <w:tcW w:w="346" w:type="pct"/>
                  <w:vMerge w:val="continue"/>
                  <w:tcBorders>
                    <w:tl2br w:val="nil"/>
                    <w:tr2bl w:val="nil"/>
                  </w:tcBorders>
                  <w:noWrap w:val="0"/>
                  <w:vAlign w:val="center"/>
                </w:tcPr>
                <w:p w14:paraId="253F17DC">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8" w:type="pct"/>
                  <w:tcBorders>
                    <w:tl2br w:val="nil"/>
                    <w:tr2bl w:val="nil"/>
                  </w:tcBorders>
                  <w:noWrap w:val="0"/>
                  <w:vAlign w:val="center"/>
                </w:tcPr>
                <w:p w14:paraId="341DF301">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120</w:t>
                  </w:r>
                </w:p>
              </w:tc>
              <w:tc>
                <w:tcPr>
                  <w:tcW w:w="349" w:type="pct"/>
                  <w:tcBorders>
                    <w:tl2br w:val="nil"/>
                    <w:tr2bl w:val="nil"/>
                  </w:tcBorders>
                  <w:noWrap w:val="0"/>
                  <w:vAlign w:val="center"/>
                </w:tcPr>
                <w:p w14:paraId="232E0DD1">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3.5</w:t>
                  </w:r>
                </w:p>
              </w:tc>
            </w:tr>
            <w:tr w14:paraId="2A845E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212" w:type="pct"/>
                  <w:tcBorders>
                    <w:tl2br w:val="nil"/>
                    <w:tr2bl w:val="nil"/>
                  </w:tcBorders>
                  <w:noWrap w:val="0"/>
                  <w:vAlign w:val="center"/>
                </w:tcPr>
                <w:p w14:paraId="624EA572">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有组织排放G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206" w:type="pct"/>
                  <w:tcBorders>
                    <w:tl2br w:val="nil"/>
                    <w:tr2bl w:val="nil"/>
                  </w:tcBorders>
                  <w:noWrap w:val="0"/>
                  <w:vAlign w:val="center"/>
                </w:tcPr>
                <w:p w14:paraId="3CF606CD">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w:t>
                  </w:r>
                </w:p>
                <w:p w14:paraId="6CA51881">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346" w:type="pct"/>
                  <w:tcBorders>
                    <w:tl2br w:val="nil"/>
                    <w:tr2bl w:val="nil"/>
                  </w:tcBorders>
                  <w:noWrap w:val="0"/>
                  <w:vAlign w:val="center"/>
                </w:tcPr>
                <w:p w14:paraId="4CDEEC3D">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炭化炉秸秆下料</w:t>
                  </w:r>
                </w:p>
              </w:tc>
              <w:tc>
                <w:tcPr>
                  <w:tcW w:w="346" w:type="pct"/>
                  <w:tcBorders>
                    <w:tl2br w:val="nil"/>
                    <w:tr2bl w:val="nil"/>
                  </w:tcBorders>
                  <w:noWrap w:val="0"/>
                  <w:vAlign w:val="center"/>
                </w:tcPr>
                <w:p w14:paraId="0B394531">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92" w:type="pct"/>
                  <w:tcBorders>
                    <w:tl2br w:val="nil"/>
                    <w:tr2bl w:val="nil"/>
                  </w:tcBorders>
                  <w:noWrap w:val="0"/>
                  <w:vAlign w:val="center"/>
                </w:tcPr>
                <w:p w14:paraId="650D82D9">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20000</w:t>
                  </w:r>
                </w:p>
              </w:tc>
              <w:tc>
                <w:tcPr>
                  <w:tcW w:w="347" w:type="pct"/>
                  <w:tcBorders>
                    <w:tl2br w:val="nil"/>
                    <w:tr2bl w:val="nil"/>
                  </w:tcBorders>
                  <w:noWrap w:val="0"/>
                  <w:vAlign w:val="center"/>
                </w:tcPr>
                <w:p w14:paraId="4EDC256D">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60.0222</w:t>
                  </w:r>
                </w:p>
              </w:tc>
              <w:tc>
                <w:tcPr>
                  <w:tcW w:w="363" w:type="pct"/>
                  <w:tcBorders>
                    <w:tl2br w:val="nil"/>
                    <w:tr2bl w:val="nil"/>
                  </w:tcBorders>
                  <w:noWrap w:val="0"/>
                  <w:vAlign w:val="center"/>
                </w:tcPr>
                <w:p w14:paraId="2D7E1964">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1.200444</w:t>
                  </w:r>
                </w:p>
              </w:tc>
              <w:tc>
                <w:tcPr>
                  <w:tcW w:w="385" w:type="pct"/>
                  <w:tcBorders>
                    <w:tl2br w:val="nil"/>
                    <w:tr2bl w:val="nil"/>
                  </w:tcBorders>
                  <w:noWrap w:val="0"/>
                  <w:vAlign w:val="center"/>
                </w:tcPr>
                <w:p w14:paraId="7336E337">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8.6431968</w:t>
                  </w:r>
                </w:p>
              </w:tc>
              <w:tc>
                <w:tcPr>
                  <w:tcW w:w="413" w:type="pct"/>
                  <w:tcBorders>
                    <w:tl2br w:val="nil"/>
                    <w:tr2bl w:val="nil"/>
                  </w:tcBorders>
                  <w:noWrap w:val="0"/>
                  <w:vAlign w:val="center"/>
                </w:tcPr>
                <w:p w14:paraId="7AD9D9CA">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集气罩+布袋除尘器（处理效率99%）</w:t>
                  </w:r>
                </w:p>
              </w:tc>
              <w:tc>
                <w:tcPr>
                  <w:tcW w:w="346" w:type="pct"/>
                  <w:tcBorders>
                    <w:tl2br w:val="nil"/>
                    <w:tr2bl w:val="nil"/>
                  </w:tcBorders>
                  <w:noWrap w:val="0"/>
                  <w:vAlign w:val="center"/>
                </w:tcPr>
                <w:p w14:paraId="4ED4D1B5">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0.600222</w:t>
                  </w:r>
                </w:p>
              </w:tc>
              <w:tc>
                <w:tcPr>
                  <w:tcW w:w="346" w:type="pct"/>
                  <w:tcBorders>
                    <w:tl2br w:val="nil"/>
                    <w:tr2bl w:val="nil"/>
                  </w:tcBorders>
                  <w:noWrap w:val="0"/>
                  <w:vAlign w:val="center"/>
                </w:tcPr>
                <w:p w14:paraId="3DC4EA80">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0.01200444</w:t>
                  </w:r>
                </w:p>
              </w:tc>
              <w:tc>
                <w:tcPr>
                  <w:tcW w:w="350" w:type="pct"/>
                  <w:tcBorders>
                    <w:tl2br w:val="nil"/>
                    <w:tr2bl w:val="nil"/>
                  </w:tcBorders>
                  <w:noWrap w:val="0"/>
                  <w:vAlign w:val="center"/>
                </w:tcPr>
                <w:p w14:paraId="7F366F17">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0.086431968</w:t>
                  </w:r>
                </w:p>
              </w:tc>
              <w:tc>
                <w:tcPr>
                  <w:tcW w:w="346" w:type="pct"/>
                  <w:vMerge w:val="continue"/>
                  <w:tcBorders>
                    <w:tl2br w:val="nil"/>
                    <w:tr2bl w:val="nil"/>
                  </w:tcBorders>
                  <w:noWrap w:val="0"/>
                  <w:vAlign w:val="center"/>
                </w:tcPr>
                <w:p w14:paraId="57391873">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8" w:type="pct"/>
                  <w:tcBorders>
                    <w:tl2br w:val="nil"/>
                    <w:tr2bl w:val="nil"/>
                  </w:tcBorders>
                  <w:noWrap w:val="0"/>
                  <w:vAlign w:val="center"/>
                </w:tcPr>
                <w:p w14:paraId="63DC9533">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120</w:t>
                  </w:r>
                </w:p>
              </w:tc>
              <w:tc>
                <w:tcPr>
                  <w:tcW w:w="349" w:type="pct"/>
                  <w:tcBorders>
                    <w:tl2br w:val="nil"/>
                    <w:tr2bl w:val="nil"/>
                  </w:tcBorders>
                  <w:noWrap w:val="0"/>
                  <w:vAlign w:val="center"/>
                </w:tcPr>
                <w:p w14:paraId="3CD8A1AB">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3.5</w:t>
                  </w:r>
                </w:p>
              </w:tc>
            </w:tr>
            <w:tr w14:paraId="75D730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212" w:type="pct"/>
                  <w:vMerge w:val="restart"/>
                  <w:tcBorders>
                    <w:tl2br w:val="nil"/>
                    <w:tr2bl w:val="nil"/>
                  </w:tcBorders>
                  <w:noWrap w:val="0"/>
                  <w:vAlign w:val="center"/>
                </w:tcPr>
                <w:p w14:paraId="31EB7F09">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有组织排放G</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206" w:type="pct"/>
                  <w:vMerge w:val="restart"/>
                  <w:tcBorders>
                    <w:tl2br w:val="nil"/>
                    <w:tr2bl w:val="nil"/>
                  </w:tcBorders>
                  <w:noWrap w:val="0"/>
                  <w:vAlign w:val="center"/>
                </w:tcPr>
                <w:p w14:paraId="24D42339">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w:t>
                  </w:r>
                </w:p>
                <w:p w14:paraId="03127481">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w:t>
                  </w:r>
                </w:p>
              </w:tc>
              <w:tc>
                <w:tcPr>
                  <w:tcW w:w="346" w:type="pct"/>
                  <w:vMerge w:val="restart"/>
                  <w:tcBorders>
                    <w:tl2br w:val="nil"/>
                    <w:tr2bl w:val="nil"/>
                  </w:tcBorders>
                  <w:noWrap w:val="0"/>
                  <w:vAlign w:val="center"/>
                </w:tcPr>
                <w:p w14:paraId="7E2D88B8">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热风炉</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燃烧工序</w:t>
                  </w:r>
                </w:p>
              </w:tc>
              <w:tc>
                <w:tcPr>
                  <w:tcW w:w="346" w:type="pct"/>
                  <w:tcBorders>
                    <w:tl2br w:val="nil"/>
                    <w:tr2bl w:val="nil"/>
                  </w:tcBorders>
                  <w:noWrap w:val="0"/>
                  <w:vAlign w:val="center"/>
                </w:tcPr>
                <w:p w14:paraId="0B1FCDDE">
                  <w:pPr>
                    <w:keepNext w:val="0"/>
                    <w:keepLines w:val="0"/>
                    <w:widowControl/>
                    <w:suppressLineNumbers w:val="0"/>
                    <w:wordWrap/>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颗粒物</w:t>
                  </w:r>
                </w:p>
              </w:tc>
              <w:tc>
                <w:tcPr>
                  <w:tcW w:w="292" w:type="pct"/>
                  <w:vMerge w:val="restart"/>
                  <w:tcBorders>
                    <w:tl2br w:val="nil"/>
                    <w:tr2bl w:val="nil"/>
                  </w:tcBorders>
                  <w:noWrap w:val="0"/>
                  <w:vAlign w:val="center"/>
                </w:tcPr>
                <w:p w14:paraId="6055E5C8">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511.28</w:t>
                  </w:r>
                </w:p>
              </w:tc>
              <w:tc>
                <w:tcPr>
                  <w:tcW w:w="347" w:type="pct"/>
                  <w:tcBorders>
                    <w:tl2br w:val="nil"/>
                    <w:tr2bl w:val="nil"/>
                  </w:tcBorders>
                  <w:noWrap w:val="0"/>
                  <w:vAlign w:val="center"/>
                </w:tcPr>
                <w:p w14:paraId="0597EF11">
                  <w:pPr>
                    <w:keepNext w:val="0"/>
                    <w:keepLines w:val="0"/>
                    <w:widowControl/>
                    <w:suppressLineNumbers w:val="0"/>
                    <w:jc w:val="cente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151.5</w:t>
                  </w:r>
                </w:p>
              </w:tc>
              <w:tc>
                <w:tcPr>
                  <w:tcW w:w="363" w:type="pct"/>
                  <w:tcBorders>
                    <w:tl2br w:val="nil"/>
                    <w:tr2bl w:val="nil"/>
                  </w:tcBorders>
                  <w:noWrap w:val="0"/>
                  <w:vAlign w:val="center"/>
                </w:tcPr>
                <w:p w14:paraId="023067AD">
                  <w:pPr>
                    <w:keepNext w:val="0"/>
                    <w:keepLines w:val="0"/>
                    <w:widowControl/>
                    <w:suppressLineNumbers w:val="0"/>
                    <w:jc w:val="cente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0.0774</w:t>
                  </w:r>
                </w:p>
              </w:tc>
              <w:tc>
                <w:tcPr>
                  <w:tcW w:w="385" w:type="pct"/>
                  <w:tcBorders>
                    <w:tl2br w:val="nil"/>
                    <w:tr2bl w:val="nil"/>
                  </w:tcBorders>
                  <w:noWrap w:val="0"/>
                  <w:vAlign w:val="center"/>
                </w:tcPr>
                <w:p w14:paraId="48C246E5">
                  <w:pPr>
                    <w:keepNext w:val="0"/>
                    <w:keepLines w:val="0"/>
                    <w:widowControl/>
                    <w:suppressLineNumbers w:val="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0.557</w:t>
                  </w: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6</w:t>
                  </w:r>
                </w:p>
              </w:tc>
              <w:tc>
                <w:tcPr>
                  <w:tcW w:w="413" w:type="pct"/>
                  <w:tcBorders>
                    <w:tl2br w:val="nil"/>
                    <w:tr2bl w:val="nil"/>
                  </w:tcBorders>
                  <w:noWrap w:val="0"/>
                  <w:vAlign w:val="center"/>
                </w:tcPr>
                <w:p w14:paraId="2B99FE9C">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静电式除尘器（去除率 95%）</w:t>
                  </w:r>
                </w:p>
              </w:tc>
              <w:tc>
                <w:tcPr>
                  <w:tcW w:w="346" w:type="pct"/>
                  <w:tcBorders>
                    <w:tl2br w:val="nil"/>
                    <w:tr2bl w:val="nil"/>
                  </w:tcBorders>
                  <w:noWrap w:val="0"/>
                  <w:vAlign w:val="center"/>
                </w:tcPr>
                <w:p w14:paraId="5BC30FA5">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7.58</w:t>
                  </w:r>
                </w:p>
              </w:tc>
              <w:tc>
                <w:tcPr>
                  <w:tcW w:w="346" w:type="pct"/>
                  <w:tcBorders>
                    <w:tl2br w:val="nil"/>
                    <w:tr2bl w:val="nil"/>
                  </w:tcBorders>
                  <w:noWrap w:val="0"/>
                  <w:vAlign w:val="center"/>
                </w:tcPr>
                <w:p w14:paraId="004911D7">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0.00387</w:t>
                  </w:r>
                </w:p>
              </w:tc>
              <w:tc>
                <w:tcPr>
                  <w:tcW w:w="350" w:type="pct"/>
                  <w:tcBorders>
                    <w:tl2br w:val="nil"/>
                    <w:tr2bl w:val="nil"/>
                  </w:tcBorders>
                  <w:noWrap w:val="0"/>
                  <w:vAlign w:val="center"/>
                </w:tcPr>
                <w:p w14:paraId="3B1F63B3">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0.02788</w:t>
                  </w:r>
                </w:p>
              </w:tc>
              <w:tc>
                <w:tcPr>
                  <w:tcW w:w="346" w:type="pct"/>
                  <w:vMerge w:val="continue"/>
                  <w:tcBorders>
                    <w:tl2br w:val="nil"/>
                    <w:tr2bl w:val="nil"/>
                  </w:tcBorders>
                  <w:noWrap w:val="0"/>
                  <w:vAlign w:val="center"/>
                </w:tcPr>
                <w:p w14:paraId="39509BCA">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8" w:type="pct"/>
                  <w:tcBorders>
                    <w:tl2br w:val="nil"/>
                    <w:tr2bl w:val="nil"/>
                  </w:tcBorders>
                  <w:noWrap w:val="0"/>
                  <w:vAlign w:val="center"/>
                </w:tcPr>
                <w:p w14:paraId="331613E3">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30</w:t>
                  </w:r>
                </w:p>
              </w:tc>
              <w:tc>
                <w:tcPr>
                  <w:tcW w:w="349" w:type="pct"/>
                  <w:tcBorders>
                    <w:tl2br w:val="nil"/>
                    <w:tr2bl w:val="nil"/>
                  </w:tcBorders>
                  <w:noWrap w:val="0"/>
                  <w:vAlign w:val="center"/>
                </w:tcPr>
                <w:p w14:paraId="7BDEC71B">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28579E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212" w:type="pct"/>
                  <w:vMerge w:val="continue"/>
                  <w:tcBorders>
                    <w:tl2br w:val="nil"/>
                    <w:tr2bl w:val="nil"/>
                  </w:tcBorders>
                  <w:noWrap w:val="0"/>
                  <w:vAlign w:val="center"/>
                </w:tcPr>
                <w:p w14:paraId="5E9DC927">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06" w:type="pct"/>
                  <w:vMerge w:val="continue"/>
                  <w:tcBorders>
                    <w:tl2br w:val="nil"/>
                    <w:tr2bl w:val="nil"/>
                  </w:tcBorders>
                  <w:noWrap w:val="0"/>
                  <w:vAlign w:val="center"/>
                </w:tcPr>
                <w:p w14:paraId="2D2B421B">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6" w:type="pct"/>
                  <w:vMerge w:val="continue"/>
                  <w:tcBorders>
                    <w:tl2br w:val="nil"/>
                    <w:tr2bl w:val="nil"/>
                  </w:tcBorders>
                  <w:noWrap w:val="0"/>
                  <w:vAlign w:val="center"/>
                </w:tcPr>
                <w:p w14:paraId="34A31C2E">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6" w:type="pct"/>
                  <w:tcBorders>
                    <w:tl2br w:val="nil"/>
                    <w:tr2bl w:val="nil"/>
                  </w:tcBorders>
                  <w:noWrap w:val="0"/>
                  <w:vAlign w:val="center"/>
                </w:tcPr>
                <w:p w14:paraId="12F36692">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二氧</w:t>
                  </w:r>
                </w:p>
                <w:p w14:paraId="3DB15ACD">
                  <w:pPr>
                    <w:keepNext w:val="0"/>
                    <w:keepLines w:val="0"/>
                    <w:widowControl/>
                    <w:suppressLineNumbers w:val="0"/>
                    <w:wordWrap/>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化硫</w:t>
                  </w:r>
                </w:p>
              </w:tc>
              <w:tc>
                <w:tcPr>
                  <w:tcW w:w="292" w:type="pct"/>
                  <w:vMerge w:val="continue"/>
                  <w:tcBorders>
                    <w:tl2br w:val="nil"/>
                    <w:tr2bl w:val="nil"/>
                  </w:tcBorders>
                  <w:noWrap w:val="0"/>
                  <w:vAlign w:val="center"/>
                </w:tcPr>
                <w:p w14:paraId="6CB71181">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7" w:type="pct"/>
                  <w:tcBorders>
                    <w:tl2br w:val="nil"/>
                    <w:tr2bl w:val="nil"/>
                  </w:tcBorders>
                  <w:noWrap w:val="0"/>
                  <w:vAlign w:val="center"/>
                </w:tcPr>
                <w:p w14:paraId="443448CC">
                  <w:pPr>
                    <w:keepNext w:val="0"/>
                    <w:keepLines w:val="0"/>
                    <w:widowControl/>
                    <w:suppressLineNumbers w:val="0"/>
                    <w:jc w:val="cente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11.47</w:t>
                  </w:r>
                </w:p>
              </w:tc>
              <w:tc>
                <w:tcPr>
                  <w:tcW w:w="363" w:type="pct"/>
                  <w:tcBorders>
                    <w:tl2br w:val="nil"/>
                    <w:tr2bl w:val="nil"/>
                  </w:tcBorders>
                  <w:noWrap w:val="0"/>
                  <w:vAlign w:val="center"/>
                </w:tcPr>
                <w:p w14:paraId="2A118337">
                  <w:pPr>
                    <w:keepNext w:val="0"/>
                    <w:keepLines w:val="0"/>
                    <w:widowControl/>
                    <w:suppressLineNumbers w:val="0"/>
                    <w:jc w:val="cente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0.00587</w:t>
                  </w:r>
                </w:p>
              </w:tc>
              <w:tc>
                <w:tcPr>
                  <w:tcW w:w="385" w:type="pct"/>
                  <w:tcBorders>
                    <w:tl2br w:val="nil"/>
                    <w:tr2bl w:val="nil"/>
                  </w:tcBorders>
                  <w:noWrap w:val="0"/>
                  <w:vAlign w:val="center"/>
                </w:tcPr>
                <w:p w14:paraId="07853804">
                  <w:pPr>
                    <w:keepNext w:val="0"/>
                    <w:keepLines w:val="0"/>
                    <w:widowControl/>
                    <w:suppressLineNumbers w:val="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0.042238</w:t>
                  </w:r>
                </w:p>
              </w:tc>
              <w:tc>
                <w:tcPr>
                  <w:tcW w:w="413" w:type="pct"/>
                  <w:tcBorders>
                    <w:tl2br w:val="nil"/>
                    <w:tr2bl w:val="nil"/>
                  </w:tcBorders>
                  <w:noWrap w:val="0"/>
                  <w:vAlign w:val="center"/>
                </w:tcPr>
                <w:p w14:paraId="3189228F">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无</w:t>
                  </w:r>
                </w:p>
              </w:tc>
              <w:tc>
                <w:tcPr>
                  <w:tcW w:w="346" w:type="pct"/>
                  <w:tcBorders>
                    <w:tl2br w:val="nil"/>
                    <w:tr2bl w:val="nil"/>
                  </w:tcBorders>
                  <w:noWrap w:val="0"/>
                  <w:vAlign w:val="center"/>
                </w:tcPr>
                <w:p w14:paraId="60775615">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11.47</w:t>
                  </w:r>
                </w:p>
              </w:tc>
              <w:tc>
                <w:tcPr>
                  <w:tcW w:w="346" w:type="pct"/>
                  <w:tcBorders>
                    <w:tl2br w:val="nil"/>
                    <w:tr2bl w:val="nil"/>
                  </w:tcBorders>
                  <w:noWrap w:val="0"/>
                  <w:vAlign w:val="center"/>
                </w:tcPr>
                <w:p w14:paraId="67EFA83A">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0.00587</w:t>
                  </w:r>
                </w:p>
              </w:tc>
              <w:tc>
                <w:tcPr>
                  <w:tcW w:w="350" w:type="pct"/>
                  <w:tcBorders>
                    <w:tl2br w:val="nil"/>
                    <w:tr2bl w:val="nil"/>
                  </w:tcBorders>
                  <w:noWrap w:val="0"/>
                  <w:vAlign w:val="center"/>
                </w:tcPr>
                <w:p w14:paraId="184B4ECF">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0.042238</w:t>
                  </w:r>
                </w:p>
              </w:tc>
              <w:tc>
                <w:tcPr>
                  <w:tcW w:w="346" w:type="pct"/>
                  <w:vMerge w:val="continue"/>
                  <w:tcBorders>
                    <w:tl2br w:val="nil"/>
                    <w:tr2bl w:val="nil"/>
                  </w:tcBorders>
                  <w:noWrap w:val="0"/>
                  <w:vAlign w:val="center"/>
                </w:tcPr>
                <w:p w14:paraId="5065B7D7">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8" w:type="pct"/>
                  <w:tcBorders>
                    <w:tl2br w:val="nil"/>
                    <w:tr2bl w:val="nil"/>
                  </w:tcBorders>
                  <w:noWrap w:val="0"/>
                  <w:vAlign w:val="center"/>
                </w:tcPr>
                <w:p w14:paraId="17B7DD6C">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200</w:t>
                  </w:r>
                </w:p>
              </w:tc>
              <w:tc>
                <w:tcPr>
                  <w:tcW w:w="349" w:type="pct"/>
                  <w:tcBorders>
                    <w:tl2br w:val="nil"/>
                    <w:tr2bl w:val="nil"/>
                  </w:tcBorders>
                  <w:noWrap w:val="0"/>
                  <w:vAlign w:val="center"/>
                </w:tcPr>
                <w:p w14:paraId="3311A9F3">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5193B5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212" w:type="pct"/>
                  <w:vMerge w:val="continue"/>
                  <w:tcBorders>
                    <w:tl2br w:val="nil"/>
                    <w:tr2bl w:val="nil"/>
                  </w:tcBorders>
                  <w:noWrap w:val="0"/>
                  <w:vAlign w:val="center"/>
                </w:tcPr>
                <w:p w14:paraId="74D7D8DA">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06" w:type="pct"/>
                  <w:vMerge w:val="continue"/>
                  <w:tcBorders>
                    <w:tl2br w:val="nil"/>
                    <w:tr2bl w:val="nil"/>
                  </w:tcBorders>
                  <w:noWrap w:val="0"/>
                  <w:vAlign w:val="center"/>
                </w:tcPr>
                <w:p w14:paraId="00896338">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6" w:type="pct"/>
                  <w:vMerge w:val="continue"/>
                  <w:tcBorders>
                    <w:tl2br w:val="nil"/>
                    <w:tr2bl w:val="nil"/>
                  </w:tcBorders>
                  <w:noWrap w:val="0"/>
                  <w:vAlign w:val="center"/>
                </w:tcPr>
                <w:p w14:paraId="097CB629">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6" w:type="pct"/>
                  <w:tcBorders>
                    <w:tl2br w:val="nil"/>
                    <w:tr2bl w:val="nil"/>
                  </w:tcBorders>
                  <w:noWrap w:val="0"/>
                  <w:vAlign w:val="center"/>
                </w:tcPr>
                <w:p w14:paraId="308D8440">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氮氧</w:t>
                  </w:r>
                </w:p>
                <w:p w14:paraId="6F3C1F53">
                  <w:pPr>
                    <w:keepNext w:val="0"/>
                    <w:keepLines w:val="0"/>
                    <w:widowControl/>
                    <w:suppressLineNumbers w:val="0"/>
                    <w:wordWrap/>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化物</w:t>
                  </w:r>
                </w:p>
              </w:tc>
              <w:tc>
                <w:tcPr>
                  <w:tcW w:w="292" w:type="pct"/>
                  <w:vMerge w:val="continue"/>
                  <w:tcBorders>
                    <w:tl2br w:val="nil"/>
                    <w:tr2bl w:val="nil"/>
                  </w:tcBorders>
                  <w:noWrap w:val="0"/>
                  <w:vAlign w:val="center"/>
                </w:tcPr>
                <w:p w14:paraId="0F3477FD">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7" w:type="pct"/>
                  <w:tcBorders>
                    <w:tl2br w:val="nil"/>
                    <w:tr2bl w:val="nil"/>
                  </w:tcBorders>
                  <w:noWrap w:val="0"/>
                  <w:vAlign w:val="center"/>
                </w:tcPr>
                <w:p w14:paraId="5BC4D0F9">
                  <w:pPr>
                    <w:keepNext w:val="0"/>
                    <w:keepLines w:val="0"/>
                    <w:widowControl/>
                    <w:suppressLineNumbers w:val="0"/>
                    <w:jc w:val="center"/>
                    <w:textAlignment w:val="center"/>
                    <w:rPr>
                      <w:rFonts w:hint="default" w:cs="Times New Roman"/>
                      <w:bCs/>
                      <w:color w:val="000000" w:themeColor="text1"/>
                      <w:kern w:val="2"/>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14:textFill>
                        <w14:solidFill>
                          <w14:schemeClr w14:val="tx1"/>
                        </w14:solidFill>
                      </w14:textFill>
                    </w:rPr>
                    <w:t>54.28</w:t>
                  </w:r>
                </w:p>
              </w:tc>
              <w:tc>
                <w:tcPr>
                  <w:tcW w:w="363" w:type="pct"/>
                  <w:tcBorders>
                    <w:tl2br w:val="nil"/>
                    <w:tr2bl w:val="nil"/>
                  </w:tcBorders>
                  <w:noWrap w:val="0"/>
                  <w:vAlign w:val="center"/>
                </w:tcPr>
                <w:p w14:paraId="1401E721">
                  <w:pPr>
                    <w:keepNext w:val="0"/>
                    <w:keepLines w:val="0"/>
                    <w:widowControl/>
                    <w:suppressLineNumbers w:val="0"/>
                    <w:jc w:val="center"/>
                    <w:textAlignment w:val="center"/>
                    <w:rPr>
                      <w:rFonts w:hint="default" w:cs="Times New Roman"/>
                      <w:bCs/>
                      <w:color w:val="000000" w:themeColor="text1"/>
                      <w:kern w:val="2"/>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14:textFill>
                        <w14:solidFill>
                          <w14:schemeClr w14:val="tx1"/>
                        </w14:solidFill>
                      </w14:textFill>
                    </w:rPr>
                    <w:t>0.02775</w:t>
                  </w:r>
                </w:p>
              </w:tc>
              <w:tc>
                <w:tcPr>
                  <w:tcW w:w="385" w:type="pct"/>
                  <w:tcBorders>
                    <w:tl2br w:val="nil"/>
                    <w:tr2bl w:val="nil"/>
                  </w:tcBorders>
                  <w:noWrap w:val="0"/>
                  <w:vAlign w:val="center"/>
                </w:tcPr>
                <w:p w14:paraId="1C918A93">
                  <w:pPr>
                    <w:keepNext w:val="0"/>
                    <w:keepLines w:val="0"/>
                    <w:widowControl/>
                    <w:suppressLineNumbers w:val="0"/>
                    <w:jc w:val="center"/>
                    <w:textAlignment w:val="center"/>
                    <w:rPr>
                      <w:rFonts w:hint="default" w:cs="Times New Roman"/>
                      <w:bCs/>
                      <w:color w:val="000000" w:themeColor="text1"/>
                      <w:kern w:val="2"/>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14:textFill>
                        <w14:solidFill>
                          <w14:schemeClr w14:val="tx1"/>
                        </w14:solidFill>
                      </w14:textFill>
                    </w:rPr>
                    <w:t>0.1998038</w:t>
                  </w:r>
                </w:p>
              </w:tc>
              <w:tc>
                <w:tcPr>
                  <w:tcW w:w="413" w:type="pct"/>
                  <w:tcBorders>
                    <w:tl2br w:val="nil"/>
                    <w:tr2bl w:val="nil"/>
                  </w:tcBorders>
                  <w:noWrap w:val="0"/>
                  <w:vAlign w:val="center"/>
                </w:tcPr>
                <w:p w14:paraId="14BC5802">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无</w:t>
                  </w:r>
                </w:p>
              </w:tc>
              <w:tc>
                <w:tcPr>
                  <w:tcW w:w="346" w:type="pct"/>
                  <w:tcBorders>
                    <w:tl2br w:val="nil"/>
                    <w:tr2bl w:val="nil"/>
                  </w:tcBorders>
                  <w:noWrap w:val="0"/>
                  <w:vAlign w:val="center"/>
                </w:tcPr>
                <w:p w14:paraId="3E6D07BD">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54.28</w:t>
                  </w:r>
                </w:p>
              </w:tc>
              <w:tc>
                <w:tcPr>
                  <w:tcW w:w="346" w:type="pct"/>
                  <w:tcBorders>
                    <w:tl2br w:val="nil"/>
                    <w:tr2bl w:val="nil"/>
                  </w:tcBorders>
                  <w:noWrap w:val="0"/>
                  <w:vAlign w:val="center"/>
                </w:tcPr>
                <w:p w14:paraId="36EE763C">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0.02775</w:t>
                  </w:r>
                </w:p>
              </w:tc>
              <w:tc>
                <w:tcPr>
                  <w:tcW w:w="350" w:type="pct"/>
                  <w:tcBorders>
                    <w:tl2br w:val="nil"/>
                    <w:tr2bl w:val="nil"/>
                  </w:tcBorders>
                  <w:noWrap w:val="0"/>
                  <w:vAlign w:val="center"/>
                </w:tcPr>
                <w:p w14:paraId="49F94C9D">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0.1998038</w:t>
                  </w:r>
                </w:p>
              </w:tc>
              <w:tc>
                <w:tcPr>
                  <w:tcW w:w="346" w:type="pct"/>
                  <w:vMerge w:val="continue"/>
                  <w:tcBorders>
                    <w:tl2br w:val="nil"/>
                    <w:tr2bl w:val="nil"/>
                  </w:tcBorders>
                  <w:noWrap w:val="0"/>
                  <w:vAlign w:val="center"/>
                </w:tcPr>
                <w:p w14:paraId="2AF68FFE">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8" w:type="pct"/>
                  <w:tcBorders>
                    <w:tl2br w:val="nil"/>
                    <w:tr2bl w:val="nil"/>
                  </w:tcBorders>
                  <w:noWrap w:val="0"/>
                  <w:vAlign w:val="center"/>
                </w:tcPr>
                <w:p w14:paraId="36B634F1">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300</w:t>
                  </w:r>
                </w:p>
              </w:tc>
              <w:tc>
                <w:tcPr>
                  <w:tcW w:w="349" w:type="pct"/>
                  <w:tcBorders>
                    <w:tl2br w:val="nil"/>
                    <w:tr2bl w:val="nil"/>
                  </w:tcBorders>
                  <w:noWrap w:val="0"/>
                  <w:vAlign w:val="center"/>
                </w:tcPr>
                <w:p w14:paraId="0FD1F371">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78B801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24" w:hRule="atLeast"/>
                <w:jc w:val="center"/>
              </w:trPr>
              <w:tc>
                <w:tcPr>
                  <w:tcW w:w="212" w:type="pct"/>
                  <w:tcBorders>
                    <w:tl2br w:val="nil"/>
                    <w:tr2bl w:val="nil"/>
                  </w:tcBorders>
                  <w:noWrap w:val="0"/>
                  <w:vAlign w:val="center"/>
                </w:tcPr>
                <w:p w14:paraId="121BAA6E">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p>
                <w:p w14:paraId="51105AED">
                  <w:pPr>
                    <w:rPr>
                      <w:rFonts w:hint="default"/>
                      <w:color w:val="000000" w:themeColor="text1"/>
                      <w14:textFill>
                        <w14:solidFill>
                          <w14:schemeClr w14:val="tx1"/>
                        </w14:solidFill>
                      </w14:textFill>
                    </w:rPr>
                  </w:pPr>
                </w:p>
                <w:p w14:paraId="4CC2E5ED">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无组织排放</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G2、G6、G7、G8、G9、G3、G11、G12</w:t>
                  </w:r>
                </w:p>
              </w:tc>
              <w:tc>
                <w:tcPr>
                  <w:tcW w:w="206" w:type="pct"/>
                  <w:tcBorders>
                    <w:tl2br w:val="nil"/>
                    <w:tr2bl w:val="nil"/>
                  </w:tcBorders>
                  <w:noWrap w:val="0"/>
                  <w:vAlign w:val="center"/>
                </w:tcPr>
                <w:p w14:paraId="44A96E49">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346" w:type="pct"/>
                  <w:tcBorders>
                    <w:tl2br w:val="nil"/>
                    <w:tr2bl w:val="nil"/>
                  </w:tcBorders>
                  <w:noWrap w:val="0"/>
                  <w:vAlign w:val="center"/>
                </w:tcPr>
                <w:p w14:paraId="2BF2CB4F">
                  <w:pPr>
                    <w:pStyle w:val="72"/>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氢氧化钙烘干逸散的颗粒物；生石灰（氧化钙）包装和装运逸散的颗粒物；炭化车间及固体肥车间等未收集到的逸散的</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346" w:type="pct"/>
                  <w:tcBorders>
                    <w:tl2br w:val="nil"/>
                    <w:tr2bl w:val="nil"/>
                  </w:tcBorders>
                  <w:noWrap w:val="0"/>
                  <w:vAlign w:val="center"/>
                </w:tcPr>
                <w:p w14:paraId="51F85C62">
                  <w:pPr>
                    <w:adjustRightInd w:val="0"/>
                    <w:snapToGrid w:val="0"/>
                    <w:jc w:val="cente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颗粒物</w:t>
                  </w:r>
                </w:p>
              </w:tc>
              <w:tc>
                <w:tcPr>
                  <w:tcW w:w="292" w:type="pct"/>
                  <w:tcBorders>
                    <w:tl2br w:val="nil"/>
                    <w:tr2bl w:val="nil"/>
                  </w:tcBorders>
                  <w:noWrap w:val="0"/>
                  <w:vAlign w:val="center"/>
                </w:tcPr>
                <w:p w14:paraId="395CF984">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7" w:type="pct"/>
                  <w:tcBorders>
                    <w:tl2br w:val="nil"/>
                    <w:tr2bl w:val="nil"/>
                  </w:tcBorders>
                  <w:noWrap w:val="0"/>
                  <w:vAlign w:val="center"/>
                </w:tcPr>
                <w:p w14:paraId="0442E6A2">
                  <w:pPr>
                    <w:pStyle w:val="72"/>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t>-</w:t>
                  </w:r>
                </w:p>
              </w:tc>
              <w:tc>
                <w:tcPr>
                  <w:tcW w:w="363" w:type="pct"/>
                  <w:tcBorders>
                    <w:tl2br w:val="nil"/>
                    <w:tr2bl w:val="nil"/>
                  </w:tcBorders>
                  <w:noWrap w:val="0"/>
                  <w:vAlign w:val="center"/>
                </w:tcPr>
                <w:p w14:paraId="6CC298EE">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0.3442</w:t>
                  </w:r>
                </w:p>
              </w:tc>
              <w:tc>
                <w:tcPr>
                  <w:tcW w:w="385" w:type="pct"/>
                  <w:tcBorders>
                    <w:tl2br w:val="nil"/>
                    <w:tr2bl w:val="nil"/>
                  </w:tcBorders>
                  <w:noWrap w:val="0"/>
                  <w:vAlign w:val="center"/>
                </w:tcPr>
                <w:p w14:paraId="19353189">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2.4785206</w:t>
                  </w:r>
                </w:p>
              </w:tc>
              <w:tc>
                <w:tcPr>
                  <w:tcW w:w="413" w:type="pct"/>
                  <w:vMerge w:val="restart"/>
                  <w:tcBorders>
                    <w:tl2br w:val="nil"/>
                    <w:tr2bl w:val="nil"/>
                  </w:tcBorders>
                  <w:noWrap w:val="0"/>
                  <w:vAlign w:val="center"/>
                </w:tcPr>
                <w:p w14:paraId="55389031">
                  <w:pPr>
                    <w:keepNext w:val="0"/>
                    <w:keepLines w:val="0"/>
                    <w:widowControl/>
                    <w:suppressLineNumbers w:val="0"/>
                    <w:jc w:val="cente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加强通风</w:t>
                  </w:r>
                </w:p>
              </w:tc>
              <w:tc>
                <w:tcPr>
                  <w:tcW w:w="346" w:type="pct"/>
                  <w:tcBorders>
                    <w:tl2br w:val="nil"/>
                    <w:tr2bl w:val="nil"/>
                  </w:tcBorders>
                  <w:noWrap w:val="0"/>
                  <w:vAlign w:val="center"/>
                </w:tcPr>
                <w:p w14:paraId="0CC666FE">
                  <w:pPr>
                    <w:keepNext w:val="0"/>
                    <w:keepLines w:val="0"/>
                    <w:widowControl/>
                    <w:suppressLineNumbers w:val="0"/>
                    <w:jc w:val="cente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w:t>
                  </w:r>
                </w:p>
              </w:tc>
              <w:tc>
                <w:tcPr>
                  <w:tcW w:w="346" w:type="pct"/>
                  <w:tcBorders>
                    <w:tl2br w:val="nil"/>
                    <w:tr2bl w:val="nil"/>
                  </w:tcBorders>
                  <w:noWrap w:val="0"/>
                  <w:vAlign w:val="center"/>
                </w:tcPr>
                <w:p w14:paraId="75A3EF5E">
                  <w:pPr>
                    <w:keepNext w:val="0"/>
                    <w:keepLines w:val="0"/>
                    <w:widowControl/>
                    <w:suppressLineNumbers w:val="0"/>
                    <w:jc w:val="cente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0.3442</w:t>
                  </w:r>
                </w:p>
              </w:tc>
              <w:tc>
                <w:tcPr>
                  <w:tcW w:w="350" w:type="pct"/>
                  <w:tcBorders>
                    <w:tl2br w:val="nil"/>
                    <w:tr2bl w:val="nil"/>
                  </w:tcBorders>
                  <w:noWrap w:val="0"/>
                  <w:vAlign w:val="center"/>
                </w:tcPr>
                <w:p w14:paraId="51D6A577">
                  <w:pPr>
                    <w:keepNext w:val="0"/>
                    <w:keepLines w:val="0"/>
                    <w:widowControl/>
                    <w:suppressLineNumbers w:val="0"/>
                    <w:jc w:val="cente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vertAlign w:val="baseline"/>
                      <w:lang w:val="en-US" w:eastAsia="zh-CN" w:bidi="ar"/>
                      <w14:textFill>
                        <w14:solidFill>
                          <w14:schemeClr w14:val="tx1"/>
                        </w14:solidFill>
                      </w14:textFill>
                    </w:rPr>
                    <w:t>2.4785206</w:t>
                  </w:r>
                </w:p>
              </w:tc>
              <w:tc>
                <w:tcPr>
                  <w:tcW w:w="346" w:type="pct"/>
                  <w:vMerge w:val="continue"/>
                  <w:tcBorders>
                    <w:tl2br w:val="nil"/>
                    <w:tr2bl w:val="nil"/>
                  </w:tcBorders>
                  <w:noWrap w:val="0"/>
                  <w:vAlign w:val="center"/>
                </w:tcPr>
                <w:p w14:paraId="3B3FB7CB">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48" w:type="pct"/>
                  <w:tcBorders>
                    <w:tl2br w:val="nil"/>
                    <w:tr2bl w:val="nil"/>
                  </w:tcBorders>
                  <w:noWrap w:val="0"/>
                  <w:vAlign w:val="center"/>
                </w:tcPr>
                <w:p w14:paraId="578893D3">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c>
                <w:tcPr>
                  <w:tcW w:w="349" w:type="pct"/>
                  <w:tcBorders>
                    <w:tl2br w:val="nil"/>
                    <w:tr2bl w:val="nil"/>
                  </w:tcBorders>
                  <w:noWrap w:val="0"/>
                  <w:vAlign w:val="center"/>
                </w:tcPr>
                <w:p w14:paraId="655ACEFD">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55FBA2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2" w:type="pct"/>
                  <w:tcBorders>
                    <w:tl2br w:val="nil"/>
                    <w:tr2bl w:val="nil"/>
                  </w:tcBorders>
                  <w:noWrap w:val="0"/>
                  <w:vAlign w:val="center"/>
                </w:tcPr>
                <w:p w14:paraId="449D5A36">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无组织排放G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w:t>
                  </w:r>
                </w:p>
              </w:tc>
              <w:tc>
                <w:tcPr>
                  <w:tcW w:w="206" w:type="pct"/>
                  <w:tcBorders>
                    <w:tl2br w:val="nil"/>
                    <w:tr2bl w:val="nil"/>
                  </w:tcBorders>
                  <w:noWrap w:val="0"/>
                  <w:vAlign w:val="center"/>
                </w:tcPr>
                <w:p w14:paraId="13D73CD9">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346" w:type="pct"/>
                  <w:tcBorders>
                    <w:tl2br w:val="nil"/>
                    <w:tr2bl w:val="nil"/>
                  </w:tcBorders>
                  <w:noWrap w:val="0"/>
                  <w:vAlign w:val="center"/>
                </w:tcPr>
                <w:p w14:paraId="373F6568">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炭化炉炭化逸散废气</w:t>
                  </w:r>
                </w:p>
              </w:tc>
              <w:tc>
                <w:tcPr>
                  <w:tcW w:w="346" w:type="pct"/>
                  <w:tcBorders>
                    <w:tl2br w:val="nil"/>
                    <w:tr2bl w:val="nil"/>
                  </w:tcBorders>
                  <w:noWrap w:val="0"/>
                  <w:vAlign w:val="center"/>
                </w:tcPr>
                <w:p w14:paraId="52D0BEA0">
                  <w:pPr>
                    <w:adjustRightInd w:val="0"/>
                    <w:snapToGrid w:val="0"/>
                    <w:jc w:val="cente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t>非甲烷总烃</w:t>
                  </w:r>
                </w:p>
              </w:tc>
              <w:tc>
                <w:tcPr>
                  <w:tcW w:w="292" w:type="pct"/>
                  <w:tcBorders>
                    <w:tl2br w:val="nil"/>
                    <w:tr2bl w:val="nil"/>
                  </w:tcBorders>
                  <w:noWrap w:val="0"/>
                  <w:vAlign w:val="center"/>
                </w:tcPr>
                <w:p w14:paraId="60CDA53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7" w:type="pct"/>
                  <w:tcBorders>
                    <w:tl2br w:val="nil"/>
                    <w:tr2bl w:val="nil"/>
                  </w:tcBorders>
                  <w:noWrap w:val="0"/>
                  <w:vAlign w:val="center"/>
                </w:tcPr>
                <w:p w14:paraId="49DAB9C4">
                  <w:pPr>
                    <w:pStyle w:val="72"/>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t>-</w:t>
                  </w:r>
                </w:p>
              </w:tc>
              <w:tc>
                <w:tcPr>
                  <w:tcW w:w="363" w:type="pct"/>
                  <w:tcBorders>
                    <w:tl2br w:val="nil"/>
                    <w:tr2bl w:val="nil"/>
                  </w:tcBorders>
                  <w:noWrap w:val="0"/>
                  <w:vAlign w:val="center"/>
                </w:tcPr>
                <w:p w14:paraId="4DDD031B">
                  <w:pPr>
                    <w:pStyle w:val="72"/>
                    <w:rPr>
                      <w:rFonts w:hint="default"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0.058</w:t>
                  </w:r>
                </w:p>
              </w:tc>
              <w:tc>
                <w:tcPr>
                  <w:tcW w:w="385" w:type="pct"/>
                  <w:tcBorders>
                    <w:tl2br w:val="nil"/>
                    <w:tr2bl w:val="nil"/>
                  </w:tcBorders>
                  <w:noWrap w:val="0"/>
                  <w:vAlign w:val="center"/>
                </w:tcPr>
                <w:p w14:paraId="28A26607">
                  <w:pPr>
                    <w:pStyle w:val="72"/>
                    <w:rPr>
                      <w:rFonts w:hint="default"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0.42</w:t>
                  </w:r>
                </w:p>
              </w:tc>
              <w:tc>
                <w:tcPr>
                  <w:tcW w:w="413" w:type="pct"/>
                  <w:vMerge w:val="continue"/>
                  <w:tcBorders>
                    <w:tl2br w:val="nil"/>
                    <w:tr2bl w:val="nil"/>
                  </w:tcBorders>
                  <w:noWrap w:val="0"/>
                  <w:vAlign w:val="center"/>
                </w:tcPr>
                <w:p w14:paraId="3EC190ED">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6" w:type="pct"/>
                  <w:tcBorders>
                    <w:tl2br w:val="nil"/>
                    <w:tr2bl w:val="nil"/>
                  </w:tcBorders>
                  <w:noWrap w:val="0"/>
                  <w:vAlign w:val="center"/>
                </w:tcPr>
                <w:p w14:paraId="2F8AB594">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6" w:type="pct"/>
                  <w:tcBorders>
                    <w:tl2br w:val="nil"/>
                    <w:tr2bl w:val="nil"/>
                  </w:tcBorders>
                  <w:noWrap w:val="0"/>
                  <w:vAlign w:val="center"/>
                </w:tcPr>
                <w:p w14:paraId="36A9E07F">
                  <w:pPr>
                    <w:pStyle w:val="72"/>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0.058</w:t>
                  </w:r>
                </w:p>
              </w:tc>
              <w:tc>
                <w:tcPr>
                  <w:tcW w:w="350" w:type="pct"/>
                  <w:tcBorders>
                    <w:tl2br w:val="nil"/>
                    <w:tr2bl w:val="nil"/>
                  </w:tcBorders>
                  <w:noWrap w:val="0"/>
                  <w:vAlign w:val="center"/>
                </w:tcPr>
                <w:p w14:paraId="12EBD385">
                  <w:pPr>
                    <w:pStyle w:val="72"/>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0.42</w:t>
                  </w:r>
                </w:p>
              </w:tc>
              <w:tc>
                <w:tcPr>
                  <w:tcW w:w="346" w:type="pct"/>
                  <w:vMerge w:val="continue"/>
                  <w:tcBorders>
                    <w:tl2br w:val="nil"/>
                    <w:tr2bl w:val="nil"/>
                  </w:tcBorders>
                  <w:noWrap w:val="0"/>
                  <w:vAlign w:val="center"/>
                </w:tcPr>
                <w:p w14:paraId="4E6FEC1E">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48" w:type="pct"/>
                  <w:tcBorders>
                    <w:tl2br w:val="nil"/>
                    <w:tr2bl w:val="nil"/>
                  </w:tcBorders>
                  <w:noWrap w:val="0"/>
                  <w:vAlign w:val="center"/>
                </w:tcPr>
                <w:p w14:paraId="1C423880">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4.0</w:t>
                  </w:r>
                </w:p>
              </w:tc>
              <w:tc>
                <w:tcPr>
                  <w:tcW w:w="349" w:type="pct"/>
                  <w:tcBorders>
                    <w:tl2br w:val="nil"/>
                    <w:tr2bl w:val="nil"/>
                  </w:tcBorders>
                  <w:noWrap w:val="0"/>
                  <w:vAlign w:val="center"/>
                </w:tcPr>
                <w:p w14:paraId="03E1FB83">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65C062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2" w:type="pct"/>
                  <w:tcBorders>
                    <w:tl2br w:val="nil"/>
                    <w:tr2bl w:val="nil"/>
                  </w:tcBorders>
                  <w:noWrap w:val="0"/>
                  <w:vAlign w:val="center"/>
                </w:tcPr>
                <w:p w14:paraId="15802359">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无组织排放</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G5</w:t>
                  </w:r>
                </w:p>
              </w:tc>
              <w:tc>
                <w:tcPr>
                  <w:tcW w:w="206" w:type="pct"/>
                  <w:tcBorders>
                    <w:tl2br w:val="nil"/>
                    <w:tr2bl w:val="nil"/>
                  </w:tcBorders>
                  <w:noWrap w:val="0"/>
                  <w:vAlign w:val="center"/>
                </w:tcPr>
                <w:p w14:paraId="6B0BF8AA">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346" w:type="pct"/>
                  <w:tcBorders>
                    <w:tl2br w:val="nil"/>
                    <w:tr2bl w:val="nil"/>
                  </w:tcBorders>
                  <w:noWrap w:val="0"/>
                  <w:vAlign w:val="center"/>
                </w:tcPr>
                <w:p w14:paraId="49D2DF67">
                  <w:pPr>
                    <w:pStyle w:val="72"/>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木焦油</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蒸馏、</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分装</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逸散废气</w:t>
                  </w:r>
                </w:p>
              </w:tc>
              <w:tc>
                <w:tcPr>
                  <w:tcW w:w="346" w:type="pct"/>
                  <w:tcBorders>
                    <w:tl2br w:val="nil"/>
                    <w:tr2bl w:val="nil"/>
                  </w:tcBorders>
                  <w:noWrap w:val="0"/>
                  <w:vAlign w:val="center"/>
                </w:tcPr>
                <w:p w14:paraId="20EB6C77">
                  <w:pPr>
                    <w:adjustRightInd w:val="0"/>
                    <w:snapToGrid w:val="0"/>
                    <w:jc w:val="cente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t>非甲烷总烃</w:t>
                  </w:r>
                </w:p>
              </w:tc>
              <w:tc>
                <w:tcPr>
                  <w:tcW w:w="292" w:type="pct"/>
                  <w:tcBorders>
                    <w:tl2br w:val="nil"/>
                    <w:tr2bl w:val="nil"/>
                  </w:tcBorders>
                  <w:noWrap w:val="0"/>
                  <w:vAlign w:val="center"/>
                </w:tcPr>
                <w:p w14:paraId="00CA2D0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7" w:type="pct"/>
                  <w:tcBorders>
                    <w:tl2br w:val="nil"/>
                    <w:tr2bl w:val="nil"/>
                  </w:tcBorders>
                  <w:noWrap w:val="0"/>
                  <w:vAlign w:val="center"/>
                </w:tcPr>
                <w:p w14:paraId="2C2D58EB">
                  <w:pPr>
                    <w:pStyle w:val="72"/>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t>-</w:t>
                  </w:r>
                </w:p>
              </w:tc>
              <w:tc>
                <w:tcPr>
                  <w:tcW w:w="363" w:type="pct"/>
                  <w:tcBorders>
                    <w:tl2br w:val="nil"/>
                    <w:tr2bl w:val="nil"/>
                  </w:tcBorders>
                  <w:noWrap w:val="0"/>
                  <w:vAlign w:val="center"/>
                </w:tcPr>
                <w:p w14:paraId="33973066">
                  <w:pPr>
                    <w:pStyle w:val="72"/>
                    <w:rPr>
                      <w:rFonts w:hint="default"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0.12</w:t>
                  </w:r>
                </w:p>
              </w:tc>
              <w:tc>
                <w:tcPr>
                  <w:tcW w:w="385" w:type="pct"/>
                  <w:tcBorders>
                    <w:tl2br w:val="nil"/>
                    <w:tr2bl w:val="nil"/>
                  </w:tcBorders>
                  <w:noWrap w:val="0"/>
                  <w:vAlign w:val="center"/>
                </w:tcPr>
                <w:p w14:paraId="0B7F606A">
                  <w:pPr>
                    <w:pStyle w:val="72"/>
                    <w:rPr>
                      <w:rFonts w:hint="default"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0.15</w:t>
                  </w:r>
                </w:p>
              </w:tc>
              <w:tc>
                <w:tcPr>
                  <w:tcW w:w="413" w:type="pct"/>
                  <w:vMerge w:val="continue"/>
                  <w:tcBorders>
                    <w:tl2br w:val="nil"/>
                    <w:tr2bl w:val="nil"/>
                  </w:tcBorders>
                  <w:noWrap w:val="0"/>
                  <w:vAlign w:val="center"/>
                </w:tcPr>
                <w:p w14:paraId="33177195">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6" w:type="pct"/>
                  <w:tcBorders>
                    <w:tl2br w:val="nil"/>
                    <w:tr2bl w:val="nil"/>
                  </w:tcBorders>
                  <w:noWrap w:val="0"/>
                  <w:vAlign w:val="center"/>
                </w:tcPr>
                <w:p w14:paraId="129224A1">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6" w:type="pct"/>
                  <w:tcBorders>
                    <w:tl2br w:val="nil"/>
                    <w:tr2bl w:val="nil"/>
                  </w:tcBorders>
                  <w:noWrap w:val="0"/>
                  <w:vAlign w:val="center"/>
                </w:tcPr>
                <w:p w14:paraId="72AA1B6C">
                  <w:pPr>
                    <w:pStyle w:val="72"/>
                    <w:rPr>
                      <w:rFonts w:hint="eastAsia"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0.12</w:t>
                  </w:r>
                </w:p>
              </w:tc>
              <w:tc>
                <w:tcPr>
                  <w:tcW w:w="350" w:type="pct"/>
                  <w:tcBorders>
                    <w:tl2br w:val="nil"/>
                    <w:tr2bl w:val="nil"/>
                  </w:tcBorders>
                  <w:noWrap w:val="0"/>
                  <w:vAlign w:val="center"/>
                </w:tcPr>
                <w:p w14:paraId="53AEFEAC">
                  <w:pPr>
                    <w:pStyle w:val="72"/>
                    <w:rPr>
                      <w:rFonts w:hint="eastAsia"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0.15</w:t>
                  </w:r>
                </w:p>
              </w:tc>
              <w:tc>
                <w:tcPr>
                  <w:tcW w:w="346" w:type="pct"/>
                  <w:tcBorders>
                    <w:tl2br w:val="nil"/>
                    <w:tr2bl w:val="nil"/>
                  </w:tcBorders>
                  <w:noWrap w:val="0"/>
                  <w:vAlign w:val="center"/>
                </w:tcPr>
                <w:p w14:paraId="44BD5DE0">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1200</w:t>
                  </w:r>
                </w:p>
              </w:tc>
              <w:tc>
                <w:tcPr>
                  <w:tcW w:w="348" w:type="pct"/>
                  <w:tcBorders>
                    <w:tl2br w:val="nil"/>
                    <w:tr2bl w:val="nil"/>
                  </w:tcBorders>
                  <w:noWrap w:val="0"/>
                  <w:vAlign w:val="center"/>
                </w:tcPr>
                <w:p w14:paraId="7B649057">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4.0</w:t>
                  </w:r>
                </w:p>
              </w:tc>
              <w:tc>
                <w:tcPr>
                  <w:tcW w:w="349" w:type="pct"/>
                  <w:tcBorders>
                    <w:tl2br w:val="nil"/>
                    <w:tr2bl w:val="nil"/>
                  </w:tcBorders>
                  <w:noWrap w:val="0"/>
                  <w:vAlign w:val="center"/>
                </w:tcPr>
                <w:p w14:paraId="3F7029E8">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331F20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2" w:type="pct"/>
                  <w:tcBorders>
                    <w:tl2br w:val="nil"/>
                    <w:tr2bl w:val="nil"/>
                  </w:tcBorders>
                  <w:noWrap w:val="0"/>
                  <w:vAlign w:val="center"/>
                </w:tcPr>
                <w:p w14:paraId="2299046E">
                  <w:pPr>
                    <w:pStyle w:val="72"/>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无组织排放</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G1</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w:t>
                  </w:r>
                </w:p>
              </w:tc>
              <w:tc>
                <w:tcPr>
                  <w:tcW w:w="206" w:type="pct"/>
                  <w:tcBorders>
                    <w:tl2br w:val="nil"/>
                    <w:tr2bl w:val="nil"/>
                  </w:tcBorders>
                  <w:noWrap w:val="0"/>
                  <w:vAlign w:val="center"/>
                </w:tcPr>
                <w:p w14:paraId="0596AA72">
                  <w:pPr>
                    <w:pStyle w:val="72"/>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346" w:type="pct"/>
                  <w:tcBorders>
                    <w:tl2br w:val="nil"/>
                    <w:tr2bl w:val="nil"/>
                  </w:tcBorders>
                  <w:noWrap w:val="0"/>
                  <w:vAlign w:val="center"/>
                </w:tcPr>
                <w:p w14:paraId="4BE9B47F">
                  <w:pPr>
                    <w:pStyle w:val="72"/>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双膜储气柜膜材渗透及压力波动综合逸散废气</w:t>
                  </w:r>
                </w:p>
              </w:tc>
              <w:tc>
                <w:tcPr>
                  <w:tcW w:w="346" w:type="pct"/>
                  <w:tcBorders>
                    <w:tl2br w:val="nil"/>
                    <w:tr2bl w:val="nil"/>
                  </w:tcBorders>
                  <w:noWrap w:val="0"/>
                  <w:vAlign w:val="center"/>
                </w:tcPr>
                <w:p w14:paraId="14D8F881">
                  <w:pPr>
                    <w:adjustRightInd w:val="0"/>
                    <w:snapToGrid w:val="0"/>
                    <w:jc w:val="center"/>
                    <w:rPr>
                      <w:rFonts w:hint="default"/>
                      <w:color w:val="000000" w:themeColor="text1"/>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t>非甲烷总烃</w:t>
                  </w:r>
                </w:p>
              </w:tc>
              <w:tc>
                <w:tcPr>
                  <w:tcW w:w="292" w:type="pct"/>
                  <w:tcBorders>
                    <w:tl2br w:val="nil"/>
                    <w:tr2bl w:val="nil"/>
                  </w:tcBorders>
                  <w:noWrap w:val="0"/>
                  <w:vAlign w:val="center"/>
                </w:tcPr>
                <w:p w14:paraId="21328D3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7" w:type="pct"/>
                  <w:tcBorders>
                    <w:tl2br w:val="nil"/>
                    <w:tr2bl w:val="nil"/>
                  </w:tcBorders>
                  <w:noWrap w:val="0"/>
                  <w:vAlign w:val="center"/>
                </w:tcPr>
                <w:p w14:paraId="08515543">
                  <w:pPr>
                    <w:pStyle w:val="72"/>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t>-</w:t>
                  </w:r>
                </w:p>
              </w:tc>
              <w:tc>
                <w:tcPr>
                  <w:tcW w:w="363" w:type="pct"/>
                  <w:tcBorders>
                    <w:tl2br w:val="nil"/>
                    <w:tr2bl w:val="nil"/>
                  </w:tcBorders>
                  <w:noWrap w:val="0"/>
                  <w:vAlign w:val="center"/>
                </w:tcPr>
                <w:p w14:paraId="431739C3">
                  <w:pPr>
                    <w:pStyle w:val="72"/>
                    <w:rPr>
                      <w:rFonts w:hint="eastAsia"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0.118048</w:t>
                  </w:r>
                </w:p>
              </w:tc>
              <w:tc>
                <w:tcPr>
                  <w:tcW w:w="385" w:type="pct"/>
                  <w:tcBorders>
                    <w:tl2br w:val="nil"/>
                    <w:tr2bl w:val="nil"/>
                  </w:tcBorders>
                  <w:noWrap w:val="0"/>
                  <w:vAlign w:val="center"/>
                </w:tcPr>
                <w:p w14:paraId="2B266AFD">
                  <w:pPr>
                    <w:pStyle w:val="72"/>
                    <w:rPr>
                      <w:rFonts w:hint="eastAsia"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0.8499456</w:t>
                  </w:r>
                </w:p>
              </w:tc>
              <w:tc>
                <w:tcPr>
                  <w:tcW w:w="413" w:type="pct"/>
                  <w:vMerge w:val="continue"/>
                  <w:tcBorders>
                    <w:tl2br w:val="nil"/>
                    <w:tr2bl w:val="nil"/>
                  </w:tcBorders>
                  <w:noWrap w:val="0"/>
                  <w:vAlign w:val="center"/>
                </w:tcPr>
                <w:p w14:paraId="379EF297">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46" w:type="pct"/>
                  <w:tcBorders>
                    <w:tl2br w:val="nil"/>
                    <w:tr2bl w:val="nil"/>
                  </w:tcBorders>
                  <w:noWrap w:val="0"/>
                  <w:vAlign w:val="center"/>
                </w:tcPr>
                <w:p w14:paraId="054C7430">
                  <w:pPr>
                    <w:pStyle w:val="72"/>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346" w:type="pct"/>
                  <w:tcBorders>
                    <w:tl2br w:val="nil"/>
                    <w:tr2bl w:val="nil"/>
                  </w:tcBorders>
                  <w:noWrap w:val="0"/>
                  <w:vAlign w:val="center"/>
                </w:tcPr>
                <w:p w14:paraId="1198DDED">
                  <w:pPr>
                    <w:pStyle w:val="72"/>
                    <w:rPr>
                      <w:rFonts w:hint="eastAsia"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0.118048</w:t>
                  </w:r>
                </w:p>
              </w:tc>
              <w:tc>
                <w:tcPr>
                  <w:tcW w:w="350" w:type="pct"/>
                  <w:tcBorders>
                    <w:tl2br w:val="nil"/>
                    <w:tr2bl w:val="nil"/>
                  </w:tcBorders>
                  <w:noWrap w:val="0"/>
                  <w:vAlign w:val="center"/>
                </w:tcPr>
                <w:p w14:paraId="227598BB">
                  <w:pPr>
                    <w:pStyle w:val="72"/>
                    <w:rPr>
                      <w:rFonts w:hint="eastAsia" w:ascii="Times New Roman" w:hAnsi="Times New Roman"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14:textFill>
                        <w14:solidFill>
                          <w14:schemeClr w14:val="tx1"/>
                        </w14:solidFill>
                      </w14:textFill>
                    </w:rPr>
                    <w:t>0.8499456</w:t>
                  </w:r>
                </w:p>
              </w:tc>
              <w:tc>
                <w:tcPr>
                  <w:tcW w:w="346" w:type="pct"/>
                  <w:tcBorders>
                    <w:tl2br w:val="nil"/>
                    <w:tr2bl w:val="nil"/>
                  </w:tcBorders>
                  <w:noWrap w:val="0"/>
                  <w:vAlign w:val="center"/>
                </w:tcPr>
                <w:p w14:paraId="7057794A">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7200</w:t>
                  </w:r>
                </w:p>
              </w:tc>
              <w:tc>
                <w:tcPr>
                  <w:tcW w:w="348" w:type="pct"/>
                  <w:tcBorders>
                    <w:tl2br w:val="nil"/>
                    <w:tr2bl w:val="nil"/>
                  </w:tcBorders>
                  <w:noWrap w:val="0"/>
                  <w:vAlign w:val="center"/>
                </w:tcPr>
                <w:p w14:paraId="5A563649">
                  <w:pPr>
                    <w:keepNext w:val="0"/>
                    <w:keepLines w:val="0"/>
                    <w:pageBreakBefore w:val="0"/>
                    <w:widowControl w:val="0"/>
                    <w:kinsoku/>
                    <w:wordWrap/>
                    <w:overflowPunct/>
                    <w:topLinePunct w:val="0"/>
                    <w:bidi w:val="0"/>
                    <w:adjustRightInd/>
                    <w:snapToGrid/>
                    <w:spacing w:line="360" w:lineRule="exact"/>
                    <w:jc w:val="center"/>
                    <w:textAlignment w:val="auto"/>
                    <w:rPr>
                      <w:rFonts w:hint="eastAsia" w:cs="Times New Roman"/>
                      <w:b w:val="0"/>
                      <w:bCs w:val="0"/>
                      <w:color w:val="000000" w:themeColor="text1"/>
                      <w:szCs w:val="21"/>
                      <w:lang w:val="en-US" w:eastAsia="zh-CN"/>
                      <w14:textFill>
                        <w14:solidFill>
                          <w14:schemeClr w14:val="tx1"/>
                        </w14:solidFill>
                      </w14:textFill>
                    </w:rPr>
                  </w:pPr>
                  <w:r>
                    <w:rPr>
                      <w:rFonts w:hint="eastAsia" w:cs="Times New Roman"/>
                      <w:b w:val="0"/>
                      <w:bCs w:val="0"/>
                      <w:color w:val="000000" w:themeColor="text1"/>
                      <w:szCs w:val="21"/>
                      <w:lang w:val="en-US" w:eastAsia="zh-CN"/>
                      <w14:textFill>
                        <w14:solidFill>
                          <w14:schemeClr w14:val="tx1"/>
                        </w14:solidFill>
                      </w14:textFill>
                    </w:rPr>
                    <w:t>4.0</w:t>
                  </w:r>
                </w:p>
              </w:tc>
              <w:tc>
                <w:tcPr>
                  <w:tcW w:w="349" w:type="pct"/>
                  <w:tcBorders>
                    <w:tl2br w:val="nil"/>
                    <w:tr2bl w:val="nil"/>
                  </w:tcBorders>
                  <w:noWrap w:val="0"/>
                  <w:vAlign w:val="center"/>
                </w:tcPr>
                <w:p w14:paraId="4B8AFC5A">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bl>
          <w:p w14:paraId="5D7E6629">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default" w:ascii="Times New Roman" w:hAnsi="Times New Roman" w:eastAsia="宋体" w:cs="Times New Roman"/>
                <w:b/>
                <w:bCs/>
                <w:snapToGrid w:val="0"/>
                <w:color w:val="000000" w:themeColor="text1"/>
                <w:sz w:val="30"/>
                <w:szCs w:val="30"/>
                <w:vertAlign w:val="baseline"/>
                <w14:textFill>
                  <w14:solidFill>
                    <w14:schemeClr w14:val="tx1"/>
                  </w14:solidFill>
                </w14:textFill>
              </w:rPr>
            </w:pPr>
          </w:p>
        </w:tc>
      </w:tr>
    </w:tbl>
    <w:p w14:paraId="6B75E9EE">
      <w:pPr>
        <w:adjustRightInd w:val="0"/>
        <w:snapToGrid w:val="0"/>
        <w:spacing w:line="360" w:lineRule="auto"/>
        <w:rPr>
          <w:rFonts w:hint="default" w:ascii="Times New Roman" w:hAnsi="Times New Roman" w:eastAsia="宋体" w:cs="Times New Roman"/>
          <w:b/>
          <w:color w:val="000000" w:themeColor="text1"/>
          <w:kern w:val="0"/>
          <w:sz w:val="28"/>
          <w:szCs w:val="28"/>
          <w14:textFill>
            <w14:solidFill>
              <w14:schemeClr w14:val="tx1"/>
            </w14:solidFill>
          </w14:textFill>
        </w:rPr>
        <w:sectPr>
          <w:pgSz w:w="16840" w:h="11907" w:orient="landscape"/>
          <w:pgMar w:top="1531" w:right="1701" w:bottom="1531" w:left="212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6CBE34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746" w:type="dxa"/>
            <w:noWrap w:val="0"/>
            <w:tcMar>
              <w:left w:w="28" w:type="dxa"/>
              <w:right w:w="28" w:type="dxa"/>
            </w:tcMar>
            <w:vAlign w:val="center"/>
          </w:tcPr>
          <w:p w14:paraId="086A5796">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运营</w:t>
            </w:r>
          </w:p>
          <w:p w14:paraId="167CF67B">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期环</w:t>
            </w:r>
          </w:p>
          <w:p w14:paraId="79B752F3">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境影</w:t>
            </w:r>
          </w:p>
          <w:p w14:paraId="23E8046C">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响和</w:t>
            </w:r>
          </w:p>
          <w:p w14:paraId="34D1A878">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保护</w:t>
            </w:r>
          </w:p>
          <w:p w14:paraId="5C60F5FE">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措施</w:t>
            </w:r>
          </w:p>
        </w:tc>
        <w:tc>
          <w:tcPr>
            <w:tcW w:w="8162" w:type="dxa"/>
            <w:noWrap w:val="0"/>
            <w:vAlign w:val="center"/>
          </w:tcPr>
          <w:p w14:paraId="5E1CE5AA">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1.2污染物排放达标性分析</w:t>
            </w:r>
          </w:p>
          <w:p w14:paraId="0EF4DCC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8" w:firstLineChars="200"/>
              <w:jc w:val="both"/>
              <w:textAlignment w:val="auto"/>
              <w:rPr>
                <w:rFonts w:hint="eastAsia" w:ascii="Times New Roman" w:hAnsi="Times New Roman" w:eastAsia="宋体" w:cs="Times New Roman"/>
                <w:color w:val="000000" w:themeColor="text1"/>
                <w:spacing w:val="2"/>
                <w:kern w:val="2"/>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14:textFill>
                  <w14:solidFill>
                    <w14:schemeClr w14:val="tx1"/>
                  </w14:solidFill>
                </w14:textFill>
              </w:rPr>
              <w:t>项目各项有组织废气污染物达标性分析见表4-4。</w:t>
            </w:r>
          </w:p>
          <w:p w14:paraId="17825BD7">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表4-4   项目有组织废气污染物达标排放分析表</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1"/>
              <w:gridCol w:w="1042"/>
              <w:gridCol w:w="760"/>
              <w:gridCol w:w="2020"/>
              <w:gridCol w:w="1230"/>
              <w:gridCol w:w="1871"/>
              <w:gridCol w:w="542"/>
            </w:tblGrid>
            <w:tr w14:paraId="5918E9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vMerge w:val="restart"/>
                  <w:tcBorders>
                    <w:tl2br w:val="nil"/>
                    <w:tr2bl w:val="nil"/>
                  </w:tcBorders>
                  <w:noWrap w:val="0"/>
                  <w:vAlign w:val="center"/>
                </w:tcPr>
                <w:p w14:paraId="3C9A94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序号</w:t>
                  </w:r>
                </w:p>
              </w:tc>
              <w:tc>
                <w:tcPr>
                  <w:tcW w:w="1042" w:type="dxa"/>
                  <w:vMerge w:val="restart"/>
                  <w:tcBorders>
                    <w:tl2br w:val="nil"/>
                    <w:tr2bl w:val="nil"/>
                  </w:tcBorders>
                  <w:noWrap w:val="0"/>
                  <w:vAlign w:val="center"/>
                </w:tcPr>
                <w:p w14:paraId="318181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产物</w:t>
                  </w:r>
                </w:p>
                <w:p w14:paraId="40A1BF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环节</w:t>
                  </w:r>
                </w:p>
              </w:tc>
              <w:tc>
                <w:tcPr>
                  <w:tcW w:w="760" w:type="dxa"/>
                  <w:vMerge w:val="restart"/>
                  <w:tcBorders>
                    <w:tl2br w:val="nil"/>
                    <w:tr2bl w:val="nil"/>
                  </w:tcBorders>
                  <w:noWrap w:val="0"/>
                  <w:vAlign w:val="center"/>
                </w:tcPr>
                <w:p w14:paraId="001DA6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污染物</w:t>
                  </w:r>
                </w:p>
              </w:tc>
              <w:tc>
                <w:tcPr>
                  <w:tcW w:w="3250" w:type="dxa"/>
                  <w:gridSpan w:val="2"/>
                  <w:tcBorders>
                    <w:tl2br w:val="nil"/>
                    <w:tr2bl w:val="nil"/>
                  </w:tcBorders>
                  <w:noWrap w:val="0"/>
                  <w:vAlign w:val="center"/>
                </w:tcPr>
                <w:p w14:paraId="2D0DD5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排放标准</w:t>
                  </w:r>
                </w:p>
              </w:tc>
              <w:tc>
                <w:tcPr>
                  <w:tcW w:w="1871" w:type="dxa"/>
                  <w:vMerge w:val="restart"/>
                  <w:tcBorders>
                    <w:tl2br w:val="nil"/>
                    <w:tr2bl w:val="nil"/>
                  </w:tcBorders>
                  <w:noWrap w:val="0"/>
                  <w:vAlign w:val="center"/>
                </w:tcPr>
                <w:p w14:paraId="7D51F4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排放</w:t>
                  </w:r>
                </w:p>
              </w:tc>
              <w:tc>
                <w:tcPr>
                  <w:tcW w:w="542" w:type="dxa"/>
                  <w:vMerge w:val="restart"/>
                  <w:tcBorders>
                    <w:tl2br w:val="nil"/>
                    <w:tr2bl w:val="nil"/>
                  </w:tcBorders>
                  <w:noWrap w:val="0"/>
                  <w:vAlign w:val="center"/>
                </w:tcPr>
                <w:p w14:paraId="1E9223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是否达标</w:t>
                  </w:r>
                </w:p>
              </w:tc>
            </w:tr>
            <w:tr w14:paraId="17AEB2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vMerge w:val="continue"/>
                  <w:tcBorders>
                    <w:tl2br w:val="nil"/>
                    <w:tr2bl w:val="nil"/>
                  </w:tcBorders>
                  <w:noWrap w:val="0"/>
                  <w:vAlign w:val="center"/>
                </w:tcPr>
                <w:p w14:paraId="3C2970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000000" w:themeColor="text1"/>
                      <w14:textFill>
                        <w14:solidFill>
                          <w14:schemeClr w14:val="tx1"/>
                        </w14:solidFill>
                      </w14:textFill>
                    </w:rPr>
                  </w:pPr>
                </w:p>
              </w:tc>
              <w:tc>
                <w:tcPr>
                  <w:tcW w:w="1042" w:type="dxa"/>
                  <w:vMerge w:val="continue"/>
                  <w:tcBorders>
                    <w:tl2br w:val="nil"/>
                    <w:tr2bl w:val="nil"/>
                  </w:tcBorders>
                  <w:noWrap w:val="0"/>
                  <w:vAlign w:val="center"/>
                </w:tcPr>
                <w:p w14:paraId="1EA023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000000" w:themeColor="text1"/>
                      <w14:textFill>
                        <w14:solidFill>
                          <w14:schemeClr w14:val="tx1"/>
                        </w14:solidFill>
                      </w14:textFill>
                    </w:rPr>
                  </w:pPr>
                </w:p>
              </w:tc>
              <w:tc>
                <w:tcPr>
                  <w:tcW w:w="760" w:type="dxa"/>
                  <w:vMerge w:val="continue"/>
                  <w:tcBorders>
                    <w:tl2br w:val="nil"/>
                    <w:tr2bl w:val="nil"/>
                  </w:tcBorders>
                  <w:noWrap w:val="0"/>
                  <w:vAlign w:val="center"/>
                </w:tcPr>
                <w:p w14:paraId="3708B2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000000" w:themeColor="text1"/>
                      <w14:textFill>
                        <w14:solidFill>
                          <w14:schemeClr w14:val="tx1"/>
                        </w14:solidFill>
                      </w14:textFill>
                    </w:rPr>
                  </w:pPr>
                </w:p>
              </w:tc>
              <w:tc>
                <w:tcPr>
                  <w:tcW w:w="2020" w:type="dxa"/>
                  <w:tcBorders>
                    <w:tl2br w:val="nil"/>
                    <w:tr2bl w:val="nil"/>
                  </w:tcBorders>
                  <w:noWrap w:val="0"/>
                  <w:vAlign w:val="center"/>
                </w:tcPr>
                <w:p w14:paraId="79DD83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yellow"/>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标准名称</w:t>
                  </w:r>
                </w:p>
              </w:tc>
              <w:tc>
                <w:tcPr>
                  <w:tcW w:w="1230" w:type="dxa"/>
                  <w:tcBorders>
                    <w:tl2br w:val="nil"/>
                    <w:tr2bl w:val="nil"/>
                  </w:tcBorders>
                  <w:noWrap w:val="0"/>
                  <w:vAlign w:val="center"/>
                </w:tcPr>
                <w:p w14:paraId="27D5D2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vertAlign w:val="baseline"/>
                      <w:lang w:val="en-US" w:eastAsia="zh-CN"/>
                      <w14:textFill>
                        <w14:solidFill>
                          <w14:schemeClr w14:val="tx1"/>
                        </w14:solidFill>
                      </w14:textFill>
                    </w:rPr>
                    <w:t>限值</w:t>
                  </w:r>
                </w:p>
              </w:tc>
              <w:tc>
                <w:tcPr>
                  <w:tcW w:w="1871" w:type="dxa"/>
                  <w:vMerge w:val="continue"/>
                  <w:tcBorders>
                    <w:tl2br w:val="nil"/>
                    <w:tr2bl w:val="nil"/>
                  </w:tcBorders>
                  <w:noWrap w:val="0"/>
                  <w:vAlign w:val="center"/>
                </w:tcPr>
                <w:p w14:paraId="336B74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542" w:type="dxa"/>
                  <w:vMerge w:val="continue"/>
                  <w:tcBorders>
                    <w:tl2br w:val="nil"/>
                    <w:tr2bl w:val="nil"/>
                  </w:tcBorders>
                  <w:noWrap w:val="0"/>
                  <w:vAlign w:val="center"/>
                </w:tcPr>
                <w:p w14:paraId="731ECF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p>
              </w:tc>
            </w:tr>
            <w:tr w14:paraId="39EF58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tcBorders>
                    <w:tl2br w:val="nil"/>
                    <w:tr2bl w:val="nil"/>
                  </w:tcBorders>
                  <w:noWrap w:val="0"/>
                  <w:vAlign w:val="center"/>
                </w:tcPr>
                <w:p w14:paraId="37D592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1</w:t>
                  </w:r>
                </w:p>
              </w:tc>
              <w:tc>
                <w:tcPr>
                  <w:tcW w:w="1042" w:type="dxa"/>
                  <w:tcBorders>
                    <w:tl2br w:val="nil"/>
                    <w:tr2bl w:val="nil"/>
                  </w:tcBorders>
                  <w:noWrap w:val="0"/>
                  <w:vAlign w:val="center"/>
                </w:tcPr>
                <w:p w14:paraId="3A4DAB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农林秸秆废弃物破碎（DA001）</w:t>
                  </w:r>
                </w:p>
              </w:tc>
              <w:tc>
                <w:tcPr>
                  <w:tcW w:w="760" w:type="dxa"/>
                  <w:tcBorders>
                    <w:tl2br w:val="nil"/>
                    <w:tr2bl w:val="nil"/>
                  </w:tcBorders>
                  <w:noWrap w:val="0"/>
                  <w:vAlign w:val="center"/>
                </w:tcPr>
                <w:p w14:paraId="641BE2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颗粒物</w:t>
                  </w:r>
                </w:p>
              </w:tc>
              <w:tc>
                <w:tcPr>
                  <w:tcW w:w="2020" w:type="dxa"/>
                  <w:tcBorders>
                    <w:tl2br w:val="nil"/>
                    <w:tr2bl w:val="nil"/>
                  </w:tcBorders>
                  <w:noWrap w:val="0"/>
                  <w:vAlign w:val="center"/>
                </w:tcPr>
                <w:p w14:paraId="6F25D00B">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highlight w:val="yellow"/>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w:t>
                  </w:r>
                  <w:r>
                    <w:rPr>
                      <w:rFonts w:ascii="Times New Roman" w:hAnsi="Times New Roman"/>
                      <w:color w:val="000000" w:themeColor="text1"/>
                      <w:sz w:val="21"/>
                      <w:szCs w:val="21"/>
                      <w14:textFill>
                        <w14:solidFill>
                          <w14:schemeClr w14:val="tx1"/>
                        </w14:solidFill>
                      </w14:textFill>
                    </w:rPr>
                    <w:t>表2二级标准限值</w:t>
                  </w:r>
                </w:p>
              </w:tc>
              <w:tc>
                <w:tcPr>
                  <w:tcW w:w="1230" w:type="dxa"/>
                  <w:tcBorders>
                    <w:tl2br w:val="nil"/>
                    <w:tr2bl w:val="nil"/>
                  </w:tcBorders>
                  <w:noWrap w:val="0"/>
                  <w:vAlign w:val="center"/>
                </w:tcPr>
                <w:p w14:paraId="4DB3A5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120mg/m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、3.5kg/h</w:t>
                  </w:r>
                </w:p>
              </w:tc>
              <w:tc>
                <w:tcPr>
                  <w:tcW w:w="1871" w:type="dxa"/>
                  <w:tcBorders>
                    <w:tl2br w:val="nil"/>
                    <w:tr2bl w:val="nil"/>
                  </w:tcBorders>
                  <w:noWrap w:val="0"/>
                  <w:vAlign w:val="center"/>
                </w:tcPr>
                <w:p w14:paraId="75CDD1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0.444</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0.00888</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kg/h</w:t>
                  </w:r>
                </w:p>
              </w:tc>
              <w:tc>
                <w:tcPr>
                  <w:tcW w:w="542" w:type="dxa"/>
                  <w:tcBorders>
                    <w:tl2br w:val="nil"/>
                    <w:tr2bl w:val="nil"/>
                  </w:tcBorders>
                  <w:noWrap w:val="0"/>
                  <w:vAlign w:val="center"/>
                </w:tcPr>
                <w:p w14:paraId="74398F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达标</w:t>
                  </w:r>
                </w:p>
              </w:tc>
            </w:tr>
            <w:tr w14:paraId="356765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tcBorders>
                    <w:tl2br w:val="nil"/>
                    <w:tr2bl w:val="nil"/>
                  </w:tcBorders>
                  <w:noWrap w:val="0"/>
                  <w:vAlign w:val="center"/>
                </w:tcPr>
                <w:p w14:paraId="386261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2</w:t>
                  </w:r>
                </w:p>
              </w:tc>
              <w:tc>
                <w:tcPr>
                  <w:tcW w:w="1042" w:type="dxa"/>
                  <w:tcBorders>
                    <w:tl2br w:val="nil"/>
                    <w:tr2bl w:val="nil"/>
                  </w:tcBorders>
                  <w:noWrap w:val="0"/>
                  <w:vAlign w:val="center"/>
                </w:tcPr>
                <w:p w14:paraId="4B3CA943">
                  <w:pPr>
                    <w:pStyle w:val="72"/>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炭块粉碎、有机肥（筛分、造粒、灌装）</w:t>
                  </w:r>
                  <w:r>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（DA002）</w:t>
                  </w:r>
                </w:p>
              </w:tc>
              <w:tc>
                <w:tcPr>
                  <w:tcW w:w="760" w:type="dxa"/>
                  <w:tcBorders>
                    <w:tl2br w:val="nil"/>
                    <w:tr2bl w:val="nil"/>
                  </w:tcBorders>
                  <w:noWrap w:val="0"/>
                  <w:vAlign w:val="center"/>
                </w:tcPr>
                <w:p w14:paraId="3691B5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颗粒物</w:t>
                  </w:r>
                </w:p>
              </w:tc>
              <w:tc>
                <w:tcPr>
                  <w:tcW w:w="2020" w:type="dxa"/>
                  <w:tcBorders>
                    <w:tl2br w:val="nil"/>
                    <w:tr2bl w:val="nil"/>
                  </w:tcBorders>
                  <w:noWrap w:val="0"/>
                  <w:vAlign w:val="center"/>
                </w:tcPr>
                <w:p w14:paraId="795197BA">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w:t>
                  </w:r>
                  <w:r>
                    <w:rPr>
                      <w:rFonts w:ascii="Times New Roman" w:hAnsi="Times New Roman"/>
                      <w:color w:val="000000" w:themeColor="text1"/>
                      <w:sz w:val="21"/>
                      <w:szCs w:val="21"/>
                      <w14:textFill>
                        <w14:solidFill>
                          <w14:schemeClr w14:val="tx1"/>
                        </w14:solidFill>
                      </w14:textFill>
                    </w:rPr>
                    <w:t>表2二级标准限值</w:t>
                  </w:r>
                </w:p>
              </w:tc>
              <w:tc>
                <w:tcPr>
                  <w:tcW w:w="1230" w:type="dxa"/>
                  <w:tcBorders>
                    <w:tl2br w:val="nil"/>
                    <w:tr2bl w:val="nil"/>
                  </w:tcBorders>
                  <w:noWrap w:val="0"/>
                  <w:vAlign w:val="center"/>
                </w:tcPr>
                <w:p w14:paraId="2F17E4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120mg/m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、3.5kg/h</w:t>
                  </w:r>
                </w:p>
              </w:tc>
              <w:tc>
                <w:tcPr>
                  <w:tcW w:w="1871" w:type="dxa"/>
                  <w:tcBorders>
                    <w:tl2br w:val="nil"/>
                    <w:tr2bl w:val="nil"/>
                  </w:tcBorders>
                  <w:noWrap w:val="0"/>
                  <w:vAlign w:val="center"/>
                </w:tcPr>
                <w:p w14:paraId="067357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0.7185</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p>
                <w:p w14:paraId="05FDDE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0.01437</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kg/h</w:t>
                  </w:r>
                </w:p>
              </w:tc>
              <w:tc>
                <w:tcPr>
                  <w:tcW w:w="542" w:type="dxa"/>
                  <w:tcBorders>
                    <w:tl2br w:val="nil"/>
                    <w:tr2bl w:val="nil"/>
                  </w:tcBorders>
                  <w:noWrap w:val="0"/>
                  <w:vAlign w:val="center"/>
                </w:tcPr>
                <w:p w14:paraId="323F4A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达标</w:t>
                  </w:r>
                </w:p>
              </w:tc>
            </w:tr>
            <w:tr w14:paraId="03D1F4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tcBorders>
                    <w:tl2br w:val="nil"/>
                    <w:tr2bl w:val="nil"/>
                  </w:tcBorders>
                  <w:noWrap w:val="0"/>
                  <w:vAlign w:val="center"/>
                </w:tcPr>
                <w:p w14:paraId="45C4AC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3</w:t>
                  </w:r>
                </w:p>
              </w:tc>
              <w:tc>
                <w:tcPr>
                  <w:tcW w:w="1042" w:type="dxa"/>
                  <w:tcBorders>
                    <w:tl2br w:val="nil"/>
                    <w:tr2bl w:val="nil"/>
                  </w:tcBorders>
                  <w:noWrap w:val="0"/>
                  <w:vAlign w:val="center"/>
                </w:tcPr>
                <w:p w14:paraId="3DD951DE">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炭化炉秸秆下料</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（DA003）</w:t>
                  </w:r>
                </w:p>
              </w:tc>
              <w:tc>
                <w:tcPr>
                  <w:tcW w:w="760" w:type="dxa"/>
                  <w:tcBorders>
                    <w:tl2br w:val="nil"/>
                    <w:tr2bl w:val="nil"/>
                  </w:tcBorders>
                  <w:noWrap w:val="0"/>
                  <w:vAlign w:val="center"/>
                </w:tcPr>
                <w:p w14:paraId="5E33CE00">
                  <w:pPr>
                    <w:pStyle w:val="72"/>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020" w:type="dxa"/>
                  <w:tcBorders>
                    <w:tl2br w:val="nil"/>
                    <w:tr2bl w:val="nil"/>
                  </w:tcBorders>
                  <w:noWrap w:val="0"/>
                  <w:vAlign w:val="center"/>
                </w:tcPr>
                <w:p w14:paraId="4190F961">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《大气污染物综合排放标准》（GB16297-1996）</w:t>
                  </w:r>
                  <w:r>
                    <w:rPr>
                      <w:rFonts w:ascii="Times New Roman" w:hAnsi="Times New Roman"/>
                      <w:color w:val="000000" w:themeColor="text1"/>
                      <w:sz w:val="21"/>
                      <w:szCs w:val="21"/>
                      <w14:textFill>
                        <w14:solidFill>
                          <w14:schemeClr w14:val="tx1"/>
                        </w14:solidFill>
                      </w14:textFill>
                    </w:rPr>
                    <w:t>表2二级标准限值</w:t>
                  </w:r>
                </w:p>
              </w:tc>
              <w:tc>
                <w:tcPr>
                  <w:tcW w:w="1230" w:type="dxa"/>
                  <w:tcBorders>
                    <w:tl2br w:val="nil"/>
                    <w:tr2bl w:val="nil"/>
                  </w:tcBorders>
                  <w:noWrap w:val="0"/>
                  <w:vAlign w:val="center"/>
                </w:tcPr>
                <w:p w14:paraId="0B27F0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120mg/m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、3.5kg/h</w:t>
                  </w:r>
                </w:p>
              </w:tc>
              <w:tc>
                <w:tcPr>
                  <w:tcW w:w="1871" w:type="dxa"/>
                  <w:tcBorders>
                    <w:tl2br w:val="nil"/>
                    <w:tr2bl w:val="nil"/>
                  </w:tcBorders>
                  <w:noWrap w:val="0"/>
                  <w:vAlign w:val="center"/>
                </w:tcPr>
                <w:p w14:paraId="1F73E3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0.600222</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0.01200444</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kg/h</w:t>
                  </w:r>
                </w:p>
              </w:tc>
              <w:tc>
                <w:tcPr>
                  <w:tcW w:w="542" w:type="dxa"/>
                  <w:tcBorders>
                    <w:tl2br w:val="nil"/>
                    <w:tr2bl w:val="nil"/>
                  </w:tcBorders>
                  <w:noWrap w:val="0"/>
                  <w:vAlign w:val="center"/>
                </w:tcPr>
                <w:p w14:paraId="269D25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达标</w:t>
                  </w:r>
                </w:p>
              </w:tc>
            </w:tr>
            <w:tr w14:paraId="233294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vMerge w:val="restart"/>
                  <w:tcBorders>
                    <w:tl2br w:val="nil"/>
                    <w:tr2bl w:val="nil"/>
                  </w:tcBorders>
                  <w:noWrap w:val="0"/>
                  <w:vAlign w:val="center"/>
                </w:tcPr>
                <w:p w14:paraId="54B0F5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4</w:t>
                  </w:r>
                </w:p>
              </w:tc>
              <w:tc>
                <w:tcPr>
                  <w:tcW w:w="1042" w:type="dxa"/>
                  <w:vMerge w:val="restart"/>
                  <w:tcBorders>
                    <w:tl2br w:val="nil"/>
                    <w:tr2bl w:val="nil"/>
                  </w:tcBorders>
                  <w:noWrap w:val="0"/>
                  <w:vAlign w:val="center"/>
                </w:tcPr>
                <w:p w14:paraId="3F3199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热风炉废气（DA004）</w:t>
                  </w:r>
                </w:p>
              </w:tc>
              <w:tc>
                <w:tcPr>
                  <w:tcW w:w="760" w:type="dxa"/>
                  <w:tcBorders>
                    <w:tl2br w:val="nil"/>
                    <w:tr2bl w:val="nil"/>
                  </w:tcBorders>
                  <w:noWrap w:val="0"/>
                  <w:vAlign w:val="center"/>
                </w:tcPr>
                <w:p w14:paraId="0B781155">
                  <w:pPr>
                    <w:keepNext w:val="0"/>
                    <w:keepLines w:val="0"/>
                    <w:widowControl/>
                    <w:suppressLineNumbers w:val="0"/>
                    <w:wordWrap/>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颗粒物</w:t>
                  </w:r>
                </w:p>
              </w:tc>
              <w:tc>
                <w:tcPr>
                  <w:tcW w:w="2020" w:type="dxa"/>
                  <w:vMerge w:val="restart"/>
                  <w:tcBorders>
                    <w:tl2br w:val="nil"/>
                    <w:tr2bl w:val="nil"/>
                  </w:tcBorders>
                  <w:noWrap w:val="0"/>
                  <w:vAlign w:val="center"/>
                </w:tcPr>
                <w:p w14:paraId="057B18FD">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yellow"/>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《新疆维吾尔自治区工业炉窑大气污染综合治理实施方案》（新大气发〔2019〕127号）中重点区域工业炉窑大气排放浓度限值</w:t>
                  </w:r>
                </w:p>
              </w:tc>
              <w:tc>
                <w:tcPr>
                  <w:tcW w:w="1230" w:type="dxa"/>
                  <w:tcBorders>
                    <w:tl2br w:val="nil"/>
                    <w:tr2bl w:val="nil"/>
                  </w:tcBorders>
                  <w:noWrap w:val="0"/>
                  <w:vAlign w:val="center"/>
                </w:tcPr>
                <w:p w14:paraId="6A7428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30mg/m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p>
              </w:tc>
              <w:tc>
                <w:tcPr>
                  <w:tcW w:w="1871" w:type="dxa"/>
                  <w:tcBorders>
                    <w:tl2br w:val="nil"/>
                    <w:tr2bl w:val="nil"/>
                  </w:tcBorders>
                  <w:noWrap w:val="0"/>
                  <w:vAlign w:val="center"/>
                </w:tcPr>
                <w:p w14:paraId="38A04ACE">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7.58</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p>
              </w:tc>
              <w:tc>
                <w:tcPr>
                  <w:tcW w:w="542" w:type="dxa"/>
                  <w:tcBorders>
                    <w:tl2br w:val="nil"/>
                    <w:tr2bl w:val="nil"/>
                  </w:tcBorders>
                  <w:noWrap w:val="0"/>
                  <w:vAlign w:val="center"/>
                </w:tcPr>
                <w:p w14:paraId="302F54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达标</w:t>
                  </w:r>
                </w:p>
              </w:tc>
            </w:tr>
            <w:tr w14:paraId="53D323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vMerge w:val="continue"/>
                  <w:tcBorders>
                    <w:tl2br w:val="nil"/>
                    <w:tr2bl w:val="nil"/>
                  </w:tcBorders>
                  <w:noWrap w:val="0"/>
                  <w:vAlign w:val="center"/>
                </w:tcPr>
                <w:p w14:paraId="762C09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042" w:type="dxa"/>
                  <w:vMerge w:val="continue"/>
                  <w:tcBorders>
                    <w:tl2br w:val="nil"/>
                    <w:tr2bl w:val="nil"/>
                  </w:tcBorders>
                  <w:noWrap w:val="0"/>
                  <w:vAlign w:val="center"/>
                </w:tcPr>
                <w:p w14:paraId="687184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760" w:type="dxa"/>
                  <w:tcBorders>
                    <w:tl2br w:val="nil"/>
                    <w:tr2bl w:val="nil"/>
                  </w:tcBorders>
                  <w:noWrap w:val="0"/>
                  <w:vAlign w:val="center"/>
                </w:tcPr>
                <w:p w14:paraId="695DC721">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二氧</w:t>
                  </w:r>
                </w:p>
                <w:p w14:paraId="7EE89083">
                  <w:pPr>
                    <w:keepNext w:val="0"/>
                    <w:keepLines w:val="0"/>
                    <w:widowControl/>
                    <w:suppressLineNumbers w:val="0"/>
                    <w:wordWrap/>
                    <w:jc w:val="center"/>
                    <w:textAlignment w:val="cente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化硫</w:t>
                  </w:r>
                </w:p>
              </w:tc>
              <w:tc>
                <w:tcPr>
                  <w:tcW w:w="2020" w:type="dxa"/>
                  <w:vMerge w:val="continue"/>
                  <w:tcBorders>
                    <w:tl2br w:val="nil"/>
                    <w:tr2bl w:val="nil"/>
                  </w:tcBorders>
                  <w:noWrap w:val="0"/>
                  <w:vAlign w:val="center"/>
                </w:tcPr>
                <w:p w14:paraId="102C96CB">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p>
              </w:tc>
              <w:tc>
                <w:tcPr>
                  <w:tcW w:w="1230" w:type="dxa"/>
                  <w:tcBorders>
                    <w:tl2br w:val="nil"/>
                    <w:tr2bl w:val="nil"/>
                  </w:tcBorders>
                  <w:noWrap w:val="0"/>
                  <w:vAlign w:val="center"/>
                </w:tcPr>
                <w:p w14:paraId="087EF9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20</w:t>
                  </w:r>
                  <w:r>
                    <w:rPr>
                      <w:rFonts w:hint="eastAsia" w:cs="Times New Roman"/>
                      <w:color w:val="000000" w:themeColor="text1"/>
                      <w:sz w:val="21"/>
                      <w:szCs w:val="21"/>
                      <w:highlight w:val="none"/>
                      <w:vertAlign w:val="baseline"/>
                      <w:lang w:val="en-US" w:eastAsia="zh-CN"/>
                      <w14:textFill>
                        <w14:solidFill>
                          <w14:schemeClr w14:val="tx1"/>
                        </w14:solidFill>
                      </w14:textFill>
                    </w:rPr>
                    <w:t>0</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p>
              </w:tc>
              <w:tc>
                <w:tcPr>
                  <w:tcW w:w="1871" w:type="dxa"/>
                  <w:tcBorders>
                    <w:tl2br w:val="nil"/>
                    <w:tr2bl w:val="nil"/>
                  </w:tcBorders>
                  <w:noWrap w:val="0"/>
                  <w:vAlign w:val="center"/>
                </w:tcPr>
                <w:p w14:paraId="5AECF286">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11.47</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p>
              </w:tc>
              <w:tc>
                <w:tcPr>
                  <w:tcW w:w="542" w:type="dxa"/>
                  <w:tcBorders>
                    <w:tl2br w:val="nil"/>
                    <w:tr2bl w:val="nil"/>
                  </w:tcBorders>
                  <w:noWrap w:val="0"/>
                  <w:vAlign w:val="center"/>
                </w:tcPr>
                <w:p w14:paraId="2D9D11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达标</w:t>
                  </w:r>
                </w:p>
              </w:tc>
            </w:tr>
            <w:tr w14:paraId="3D729F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81" w:type="dxa"/>
                  <w:vMerge w:val="continue"/>
                  <w:tcBorders>
                    <w:tl2br w:val="nil"/>
                    <w:tr2bl w:val="nil"/>
                  </w:tcBorders>
                  <w:noWrap w:val="0"/>
                  <w:vAlign w:val="center"/>
                </w:tcPr>
                <w:p w14:paraId="5000BE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1042" w:type="dxa"/>
                  <w:vMerge w:val="continue"/>
                  <w:tcBorders>
                    <w:tl2br w:val="nil"/>
                    <w:tr2bl w:val="nil"/>
                  </w:tcBorders>
                  <w:noWrap w:val="0"/>
                  <w:vAlign w:val="center"/>
                </w:tcPr>
                <w:p w14:paraId="6056C6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p>
              </w:tc>
              <w:tc>
                <w:tcPr>
                  <w:tcW w:w="760" w:type="dxa"/>
                  <w:tcBorders>
                    <w:tl2br w:val="nil"/>
                    <w:tr2bl w:val="nil"/>
                  </w:tcBorders>
                  <w:noWrap w:val="0"/>
                  <w:vAlign w:val="center"/>
                </w:tcPr>
                <w:p w14:paraId="73D17637">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氮氧</w:t>
                  </w:r>
                </w:p>
                <w:p w14:paraId="59CDA33E">
                  <w:pPr>
                    <w:keepNext w:val="0"/>
                    <w:keepLines w:val="0"/>
                    <w:widowControl/>
                    <w:suppressLineNumbers w:val="0"/>
                    <w:wordWrap/>
                    <w:jc w:val="center"/>
                    <w:textAlignment w:val="cente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化物</w:t>
                  </w:r>
                </w:p>
              </w:tc>
              <w:tc>
                <w:tcPr>
                  <w:tcW w:w="2020" w:type="dxa"/>
                  <w:vMerge w:val="continue"/>
                  <w:tcBorders>
                    <w:tl2br w:val="nil"/>
                    <w:tr2bl w:val="nil"/>
                  </w:tcBorders>
                  <w:noWrap w:val="0"/>
                  <w:vAlign w:val="center"/>
                </w:tcPr>
                <w:p w14:paraId="323A363F">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pPr>
                </w:p>
              </w:tc>
              <w:tc>
                <w:tcPr>
                  <w:tcW w:w="1230" w:type="dxa"/>
                  <w:tcBorders>
                    <w:tl2br w:val="nil"/>
                    <w:tr2bl w:val="nil"/>
                  </w:tcBorders>
                  <w:noWrap w:val="0"/>
                  <w:vAlign w:val="center"/>
                </w:tcPr>
                <w:p w14:paraId="65933A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300mg/m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p>
              </w:tc>
              <w:tc>
                <w:tcPr>
                  <w:tcW w:w="1871" w:type="dxa"/>
                  <w:tcBorders>
                    <w:tl2br w:val="nil"/>
                    <w:tr2bl w:val="nil"/>
                  </w:tcBorders>
                  <w:noWrap w:val="0"/>
                  <w:vAlign w:val="center"/>
                </w:tcPr>
                <w:p w14:paraId="55B3AA34">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54.28</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p>
              </w:tc>
              <w:tc>
                <w:tcPr>
                  <w:tcW w:w="542" w:type="dxa"/>
                  <w:tcBorders>
                    <w:tl2br w:val="nil"/>
                    <w:tr2bl w:val="nil"/>
                  </w:tcBorders>
                  <w:noWrap w:val="0"/>
                  <w:vAlign w:val="center"/>
                </w:tcPr>
                <w:p w14:paraId="036B53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达标</w:t>
                  </w:r>
                </w:p>
              </w:tc>
            </w:tr>
          </w:tbl>
          <w:p w14:paraId="679E34D0">
            <w:pPr>
              <w:pStyle w:val="78"/>
              <w:ind w:left="0" w:leftChars="0" w:firstLine="482" w:firstLineChars="200"/>
              <w:rPr>
                <w:rFonts w:hint="default" w:ascii="Times New Roman" w:hAnsi="Times New Roman" w:eastAsia="宋体" w:cs="Times New Roman"/>
                <w:b/>
                <w:bCs/>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Cs w:val="24"/>
                <w:highlight w:val="none"/>
                <w:lang w:val="en-US" w:eastAsia="zh-CN"/>
                <w14:textFill>
                  <w14:solidFill>
                    <w14:schemeClr w14:val="tx1"/>
                  </w14:solidFill>
                </w14:textFill>
              </w:rPr>
              <w:t>1.3废气污染影响分析</w:t>
            </w:r>
          </w:p>
          <w:p w14:paraId="5F61E14F">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为了解本项目废气对周边环境的影响，本环评采用《环境影响评价技术导则大气环境》（HJ2.2-2018）推荐的AERSCREEN软件对上述选定的污染物进行分析。</w:t>
            </w:r>
          </w:p>
          <w:p w14:paraId="0F2C0158">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（1）估算模型参数</w:t>
            </w:r>
          </w:p>
          <w:p w14:paraId="3AEA9456">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估算模型参数见表4-5。</w:t>
            </w:r>
          </w:p>
          <w:p w14:paraId="66EE2096">
            <w:pPr>
              <w:spacing w:line="223" w:lineRule="auto"/>
              <w:jc w:val="center"/>
              <w:rPr>
                <w:rFonts w:ascii="宋体" w:hAnsi="宋体" w:eastAsia="宋体" w:cs="宋体"/>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spacing w:val="4"/>
                <w:sz w:val="21"/>
                <w:szCs w:val="21"/>
                <w14:textFill>
                  <w14:solidFill>
                    <w14:schemeClr w14:val="tx1"/>
                  </w14:solidFill>
                </w14:textFill>
              </w:rPr>
              <w:t>表</w:t>
            </w: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4-5</w:t>
            </w:r>
            <w:r>
              <w:rPr>
                <w:rFonts w:hint="default" w:ascii="Times New Roman" w:hAnsi="Times New Roman" w:eastAsia="宋体" w:cs="Times New Roman"/>
                <w:b/>
                <w:bCs/>
                <w:color w:val="000000" w:themeColor="text1"/>
                <w:spacing w:val="4"/>
                <w:sz w:val="21"/>
                <w:szCs w:val="21"/>
                <w14:textFill>
                  <w14:solidFill>
                    <w14:schemeClr w14:val="tx1"/>
                  </w14:solidFill>
                </w14:textFill>
              </w:rPr>
              <w:t xml:space="preserve">   估算模型参数表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522"/>
              <w:gridCol w:w="467"/>
              <w:gridCol w:w="2242"/>
              <w:gridCol w:w="3715"/>
            </w:tblGrid>
            <w:tr w14:paraId="7180CC2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710" w:type="dxa"/>
                  <w:gridSpan w:val="3"/>
                  <w:tcBorders>
                    <w:tl2br w:val="nil"/>
                    <w:tr2bl w:val="nil"/>
                  </w:tcBorders>
                  <w:noWrap w:val="0"/>
                  <w:vAlign w:val="center"/>
                </w:tcPr>
                <w:p w14:paraId="52895776">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选项</w:t>
                  </w:r>
                </w:p>
              </w:tc>
              <w:tc>
                <w:tcPr>
                  <w:tcW w:w="4134" w:type="dxa"/>
                  <w:tcBorders>
                    <w:tl2br w:val="nil"/>
                    <w:tr2bl w:val="nil"/>
                  </w:tcBorders>
                  <w:noWrap w:val="0"/>
                  <w:vAlign w:val="center"/>
                </w:tcPr>
                <w:p w14:paraId="449EF4F4">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参数</w:t>
                  </w:r>
                </w:p>
              </w:tc>
            </w:tr>
            <w:tr w14:paraId="50F0B71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694" w:type="dxa"/>
                  <w:vMerge w:val="restart"/>
                  <w:tcBorders>
                    <w:tl2br w:val="nil"/>
                    <w:tr2bl w:val="nil"/>
                  </w:tcBorders>
                  <w:noWrap w:val="0"/>
                  <w:vAlign w:val="center"/>
                </w:tcPr>
                <w:p w14:paraId="0CCE054C">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城市/农村选项</w:t>
                  </w:r>
                </w:p>
              </w:tc>
              <w:tc>
                <w:tcPr>
                  <w:tcW w:w="3016" w:type="dxa"/>
                  <w:gridSpan w:val="2"/>
                  <w:tcBorders>
                    <w:tl2br w:val="nil"/>
                    <w:tr2bl w:val="nil"/>
                  </w:tcBorders>
                  <w:noWrap w:val="0"/>
                  <w:vAlign w:val="center"/>
                </w:tcPr>
                <w:p w14:paraId="31BB399C">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城市/农村</w:t>
                  </w:r>
                </w:p>
              </w:tc>
              <w:tc>
                <w:tcPr>
                  <w:tcW w:w="4134" w:type="dxa"/>
                  <w:tcBorders>
                    <w:tl2br w:val="nil"/>
                    <w:tr2bl w:val="nil"/>
                  </w:tcBorders>
                  <w:noWrap w:val="0"/>
                  <w:vAlign w:val="center"/>
                </w:tcPr>
                <w:p w14:paraId="57C069A1">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农村</w:t>
                  </w:r>
                </w:p>
              </w:tc>
            </w:tr>
            <w:tr w14:paraId="60B3F7B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694" w:type="dxa"/>
                  <w:vMerge w:val="continue"/>
                  <w:tcBorders>
                    <w:tl2br w:val="nil"/>
                    <w:tr2bl w:val="nil"/>
                  </w:tcBorders>
                  <w:noWrap w:val="0"/>
                  <w:vAlign w:val="center"/>
                </w:tcPr>
                <w:p w14:paraId="76EFC63F">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p>
              </w:tc>
              <w:tc>
                <w:tcPr>
                  <w:tcW w:w="3016" w:type="dxa"/>
                  <w:gridSpan w:val="2"/>
                  <w:tcBorders>
                    <w:tl2br w:val="nil"/>
                    <w:tr2bl w:val="nil"/>
                  </w:tcBorders>
                  <w:noWrap w:val="0"/>
                  <w:vAlign w:val="center"/>
                </w:tcPr>
                <w:p w14:paraId="3CF1A531">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人口数（城市选项时）</w:t>
                  </w:r>
                </w:p>
              </w:tc>
              <w:tc>
                <w:tcPr>
                  <w:tcW w:w="4134" w:type="dxa"/>
                  <w:tcBorders>
                    <w:tl2br w:val="nil"/>
                    <w:tr2bl w:val="nil"/>
                  </w:tcBorders>
                  <w:noWrap w:val="0"/>
                  <w:vAlign w:val="center"/>
                </w:tcPr>
                <w:p w14:paraId="38A4531C">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w:t>
                  </w:r>
                </w:p>
              </w:tc>
            </w:tr>
            <w:tr w14:paraId="4B71458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710" w:type="dxa"/>
                  <w:gridSpan w:val="3"/>
                  <w:tcBorders>
                    <w:tl2br w:val="nil"/>
                    <w:tr2bl w:val="nil"/>
                  </w:tcBorders>
                  <w:noWrap w:val="0"/>
                  <w:vAlign w:val="center"/>
                </w:tcPr>
                <w:p w14:paraId="37BF5BB5">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最高环境温度/℃</w:t>
                  </w:r>
                </w:p>
              </w:tc>
              <w:tc>
                <w:tcPr>
                  <w:tcW w:w="4134" w:type="dxa"/>
                  <w:tcBorders>
                    <w:tl2br w:val="nil"/>
                    <w:tr2bl w:val="nil"/>
                  </w:tcBorders>
                  <w:noWrap w:val="0"/>
                  <w:vAlign w:val="center"/>
                </w:tcPr>
                <w:p w14:paraId="15F5BF59">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lang w:val="en-US" w:eastAsia="zh-CN"/>
                      <w14:textFill>
                        <w14:solidFill>
                          <w14:schemeClr w14:val="tx1"/>
                        </w14:solidFill>
                      </w14:textFill>
                    </w:rPr>
                    <w:t>41.6</w:t>
                  </w:r>
                </w:p>
              </w:tc>
            </w:tr>
            <w:tr w14:paraId="60ACBEA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710" w:type="dxa"/>
                  <w:gridSpan w:val="3"/>
                  <w:tcBorders>
                    <w:tl2br w:val="nil"/>
                    <w:tr2bl w:val="nil"/>
                  </w:tcBorders>
                  <w:noWrap w:val="0"/>
                  <w:vAlign w:val="center"/>
                </w:tcPr>
                <w:p w14:paraId="73E03DF1">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最低环境温度/℃</w:t>
                  </w:r>
                </w:p>
              </w:tc>
              <w:tc>
                <w:tcPr>
                  <w:tcW w:w="4134" w:type="dxa"/>
                  <w:tcBorders>
                    <w:tl2br w:val="nil"/>
                    <w:tr2bl w:val="nil"/>
                  </w:tcBorders>
                  <w:noWrap w:val="0"/>
                  <w:vAlign w:val="center"/>
                </w:tcPr>
                <w:p w14:paraId="798E1E98">
                  <w:pPr>
                    <w:jc w:val="center"/>
                    <w:rPr>
                      <w:rFonts w:hint="default" w:ascii="Times New Roman" w:hAnsi="Times New Roman" w:eastAsia="宋体" w:cs="Times New Roman"/>
                      <w:snapToGrid w:val="0"/>
                      <w:color w:val="000000" w:themeColor="text1"/>
                      <w:kern w:val="0"/>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33.8</w:t>
                  </w:r>
                </w:p>
              </w:tc>
            </w:tr>
            <w:tr w14:paraId="1EF0017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710" w:type="dxa"/>
                  <w:gridSpan w:val="3"/>
                  <w:tcBorders>
                    <w:tl2br w:val="nil"/>
                    <w:tr2bl w:val="nil"/>
                  </w:tcBorders>
                  <w:noWrap w:val="0"/>
                  <w:vAlign w:val="center"/>
                </w:tcPr>
                <w:p w14:paraId="0FA30C30">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土地利用类型</w:t>
                  </w:r>
                </w:p>
              </w:tc>
              <w:tc>
                <w:tcPr>
                  <w:tcW w:w="4134" w:type="dxa"/>
                  <w:tcBorders>
                    <w:tl2br w:val="nil"/>
                    <w:tr2bl w:val="nil"/>
                  </w:tcBorders>
                  <w:noWrap w:val="0"/>
                  <w:vAlign w:val="center"/>
                </w:tcPr>
                <w:p w14:paraId="65D34CD5">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城市</w:t>
                  </w:r>
                </w:p>
              </w:tc>
            </w:tr>
            <w:tr w14:paraId="57CC5E8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710" w:type="dxa"/>
                  <w:gridSpan w:val="3"/>
                  <w:tcBorders>
                    <w:tl2br w:val="nil"/>
                    <w:tr2bl w:val="nil"/>
                  </w:tcBorders>
                  <w:noWrap w:val="0"/>
                  <w:vAlign w:val="center"/>
                </w:tcPr>
                <w:p w14:paraId="2046DEB9">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区域湿度条件</w:t>
                  </w:r>
                </w:p>
              </w:tc>
              <w:tc>
                <w:tcPr>
                  <w:tcW w:w="4134" w:type="dxa"/>
                  <w:tcBorders>
                    <w:tl2br w:val="nil"/>
                    <w:tr2bl w:val="nil"/>
                  </w:tcBorders>
                  <w:noWrap w:val="0"/>
                  <w:vAlign w:val="center"/>
                </w:tcPr>
                <w:p w14:paraId="510D55DD">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干燥</w:t>
                  </w:r>
                </w:p>
              </w:tc>
            </w:tr>
            <w:tr w14:paraId="5572751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2214" w:type="dxa"/>
                  <w:gridSpan w:val="2"/>
                  <w:vMerge w:val="restart"/>
                  <w:tcBorders>
                    <w:tl2br w:val="nil"/>
                    <w:tr2bl w:val="nil"/>
                  </w:tcBorders>
                  <w:noWrap w:val="0"/>
                  <w:vAlign w:val="center"/>
                </w:tcPr>
                <w:p w14:paraId="00EA254B">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是否考虑地形</w:t>
                  </w:r>
                </w:p>
              </w:tc>
              <w:tc>
                <w:tcPr>
                  <w:tcW w:w="2496" w:type="dxa"/>
                  <w:tcBorders>
                    <w:tl2br w:val="nil"/>
                    <w:tr2bl w:val="nil"/>
                  </w:tcBorders>
                  <w:noWrap w:val="0"/>
                  <w:vAlign w:val="center"/>
                </w:tcPr>
                <w:p w14:paraId="1C5F064D">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考虑地形</w:t>
                  </w:r>
                </w:p>
              </w:tc>
              <w:tc>
                <w:tcPr>
                  <w:tcW w:w="4134" w:type="dxa"/>
                  <w:tcBorders>
                    <w:tl2br w:val="nil"/>
                    <w:tr2bl w:val="nil"/>
                  </w:tcBorders>
                  <w:noWrap w:val="0"/>
                  <w:vAlign w:val="center"/>
                </w:tcPr>
                <w:p w14:paraId="417AA23A">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是√否</w:t>
                  </w:r>
                </w:p>
              </w:tc>
            </w:tr>
            <w:tr w14:paraId="076C72D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2214" w:type="dxa"/>
                  <w:gridSpan w:val="2"/>
                  <w:vMerge w:val="continue"/>
                  <w:tcBorders>
                    <w:tl2br w:val="nil"/>
                    <w:tr2bl w:val="nil"/>
                  </w:tcBorders>
                  <w:noWrap w:val="0"/>
                  <w:vAlign w:val="center"/>
                </w:tcPr>
                <w:p w14:paraId="658A611A">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p>
              </w:tc>
              <w:tc>
                <w:tcPr>
                  <w:tcW w:w="2496" w:type="dxa"/>
                  <w:tcBorders>
                    <w:tl2br w:val="nil"/>
                    <w:tr2bl w:val="nil"/>
                  </w:tcBorders>
                  <w:noWrap w:val="0"/>
                  <w:vAlign w:val="center"/>
                </w:tcPr>
                <w:p w14:paraId="619D34A7">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地形数据分辨率/米</w:t>
                  </w:r>
                </w:p>
              </w:tc>
              <w:tc>
                <w:tcPr>
                  <w:tcW w:w="4134" w:type="dxa"/>
                  <w:tcBorders>
                    <w:tl2br w:val="nil"/>
                    <w:tr2bl w:val="nil"/>
                  </w:tcBorders>
                  <w:noWrap w:val="0"/>
                  <w:vAlign w:val="center"/>
                </w:tcPr>
                <w:p w14:paraId="78440C24">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90米</w:t>
                  </w:r>
                </w:p>
              </w:tc>
            </w:tr>
            <w:tr w14:paraId="308A34F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2214" w:type="dxa"/>
                  <w:gridSpan w:val="2"/>
                  <w:vMerge w:val="restart"/>
                  <w:tcBorders>
                    <w:tl2br w:val="nil"/>
                    <w:tr2bl w:val="nil"/>
                  </w:tcBorders>
                  <w:noWrap w:val="0"/>
                  <w:vAlign w:val="center"/>
                </w:tcPr>
                <w:p w14:paraId="4AD51500">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是否考虑海岸线熏烟</w:t>
                  </w:r>
                </w:p>
              </w:tc>
              <w:tc>
                <w:tcPr>
                  <w:tcW w:w="2496" w:type="dxa"/>
                  <w:tcBorders>
                    <w:tl2br w:val="nil"/>
                    <w:tr2bl w:val="nil"/>
                  </w:tcBorders>
                  <w:noWrap w:val="0"/>
                  <w:vAlign w:val="center"/>
                </w:tcPr>
                <w:p w14:paraId="35F4E4A2">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考虑海岸线熏烟</w:t>
                  </w:r>
                </w:p>
              </w:tc>
              <w:tc>
                <w:tcPr>
                  <w:tcW w:w="4134" w:type="dxa"/>
                  <w:tcBorders>
                    <w:tl2br w:val="nil"/>
                    <w:tr2bl w:val="nil"/>
                  </w:tcBorders>
                  <w:noWrap w:val="0"/>
                  <w:vAlign w:val="center"/>
                </w:tcPr>
                <w:p w14:paraId="0BBBCD22">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是√否</w:t>
                  </w:r>
                </w:p>
              </w:tc>
            </w:tr>
            <w:tr w14:paraId="794ABD2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2214" w:type="dxa"/>
                  <w:gridSpan w:val="2"/>
                  <w:vMerge w:val="continue"/>
                  <w:tcBorders>
                    <w:tl2br w:val="nil"/>
                    <w:tr2bl w:val="nil"/>
                  </w:tcBorders>
                  <w:noWrap w:val="0"/>
                  <w:vAlign w:val="center"/>
                </w:tcPr>
                <w:p w14:paraId="3689949B">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p>
              </w:tc>
              <w:tc>
                <w:tcPr>
                  <w:tcW w:w="2496" w:type="dxa"/>
                  <w:tcBorders>
                    <w:tl2br w:val="nil"/>
                    <w:tr2bl w:val="nil"/>
                  </w:tcBorders>
                  <w:noWrap w:val="0"/>
                  <w:vAlign w:val="center"/>
                </w:tcPr>
                <w:p w14:paraId="64901BA1">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岸线距离/千米</w:t>
                  </w:r>
                </w:p>
              </w:tc>
              <w:tc>
                <w:tcPr>
                  <w:tcW w:w="4134" w:type="dxa"/>
                  <w:tcBorders>
                    <w:tl2br w:val="nil"/>
                    <w:tr2bl w:val="nil"/>
                  </w:tcBorders>
                  <w:noWrap w:val="0"/>
                  <w:vAlign w:val="center"/>
                </w:tcPr>
                <w:p w14:paraId="27D1C824">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w:t>
                  </w:r>
                </w:p>
              </w:tc>
            </w:tr>
            <w:tr w14:paraId="0DEB50B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2214" w:type="dxa"/>
                  <w:gridSpan w:val="2"/>
                  <w:vMerge w:val="continue"/>
                  <w:tcBorders>
                    <w:tl2br w:val="nil"/>
                    <w:tr2bl w:val="nil"/>
                  </w:tcBorders>
                  <w:noWrap w:val="0"/>
                  <w:vAlign w:val="center"/>
                </w:tcPr>
                <w:p w14:paraId="4353EA0F">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p>
              </w:tc>
              <w:tc>
                <w:tcPr>
                  <w:tcW w:w="2496" w:type="dxa"/>
                  <w:tcBorders>
                    <w:tl2br w:val="nil"/>
                    <w:tr2bl w:val="nil"/>
                  </w:tcBorders>
                  <w:noWrap w:val="0"/>
                  <w:vAlign w:val="center"/>
                </w:tcPr>
                <w:p w14:paraId="061DF189">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岸线方向/°</w:t>
                  </w:r>
                </w:p>
              </w:tc>
              <w:tc>
                <w:tcPr>
                  <w:tcW w:w="4134" w:type="dxa"/>
                  <w:tcBorders>
                    <w:tl2br w:val="nil"/>
                    <w:tr2bl w:val="nil"/>
                  </w:tcBorders>
                  <w:noWrap w:val="0"/>
                  <w:vAlign w:val="center"/>
                </w:tcPr>
                <w:p w14:paraId="7F5859DB">
                  <w:pPr>
                    <w:keepNext w:val="0"/>
                    <w:keepLines w:val="0"/>
                    <w:pageBreakBefore w:val="0"/>
                    <w:widowControl/>
                    <w:kinsoku w:val="0"/>
                    <w:wordWrap/>
                    <w:overflowPunct/>
                    <w:topLinePunct w:val="0"/>
                    <w:autoSpaceDE w:val="0"/>
                    <w:autoSpaceDN w:val="0"/>
                    <w:bidi w:val="0"/>
                    <w:adjustRightInd w:val="0"/>
                    <w:snapToGrid w:val="0"/>
                    <w:spacing w:line="240" w:lineRule="auto"/>
                    <w:contextualSpacing/>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w:t>
                  </w:r>
                </w:p>
              </w:tc>
            </w:tr>
          </w:tbl>
          <w:p w14:paraId="2C72E90F">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（2）污染源参数</w:t>
            </w:r>
          </w:p>
          <w:p w14:paraId="5926B45D">
            <w:pPr>
              <w:pStyle w:val="78"/>
              <w:ind w:left="0" w:leftChars="0" w:firstLine="482" w:firstLineChars="200"/>
              <w:rPr>
                <w:rFonts w:hint="eastAsia" w:ascii="Times New Roman" w:hAnsi="Times New Roman" w:eastAsia="宋体" w:cs="Times New Roman"/>
                <w:b/>
                <w:bCs/>
                <w:color w:val="000000" w:themeColor="text1"/>
                <w:kern w:val="0"/>
                <w:szCs w:val="24"/>
                <w:highlight w:val="none"/>
                <w:lang w:val="en-US" w:eastAsia="zh-CN"/>
                <w14:textFill>
                  <w14:solidFill>
                    <w14:schemeClr w14:val="tx1"/>
                  </w14:solidFill>
                </w14:textFill>
              </w:rPr>
            </w:pPr>
          </w:p>
          <w:p w14:paraId="6A0182F6">
            <w:pPr>
              <w:pStyle w:val="78"/>
              <w:ind w:left="0" w:leftChars="0" w:firstLine="482" w:firstLineChars="200"/>
              <w:rPr>
                <w:rFonts w:hint="eastAsia" w:ascii="Times New Roman" w:hAnsi="Times New Roman" w:eastAsia="宋体" w:cs="Times New Roman"/>
                <w:b/>
                <w:bCs/>
                <w:color w:val="000000" w:themeColor="text1"/>
                <w:kern w:val="0"/>
                <w:szCs w:val="24"/>
                <w:highlight w:val="none"/>
                <w:lang w:val="en-US" w:eastAsia="zh-CN"/>
                <w14:textFill>
                  <w14:solidFill>
                    <w14:schemeClr w14:val="tx1"/>
                  </w14:solidFill>
                </w14:textFill>
              </w:rPr>
            </w:pPr>
          </w:p>
          <w:p w14:paraId="5B406A63">
            <w:pPr>
              <w:pStyle w:val="78"/>
              <w:ind w:left="0" w:leftChars="0" w:firstLine="482" w:firstLineChars="200"/>
              <w:rPr>
                <w:rFonts w:hint="eastAsia" w:ascii="Times New Roman" w:hAnsi="Times New Roman" w:eastAsia="宋体" w:cs="Times New Roman"/>
                <w:b/>
                <w:bCs/>
                <w:color w:val="000000" w:themeColor="text1"/>
                <w:kern w:val="0"/>
                <w:szCs w:val="24"/>
                <w:highlight w:val="none"/>
                <w:lang w:val="en-US" w:eastAsia="zh-CN"/>
                <w14:textFill>
                  <w14:solidFill>
                    <w14:schemeClr w14:val="tx1"/>
                  </w14:solidFill>
                </w14:textFill>
              </w:rPr>
            </w:pPr>
          </w:p>
          <w:p w14:paraId="5A8942FF">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E981AD0">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F8C6029">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0D7DF34">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601909F">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5F289889">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B900B9D">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CB24EC8">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FB42275">
            <w:pPr>
              <w:pStyle w:val="36"/>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1CB964E">
            <w:pPr>
              <w:pStyle w:val="39"/>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18C069D2">
            <w:pPr>
              <w:rPr>
                <w:rFonts w:hint="default"/>
                <w:color w:val="000000" w:themeColor="text1"/>
                <w14:textFill>
                  <w14:solidFill>
                    <w14:schemeClr w14:val="tx1"/>
                  </w14:solidFill>
                </w14:textFill>
              </w:rPr>
            </w:pPr>
          </w:p>
          <w:p w14:paraId="61B26655">
            <w:pPr>
              <w:adjustRightInd w:val="0"/>
              <w:snapToGrid w:val="0"/>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4882F5E">
            <w:pPr>
              <w:pStyle w:val="36"/>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ACF125E">
            <w:pPr>
              <w:pStyle w:val="39"/>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5FAA9F9">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132760E8">
            <w:pPr>
              <w:pStyle w:val="36"/>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2EAD4043">
            <w:pPr>
              <w:pStyle w:val="39"/>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591C69F">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BDEDC2E">
            <w:pPr>
              <w:pStyle w:val="36"/>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4B33900A">
            <w:pPr>
              <w:pStyle w:val="39"/>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7D5E26B8">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1C4E3573">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EB64955">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694AC78C">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065BF19B">
            <w:pPr>
              <w:rPr>
                <w:rFonts w:hint="default" w:ascii="Times New Roman" w:hAnsi="Times New Roman" w:eastAsia="宋体" w:cs="Times New Roman"/>
                <w:bCs/>
                <w:color w:val="000000" w:themeColor="text1"/>
                <w:spacing w:val="-10"/>
                <w:sz w:val="24"/>
                <w:szCs w:val="24"/>
                <w14:textFill>
                  <w14:solidFill>
                    <w14:schemeClr w14:val="tx1"/>
                  </w14:solidFill>
                </w14:textFill>
              </w:rPr>
            </w:pPr>
          </w:p>
          <w:p w14:paraId="4ECAE6F5">
            <w:pPr>
              <w:pStyle w:val="39"/>
              <w:jc w:val="both"/>
              <w:rPr>
                <w:rFonts w:hint="default"/>
                <w:color w:val="000000" w:themeColor="text1"/>
                <w14:textFill>
                  <w14:solidFill>
                    <w14:schemeClr w14:val="tx1"/>
                  </w14:solidFill>
                </w14:textFill>
              </w:rPr>
            </w:pPr>
          </w:p>
        </w:tc>
      </w:tr>
    </w:tbl>
    <w:p w14:paraId="0B970151">
      <w:pPr>
        <w:adjustRightInd w:val="0"/>
        <w:snapToGrid w:val="0"/>
        <w:spacing w:line="360" w:lineRule="auto"/>
        <w:rPr>
          <w:rFonts w:hint="default" w:ascii="Times New Roman" w:hAnsi="Times New Roman" w:eastAsia="宋体" w:cs="Times New Roman"/>
          <w:b/>
          <w:color w:val="000000" w:themeColor="text1"/>
          <w:kern w:val="0"/>
          <w:sz w:val="28"/>
          <w:szCs w:val="28"/>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9"/>
        <w:tblW w:w="506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2688"/>
      </w:tblGrid>
      <w:tr w14:paraId="3D5463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8615" w:hRule="atLeast"/>
          <w:jc w:val="center"/>
        </w:trPr>
        <w:tc>
          <w:tcPr>
            <w:tcW w:w="614" w:type="dxa"/>
            <w:noWrap w:val="0"/>
            <w:tcMar>
              <w:left w:w="28" w:type="dxa"/>
              <w:right w:w="28" w:type="dxa"/>
            </w:tcMar>
            <w:vAlign w:val="center"/>
          </w:tcPr>
          <w:p w14:paraId="35DAEF62">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运营</w:t>
            </w:r>
          </w:p>
          <w:p w14:paraId="76C2EA77">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期环</w:t>
            </w:r>
          </w:p>
          <w:p w14:paraId="68CE03FA">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境影</w:t>
            </w:r>
          </w:p>
          <w:p w14:paraId="1B2E3B22">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响和</w:t>
            </w:r>
          </w:p>
          <w:p w14:paraId="06C4AB22">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保护</w:t>
            </w:r>
          </w:p>
          <w:p w14:paraId="5D11C99F">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措施</w:t>
            </w:r>
          </w:p>
        </w:tc>
        <w:tc>
          <w:tcPr>
            <w:tcW w:w="12613" w:type="dxa"/>
            <w:noWrap w:val="0"/>
            <w:vAlign w:val="center"/>
          </w:tcPr>
          <w:p w14:paraId="674226EA">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项目点源排放参数见表4-</w:t>
            </w:r>
            <w:r>
              <w:rPr>
                <w:rFonts w:hint="eastAsia" w:cs="Times New Roman"/>
                <w:snapToGrid/>
                <w:color w:val="000000" w:themeColor="text1"/>
                <w:kern w:val="0"/>
                <w:sz w:val="24"/>
                <w:szCs w:val="24"/>
                <w:lang w:val="en-US" w:eastAsia="zh-CN" w:bidi="ar"/>
                <w14:textFill>
                  <w14:solidFill>
                    <w14:schemeClr w14:val="tx1"/>
                  </w14:solidFill>
                </w14:textFill>
              </w:rPr>
              <w:t>6</w:t>
            </w: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，面源排放参数见表4-</w:t>
            </w:r>
            <w:r>
              <w:rPr>
                <w:rFonts w:hint="eastAsia" w:cs="Times New Roman"/>
                <w:snapToGrid/>
                <w:color w:val="000000" w:themeColor="text1"/>
                <w:kern w:val="0"/>
                <w:sz w:val="24"/>
                <w:szCs w:val="24"/>
                <w:lang w:val="en-US" w:eastAsia="zh-CN" w:bidi="ar"/>
                <w14:textFill>
                  <w14:solidFill>
                    <w14:schemeClr w14:val="tx1"/>
                  </w14:solidFill>
                </w14:textFill>
              </w:rPr>
              <w:t>7</w:t>
            </w: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w:t>
            </w:r>
          </w:p>
          <w:p w14:paraId="39A95ED7">
            <w:pPr>
              <w:spacing w:line="223" w:lineRule="auto"/>
              <w:jc w:val="center"/>
              <w:rPr>
                <w:rFonts w:ascii="宋体" w:hAnsi="宋体" w:eastAsia="宋体" w:cs="宋体"/>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spacing w:val="4"/>
                <w:sz w:val="21"/>
                <w:szCs w:val="21"/>
                <w14:textFill>
                  <w14:solidFill>
                    <w14:schemeClr w14:val="tx1"/>
                  </w14:solidFill>
                </w14:textFill>
              </w:rPr>
              <w:t>表</w:t>
            </w: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4-</w:t>
            </w:r>
            <w:r>
              <w:rPr>
                <w:rFonts w:hint="eastAsia" w:cs="Times New Roman"/>
                <w:b/>
                <w:bCs/>
                <w:color w:val="000000" w:themeColor="text1"/>
                <w:spacing w:val="4"/>
                <w:sz w:val="21"/>
                <w:szCs w:val="21"/>
                <w:lang w:val="en-US" w:eastAsia="zh-CN"/>
                <w14:textFill>
                  <w14:solidFill>
                    <w14:schemeClr w14:val="tx1"/>
                  </w14:solidFill>
                </w14:textFill>
              </w:rPr>
              <w:t>6</w:t>
            </w:r>
            <w:r>
              <w:rPr>
                <w:rFonts w:hint="default" w:ascii="Times New Roman" w:hAnsi="Times New Roman" w:eastAsia="宋体" w:cs="Times New Roman"/>
                <w:b/>
                <w:bCs/>
                <w:color w:val="000000" w:themeColor="text1"/>
                <w:spacing w:val="4"/>
                <w:sz w:val="21"/>
                <w:szCs w:val="21"/>
                <w14:textFill>
                  <w14:solidFill>
                    <w14:schemeClr w14:val="tx1"/>
                  </w14:solidFill>
                </w14:textFill>
              </w:rPr>
              <w:t xml:space="preserve">   </w:t>
            </w: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正常工况</w:t>
            </w:r>
            <w:r>
              <w:rPr>
                <w:rFonts w:hint="default" w:ascii="Times New Roman" w:hAnsi="Times New Roman" w:eastAsia="宋体" w:cs="Times New Roman"/>
                <w:b/>
                <w:bCs/>
                <w:color w:val="000000" w:themeColor="text1"/>
                <w:spacing w:val="4"/>
                <w:sz w:val="21"/>
                <w:szCs w:val="21"/>
                <w14:textFill>
                  <w14:solidFill>
                    <w14:schemeClr w14:val="tx1"/>
                  </w14:solidFill>
                </w14:textFill>
              </w:rPr>
              <w:t>有组织（点源）污染源参数一览表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4"/>
              <w:gridCol w:w="992"/>
              <w:gridCol w:w="1027"/>
              <w:gridCol w:w="923"/>
              <w:gridCol w:w="1292"/>
              <w:gridCol w:w="1062"/>
              <w:gridCol w:w="934"/>
              <w:gridCol w:w="1189"/>
              <w:gridCol w:w="4109"/>
            </w:tblGrid>
            <w:tr w14:paraId="5DAB6E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4" w:type="dxa"/>
                  <w:vMerge w:val="restart"/>
                  <w:tcBorders>
                    <w:tl2br w:val="nil"/>
                    <w:tr2bl w:val="nil"/>
                  </w:tcBorders>
                  <w:shd w:val="clear" w:color="auto" w:fill="auto"/>
                  <w:vAlign w:val="center"/>
                </w:tcPr>
                <w:p w14:paraId="0BD3BFEC">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编号</w:t>
                  </w:r>
                </w:p>
              </w:tc>
              <w:tc>
                <w:tcPr>
                  <w:tcW w:w="992" w:type="dxa"/>
                  <w:vMerge w:val="restart"/>
                  <w:tcBorders>
                    <w:tl2br w:val="nil"/>
                    <w:tr2bl w:val="nil"/>
                  </w:tcBorders>
                  <w:shd w:val="clear" w:color="auto" w:fill="auto"/>
                  <w:vAlign w:val="center"/>
                </w:tcPr>
                <w:p w14:paraId="4E821755">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名称</w:t>
                  </w:r>
                </w:p>
              </w:tc>
              <w:tc>
                <w:tcPr>
                  <w:tcW w:w="1027" w:type="dxa"/>
                  <w:vMerge w:val="restart"/>
                  <w:tcBorders>
                    <w:tl2br w:val="nil"/>
                    <w:tr2bl w:val="nil"/>
                  </w:tcBorders>
                  <w:shd w:val="clear" w:color="auto" w:fill="auto"/>
                  <w:vAlign w:val="center"/>
                </w:tcPr>
                <w:p w14:paraId="5484EA65">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排气筒底部</w:t>
                  </w:r>
                  <w:r>
                    <w:rPr>
                      <w:rFonts w:hint="default" w:ascii="Times New Roman" w:hAnsi="Times New Roman" w:eastAsia="宋体" w:cs="Times New Roman"/>
                      <w:b/>
                      <w:bCs/>
                      <w:color w:val="000000" w:themeColor="text1"/>
                      <w:highlight w:val="none"/>
                      <w:lang w:eastAsia="zh-CN"/>
                      <w14:textFill>
                        <w14:solidFill>
                          <w14:schemeClr w14:val="tx1"/>
                        </w14:solidFill>
                      </w14:textFill>
                    </w:rPr>
                    <w:t>海拔</w:t>
                  </w:r>
                  <w:r>
                    <w:rPr>
                      <w:rFonts w:hint="default" w:ascii="Times New Roman" w:hAnsi="Times New Roman" w:eastAsia="宋体" w:cs="Times New Roman"/>
                      <w:b/>
                      <w:bCs/>
                      <w:color w:val="000000" w:themeColor="text1"/>
                      <w:highlight w:val="none"/>
                      <w14:textFill>
                        <w14:solidFill>
                          <w14:schemeClr w14:val="tx1"/>
                        </w14:solidFill>
                      </w14:textFill>
                    </w:rPr>
                    <w:t>/m</w:t>
                  </w:r>
                </w:p>
              </w:tc>
              <w:tc>
                <w:tcPr>
                  <w:tcW w:w="923" w:type="dxa"/>
                  <w:vMerge w:val="restart"/>
                  <w:tcBorders>
                    <w:tl2br w:val="nil"/>
                    <w:tr2bl w:val="nil"/>
                  </w:tcBorders>
                  <w:shd w:val="clear" w:color="auto" w:fill="auto"/>
                  <w:vAlign w:val="center"/>
                </w:tcPr>
                <w:p w14:paraId="5F05935C">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排气筒高度/m</w:t>
                  </w:r>
                </w:p>
              </w:tc>
              <w:tc>
                <w:tcPr>
                  <w:tcW w:w="1292" w:type="dxa"/>
                  <w:vMerge w:val="restart"/>
                  <w:tcBorders>
                    <w:tl2br w:val="nil"/>
                    <w:tr2bl w:val="nil"/>
                  </w:tcBorders>
                  <w:shd w:val="clear" w:color="auto" w:fill="auto"/>
                  <w:vAlign w:val="center"/>
                </w:tcPr>
                <w:p w14:paraId="209A82B6">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排气筒出口</w:t>
                  </w:r>
                  <w:r>
                    <w:rPr>
                      <w:rFonts w:hint="default" w:ascii="Times New Roman" w:hAnsi="Times New Roman" w:cs="Times New Roman"/>
                      <w:b/>
                      <w:bCs/>
                      <w:color w:val="000000" w:themeColor="text1"/>
                      <w:highlight w:val="none"/>
                      <w:lang w:val="en-US" w:eastAsia="zh-CN"/>
                      <w14:textFill>
                        <w14:solidFill>
                          <w14:schemeClr w14:val="tx1"/>
                        </w14:solidFill>
                      </w14:textFill>
                    </w:rPr>
                    <w:t>外</w:t>
                  </w:r>
                  <w:r>
                    <w:rPr>
                      <w:rFonts w:hint="default" w:ascii="Times New Roman" w:hAnsi="Times New Roman" w:eastAsia="宋体" w:cs="Times New Roman"/>
                      <w:b/>
                      <w:bCs/>
                      <w:color w:val="000000" w:themeColor="text1"/>
                      <w:highlight w:val="none"/>
                      <w14:textFill>
                        <w14:solidFill>
                          <w14:schemeClr w14:val="tx1"/>
                        </w14:solidFill>
                      </w14:textFill>
                    </w:rPr>
                    <w:t>径/m</w:t>
                  </w:r>
                </w:p>
              </w:tc>
              <w:tc>
                <w:tcPr>
                  <w:tcW w:w="1062" w:type="dxa"/>
                  <w:vMerge w:val="restart"/>
                  <w:tcBorders>
                    <w:tl2br w:val="nil"/>
                    <w:tr2bl w:val="nil"/>
                  </w:tcBorders>
                  <w:shd w:val="clear" w:color="auto" w:fill="auto"/>
                  <w:vAlign w:val="center"/>
                </w:tcPr>
                <w:p w14:paraId="1CBCDA00">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烟气量/（m</w:t>
                  </w:r>
                  <w:r>
                    <w:rPr>
                      <w:rFonts w:hint="default" w:ascii="Times New Roman" w:hAnsi="Times New Roman" w:cs="Times New Roman"/>
                      <w:b/>
                      <w:bCs/>
                      <w:color w:val="000000" w:themeColor="text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highlight w:val="none"/>
                      <w14:textFill>
                        <w14:solidFill>
                          <w14:schemeClr w14:val="tx1"/>
                        </w14:solidFill>
                      </w14:textFill>
                    </w:rPr>
                    <w:t>/h）</w:t>
                  </w:r>
                </w:p>
              </w:tc>
              <w:tc>
                <w:tcPr>
                  <w:tcW w:w="934" w:type="dxa"/>
                  <w:vMerge w:val="restart"/>
                  <w:tcBorders>
                    <w:tl2br w:val="nil"/>
                    <w:tr2bl w:val="nil"/>
                  </w:tcBorders>
                  <w:shd w:val="clear" w:color="auto" w:fill="auto"/>
                  <w:vAlign w:val="center"/>
                </w:tcPr>
                <w:p w14:paraId="03400634">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烟气温度/℃</w:t>
                  </w:r>
                </w:p>
              </w:tc>
              <w:tc>
                <w:tcPr>
                  <w:tcW w:w="1189" w:type="dxa"/>
                  <w:vMerge w:val="restart"/>
                  <w:tcBorders>
                    <w:tl2br w:val="nil"/>
                    <w:tr2bl w:val="nil"/>
                  </w:tcBorders>
                  <w:shd w:val="clear" w:color="auto" w:fill="auto"/>
                  <w:vAlign w:val="center"/>
                </w:tcPr>
                <w:p w14:paraId="5ECA553E">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年排放小时数/h</w:t>
                  </w:r>
                </w:p>
              </w:tc>
              <w:tc>
                <w:tcPr>
                  <w:tcW w:w="4109" w:type="dxa"/>
                  <w:tcBorders>
                    <w:tl2br w:val="nil"/>
                    <w:tr2bl w:val="nil"/>
                  </w:tcBorders>
                  <w:shd w:val="clear" w:color="auto" w:fill="auto"/>
                  <w:vAlign w:val="center"/>
                </w:tcPr>
                <w:p w14:paraId="27520F27">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污染物排放速率/（kg/h）</w:t>
                  </w:r>
                </w:p>
              </w:tc>
            </w:tr>
            <w:tr w14:paraId="66B01E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4" w:type="dxa"/>
                  <w:vMerge w:val="continue"/>
                  <w:tcBorders>
                    <w:tl2br w:val="nil"/>
                    <w:tr2bl w:val="nil"/>
                  </w:tcBorders>
                  <w:shd w:val="clear" w:color="auto" w:fill="auto"/>
                  <w:vAlign w:val="center"/>
                </w:tcPr>
                <w:p w14:paraId="62F42DF7">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992" w:type="dxa"/>
                  <w:vMerge w:val="continue"/>
                  <w:tcBorders>
                    <w:tl2br w:val="nil"/>
                    <w:tr2bl w:val="nil"/>
                  </w:tcBorders>
                  <w:shd w:val="clear" w:color="auto" w:fill="auto"/>
                  <w:vAlign w:val="center"/>
                </w:tcPr>
                <w:p w14:paraId="7E997D60">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1027" w:type="dxa"/>
                  <w:vMerge w:val="continue"/>
                  <w:tcBorders>
                    <w:tl2br w:val="nil"/>
                    <w:tr2bl w:val="nil"/>
                  </w:tcBorders>
                  <w:shd w:val="clear" w:color="auto" w:fill="auto"/>
                  <w:vAlign w:val="center"/>
                </w:tcPr>
                <w:p w14:paraId="298D1020">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923" w:type="dxa"/>
                  <w:vMerge w:val="continue"/>
                  <w:tcBorders>
                    <w:tl2br w:val="nil"/>
                    <w:tr2bl w:val="nil"/>
                  </w:tcBorders>
                  <w:shd w:val="clear" w:color="auto" w:fill="auto"/>
                  <w:vAlign w:val="center"/>
                </w:tcPr>
                <w:p w14:paraId="7E5D69DC">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1292" w:type="dxa"/>
                  <w:vMerge w:val="continue"/>
                  <w:tcBorders>
                    <w:tl2br w:val="nil"/>
                    <w:tr2bl w:val="nil"/>
                  </w:tcBorders>
                  <w:shd w:val="clear" w:color="auto" w:fill="auto"/>
                  <w:vAlign w:val="center"/>
                </w:tcPr>
                <w:p w14:paraId="187D81A9">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1062" w:type="dxa"/>
                  <w:vMerge w:val="continue"/>
                  <w:tcBorders>
                    <w:tl2br w:val="nil"/>
                    <w:tr2bl w:val="nil"/>
                  </w:tcBorders>
                  <w:shd w:val="clear" w:color="auto" w:fill="auto"/>
                  <w:vAlign w:val="center"/>
                </w:tcPr>
                <w:p w14:paraId="7844BEF8">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934" w:type="dxa"/>
                  <w:vMerge w:val="continue"/>
                  <w:tcBorders>
                    <w:tl2br w:val="nil"/>
                    <w:tr2bl w:val="nil"/>
                  </w:tcBorders>
                  <w:shd w:val="clear" w:color="auto" w:fill="auto"/>
                  <w:vAlign w:val="center"/>
                </w:tcPr>
                <w:p w14:paraId="623FFAB6">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1189" w:type="dxa"/>
                  <w:vMerge w:val="continue"/>
                  <w:tcBorders>
                    <w:tl2br w:val="nil"/>
                    <w:tr2bl w:val="nil"/>
                  </w:tcBorders>
                  <w:shd w:val="clear" w:color="auto" w:fill="auto"/>
                  <w:vAlign w:val="center"/>
                </w:tcPr>
                <w:p w14:paraId="06BA5078">
                  <w:pPr>
                    <w:pStyle w:val="88"/>
                    <w:rPr>
                      <w:rFonts w:hint="default" w:ascii="Times New Roman" w:hAnsi="Times New Roman" w:eastAsia="宋体" w:cs="Times New Roman"/>
                      <w:b/>
                      <w:bCs/>
                      <w:color w:val="000000" w:themeColor="text1"/>
                      <w:highlight w:val="none"/>
                      <w14:textFill>
                        <w14:solidFill>
                          <w14:schemeClr w14:val="tx1"/>
                        </w14:solidFill>
                      </w14:textFill>
                    </w:rPr>
                  </w:pPr>
                </w:p>
              </w:tc>
              <w:tc>
                <w:tcPr>
                  <w:tcW w:w="4109" w:type="dxa"/>
                  <w:tcBorders>
                    <w:tl2br w:val="nil"/>
                    <w:tr2bl w:val="nil"/>
                  </w:tcBorders>
                  <w:shd w:val="clear" w:color="auto" w:fill="auto"/>
                  <w:vAlign w:val="center"/>
                </w:tcPr>
                <w:p w14:paraId="3054901B">
                  <w:pPr>
                    <w:pStyle w:val="88"/>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颗粒物</w:t>
                  </w:r>
                </w:p>
              </w:tc>
            </w:tr>
            <w:tr w14:paraId="773394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4" w:type="dxa"/>
                  <w:tcBorders>
                    <w:tl2br w:val="nil"/>
                    <w:tr2bl w:val="nil"/>
                  </w:tcBorders>
                  <w:shd w:val="clear" w:color="auto" w:fill="auto"/>
                  <w:vAlign w:val="center"/>
                </w:tcPr>
                <w:p w14:paraId="661C0E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DA001</w:t>
                  </w:r>
                </w:p>
              </w:tc>
              <w:tc>
                <w:tcPr>
                  <w:tcW w:w="992" w:type="dxa"/>
                  <w:tcBorders>
                    <w:tl2br w:val="nil"/>
                    <w:tr2bl w:val="nil"/>
                  </w:tcBorders>
                  <w:shd w:val="clear" w:color="auto" w:fill="auto"/>
                  <w:vAlign w:val="center"/>
                </w:tcPr>
                <w:p w14:paraId="1E48ED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排气筒</w:t>
                  </w:r>
                </w:p>
              </w:tc>
              <w:tc>
                <w:tcPr>
                  <w:tcW w:w="1027" w:type="dxa"/>
                  <w:tcBorders>
                    <w:tl2br w:val="nil"/>
                    <w:tr2bl w:val="nil"/>
                  </w:tcBorders>
                  <w:shd w:val="clear" w:color="auto" w:fill="auto"/>
                  <w:vAlign w:val="center"/>
                </w:tcPr>
                <w:p w14:paraId="190CB6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923" w:type="dxa"/>
                  <w:tcBorders>
                    <w:tl2br w:val="nil"/>
                    <w:tr2bl w:val="nil"/>
                  </w:tcBorders>
                  <w:shd w:val="clear" w:color="auto" w:fill="auto"/>
                  <w:vAlign w:val="center"/>
                </w:tcPr>
                <w:p w14:paraId="602160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15</w:t>
                  </w:r>
                </w:p>
              </w:tc>
              <w:tc>
                <w:tcPr>
                  <w:tcW w:w="1292" w:type="dxa"/>
                  <w:tcBorders>
                    <w:tl2br w:val="nil"/>
                    <w:tr2bl w:val="nil"/>
                  </w:tcBorders>
                  <w:shd w:val="clear" w:color="auto" w:fill="auto"/>
                  <w:vAlign w:val="center"/>
                </w:tcPr>
                <w:p w14:paraId="51B25F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0.3</w:t>
                  </w:r>
                </w:p>
              </w:tc>
              <w:tc>
                <w:tcPr>
                  <w:tcW w:w="1062" w:type="dxa"/>
                  <w:tcBorders>
                    <w:tl2br w:val="nil"/>
                    <w:tr2bl w:val="nil"/>
                  </w:tcBorders>
                  <w:shd w:val="clear" w:color="auto" w:fill="auto"/>
                  <w:vAlign w:val="center"/>
                </w:tcPr>
                <w:p w14:paraId="0AFAFA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20000</w:t>
                  </w:r>
                </w:p>
              </w:tc>
              <w:tc>
                <w:tcPr>
                  <w:tcW w:w="934" w:type="dxa"/>
                  <w:tcBorders>
                    <w:tl2br w:val="nil"/>
                    <w:tr2bl w:val="nil"/>
                  </w:tcBorders>
                  <w:shd w:val="clear" w:color="auto" w:fill="auto"/>
                  <w:vAlign w:val="center"/>
                </w:tcPr>
                <w:p w14:paraId="22BBFA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25</w:t>
                  </w:r>
                </w:p>
              </w:tc>
              <w:tc>
                <w:tcPr>
                  <w:tcW w:w="1189" w:type="dxa"/>
                  <w:tcBorders>
                    <w:tl2br w:val="nil"/>
                    <w:tr2bl w:val="nil"/>
                  </w:tcBorders>
                  <w:shd w:val="clear" w:color="auto" w:fill="auto"/>
                  <w:vAlign w:val="center"/>
                </w:tcPr>
                <w:p w14:paraId="235265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7200</w:t>
                  </w:r>
                </w:p>
              </w:tc>
              <w:tc>
                <w:tcPr>
                  <w:tcW w:w="4109" w:type="dxa"/>
                  <w:tcBorders>
                    <w:tl2br w:val="nil"/>
                    <w:tr2bl w:val="nil"/>
                  </w:tcBorders>
                  <w:shd w:val="clear" w:color="auto" w:fill="auto"/>
                  <w:vAlign w:val="center"/>
                </w:tcPr>
                <w:p w14:paraId="3E1A49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0.00888</w:t>
                  </w:r>
                </w:p>
              </w:tc>
            </w:tr>
            <w:tr w14:paraId="69A76C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4" w:type="dxa"/>
                  <w:tcBorders>
                    <w:tl2br w:val="nil"/>
                    <w:tr2bl w:val="nil"/>
                  </w:tcBorders>
                  <w:shd w:val="clear" w:color="auto" w:fill="auto"/>
                  <w:vAlign w:val="center"/>
                </w:tcPr>
                <w:p w14:paraId="57A7DC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DA00</w:t>
                  </w:r>
                  <w:r>
                    <w:rPr>
                      <w:rFonts w:hint="eastAsia" w:cs="Times New Roman"/>
                      <w:b w:val="0"/>
                      <w:bCs w:val="0"/>
                      <w:color w:val="000000" w:themeColor="text1"/>
                      <w:sz w:val="21"/>
                      <w:szCs w:val="21"/>
                      <w:highlight w:val="none"/>
                      <w:lang w:val="en-US" w:eastAsia="zh-CN"/>
                      <w14:textFill>
                        <w14:solidFill>
                          <w14:schemeClr w14:val="tx1"/>
                        </w14:solidFill>
                      </w14:textFill>
                    </w:rPr>
                    <w:t>2</w:t>
                  </w:r>
                </w:p>
              </w:tc>
              <w:tc>
                <w:tcPr>
                  <w:tcW w:w="992" w:type="dxa"/>
                  <w:tcBorders>
                    <w:tl2br w:val="nil"/>
                    <w:tr2bl w:val="nil"/>
                  </w:tcBorders>
                  <w:shd w:val="clear" w:color="auto" w:fill="auto"/>
                  <w:vAlign w:val="center"/>
                </w:tcPr>
                <w:p w14:paraId="17669B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排气筒</w:t>
                  </w:r>
                </w:p>
              </w:tc>
              <w:tc>
                <w:tcPr>
                  <w:tcW w:w="1027" w:type="dxa"/>
                  <w:tcBorders>
                    <w:tl2br w:val="nil"/>
                    <w:tr2bl w:val="nil"/>
                  </w:tcBorders>
                  <w:shd w:val="clear" w:color="auto" w:fill="auto"/>
                  <w:vAlign w:val="center"/>
                </w:tcPr>
                <w:p w14:paraId="6E3013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923" w:type="dxa"/>
                  <w:tcBorders>
                    <w:tl2br w:val="nil"/>
                    <w:tr2bl w:val="nil"/>
                  </w:tcBorders>
                  <w:shd w:val="clear" w:color="auto" w:fill="auto"/>
                  <w:vAlign w:val="center"/>
                </w:tcPr>
                <w:p w14:paraId="1AAB3D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15</w:t>
                  </w:r>
                </w:p>
              </w:tc>
              <w:tc>
                <w:tcPr>
                  <w:tcW w:w="1292" w:type="dxa"/>
                  <w:tcBorders>
                    <w:tl2br w:val="nil"/>
                    <w:tr2bl w:val="nil"/>
                  </w:tcBorders>
                  <w:shd w:val="clear" w:color="auto" w:fill="auto"/>
                  <w:vAlign w:val="center"/>
                </w:tcPr>
                <w:p w14:paraId="73B672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0.3</w:t>
                  </w:r>
                </w:p>
              </w:tc>
              <w:tc>
                <w:tcPr>
                  <w:tcW w:w="1062" w:type="dxa"/>
                  <w:tcBorders>
                    <w:tl2br w:val="nil"/>
                    <w:tr2bl w:val="nil"/>
                  </w:tcBorders>
                  <w:shd w:val="clear" w:color="auto" w:fill="auto"/>
                  <w:vAlign w:val="center"/>
                </w:tcPr>
                <w:p w14:paraId="6D52C2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20000</w:t>
                  </w:r>
                </w:p>
              </w:tc>
              <w:tc>
                <w:tcPr>
                  <w:tcW w:w="934" w:type="dxa"/>
                  <w:tcBorders>
                    <w:tl2br w:val="nil"/>
                    <w:tr2bl w:val="nil"/>
                  </w:tcBorders>
                  <w:shd w:val="clear" w:color="auto" w:fill="auto"/>
                  <w:vAlign w:val="center"/>
                </w:tcPr>
                <w:p w14:paraId="4BE1B3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25</w:t>
                  </w:r>
                </w:p>
              </w:tc>
              <w:tc>
                <w:tcPr>
                  <w:tcW w:w="1189" w:type="dxa"/>
                  <w:tcBorders>
                    <w:tl2br w:val="nil"/>
                    <w:tr2bl w:val="nil"/>
                  </w:tcBorders>
                  <w:shd w:val="clear" w:color="auto" w:fill="auto"/>
                  <w:vAlign w:val="center"/>
                </w:tcPr>
                <w:p w14:paraId="4B4CB2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7200</w:t>
                  </w:r>
                </w:p>
              </w:tc>
              <w:tc>
                <w:tcPr>
                  <w:tcW w:w="4109" w:type="dxa"/>
                  <w:tcBorders>
                    <w:tl2br w:val="nil"/>
                    <w:tr2bl w:val="nil"/>
                  </w:tcBorders>
                  <w:shd w:val="clear" w:color="auto" w:fill="auto"/>
                  <w:vAlign w:val="center"/>
                </w:tcPr>
                <w:p w14:paraId="36D62F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default" w:cs="Times New Roman"/>
                      <w:b w:val="0"/>
                      <w:bCs w:val="0"/>
                      <w:color w:val="000000" w:themeColor="text1"/>
                      <w:sz w:val="21"/>
                      <w:szCs w:val="21"/>
                      <w:highlight w:val="none"/>
                      <w:lang w:val="en-US" w:eastAsia="zh-CN"/>
                      <w14:textFill>
                        <w14:solidFill>
                          <w14:schemeClr w14:val="tx1"/>
                        </w14:solidFill>
                      </w14:textFill>
                    </w:rPr>
                    <w:t>0.01437</w:t>
                  </w:r>
                </w:p>
              </w:tc>
            </w:tr>
            <w:tr w14:paraId="21D75A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4" w:type="dxa"/>
                  <w:tcBorders>
                    <w:tl2br w:val="nil"/>
                    <w:tr2bl w:val="nil"/>
                  </w:tcBorders>
                  <w:shd w:val="clear" w:color="auto" w:fill="auto"/>
                  <w:vAlign w:val="center"/>
                </w:tcPr>
                <w:p w14:paraId="33DBFA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DA00</w:t>
                  </w:r>
                  <w:r>
                    <w:rPr>
                      <w:rFonts w:hint="eastAsia" w:cs="Times New Roman"/>
                      <w:b w:val="0"/>
                      <w:bCs w:val="0"/>
                      <w:color w:val="000000" w:themeColor="text1"/>
                      <w:sz w:val="21"/>
                      <w:szCs w:val="21"/>
                      <w:highlight w:val="none"/>
                      <w:lang w:val="en-US" w:eastAsia="zh-CN"/>
                      <w14:textFill>
                        <w14:solidFill>
                          <w14:schemeClr w14:val="tx1"/>
                        </w14:solidFill>
                      </w14:textFill>
                    </w:rPr>
                    <w:t>3</w:t>
                  </w:r>
                </w:p>
              </w:tc>
              <w:tc>
                <w:tcPr>
                  <w:tcW w:w="992" w:type="dxa"/>
                  <w:tcBorders>
                    <w:tl2br w:val="nil"/>
                    <w:tr2bl w:val="nil"/>
                  </w:tcBorders>
                  <w:shd w:val="clear" w:color="auto" w:fill="auto"/>
                  <w:vAlign w:val="center"/>
                </w:tcPr>
                <w:p w14:paraId="679810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排气筒</w:t>
                  </w:r>
                </w:p>
              </w:tc>
              <w:tc>
                <w:tcPr>
                  <w:tcW w:w="1027" w:type="dxa"/>
                  <w:tcBorders>
                    <w:tl2br w:val="nil"/>
                    <w:tr2bl w:val="nil"/>
                  </w:tcBorders>
                  <w:shd w:val="clear" w:color="auto" w:fill="auto"/>
                  <w:vAlign w:val="center"/>
                </w:tcPr>
                <w:p w14:paraId="37C62E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923" w:type="dxa"/>
                  <w:tcBorders>
                    <w:tl2br w:val="nil"/>
                    <w:tr2bl w:val="nil"/>
                  </w:tcBorders>
                  <w:shd w:val="clear" w:color="auto" w:fill="auto"/>
                  <w:vAlign w:val="center"/>
                </w:tcPr>
                <w:p w14:paraId="6ED5A3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15</w:t>
                  </w:r>
                </w:p>
              </w:tc>
              <w:tc>
                <w:tcPr>
                  <w:tcW w:w="1292" w:type="dxa"/>
                  <w:tcBorders>
                    <w:tl2br w:val="nil"/>
                    <w:tr2bl w:val="nil"/>
                  </w:tcBorders>
                  <w:shd w:val="clear" w:color="auto" w:fill="auto"/>
                  <w:vAlign w:val="center"/>
                </w:tcPr>
                <w:p w14:paraId="65A4D3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0.3</w:t>
                  </w:r>
                </w:p>
              </w:tc>
              <w:tc>
                <w:tcPr>
                  <w:tcW w:w="1062" w:type="dxa"/>
                  <w:tcBorders>
                    <w:tl2br w:val="nil"/>
                    <w:tr2bl w:val="nil"/>
                  </w:tcBorders>
                  <w:shd w:val="clear" w:color="auto" w:fill="auto"/>
                  <w:vAlign w:val="center"/>
                </w:tcPr>
                <w:p w14:paraId="3FAB17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20000</w:t>
                  </w:r>
                </w:p>
              </w:tc>
              <w:tc>
                <w:tcPr>
                  <w:tcW w:w="934" w:type="dxa"/>
                  <w:tcBorders>
                    <w:tl2br w:val="nil"/>
                    <w:tr2bl w:val="nil"/>
                  </w:tcBorders>
                  <w:shd w:val="clear" w:color="auto" w:fill="auto"/>
                  <w:vAlign w:val="center"/>
                </w:tcPr>
                <w:p w14:paraId="772B01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25</w:t>
                  </w:r>
                </w:p>
              </w:tc>
              <w:tc>
                <w:tcPr>
                  <w:tcW w:w="1189" w:type="dxa"/>
                  <w:tcBorders>
                    <w:tl2br w:val="nil"/>
                    <w:tr2bl w:val="nil"/>
                  </w:tcBorders>
                  <w:shd w:val="clear" w:color="auto" w:fill="auto"/>
                  <w:vAlign w:val="center"/>
                </w:tcPr>
                <w:p w14:paraId="2EE40E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7200</w:t>
                  </w:r>
                </w:p>
              </w:tc>
              <w:tc>
                <w:tcPr>
                  <w:tcW w:w="4109" w:type="dxa"/>
                  <w:tcBorders>
                    <w:tl2br w:val="nil"/>
                    <w:tr2bl w:val="nil"/>
                  </w:tcBorders>
                  <w:shd w:val="clear" w:color="auto" w:fill="auto"/>
                  <w:vAlign w:val="center"/>
                </w:tcPr>
                <w:p w14:paraId="1A8A4E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0.01200444</w:t>
                  </w:r>
                </w:p>
              </w:tc>
            </w:tr>
          </w:tbl>
          <w:p w14:paraId="73E17F4D">
            <w:pPr>
              <w:spacing w:line="223" w:lineRule="auto"/>
              <w:jc w:val="center"/>
              <w:rPr>
                <w:rFonts w:hint="default" w:ascii="Times New Roman" w:hAnsi="Times New Roman" w:eastAsia="宋体" w:cs="Times New Roman"/>
                <w:b/>
                <w:bCs/>
                <w:color w:val="000000" w:themeColor="text1"/>
                <w:spacing w:val="4"/>
                <w:sz w:val="21"/>
                <w:szCs w:val="21"/>
                <w14:textFill>
                  <w14:solidFill>
                    <w14:schemeClr w14:val="tx1"/>
                  </w14:solidFill>
                </w14:textFill>
              </w:rPr>
            </w:pPr>
            <w:r>
              <w:rPr>
                <w:rFonts w:hint="default" w:ascii="Times New Roman" w:hAnsi="Times New Roman" w:eastAsia="宋体" w:cs="Times New Roman"/>
                <w:b/>
                <w:bCs/>
                <w:color w:val="000000" w:themeColor="text1"/>
                <w:spacing w:val="4"/>
                <w:sz w:val="21"/>
                <w:szCs w:val="21"/>
                <w14:textFill>
                  <w14:solidFill>
                    <w14:schemeClr w14:val="tx1"/>
                  </w14:solidFill>
                </w14:textFill>
              </w:rPr>
              <w:t>表</w:t>
            </w: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4-</w:t>
            </w:r>
            <w:r>
              <w:rPr>
                <w:rFonts w:hint="eastAsia" w:cs="Times New Roman"/>
                <w:b/>
                <w:bCs/>
                <w:color w:val="000000" w:themeColor="text1"/>
                <w:spacing w:val="4"/>
                <w:sz w:val="21"/>
                <w:szCs w:val="21"/>
                <w:lang w:val="en-US" w:eastAsia="zh-CN"/>
                <w14:textFill>
                  <w14:solidFill>
                    <w14:schemeClr w14:val="tx1"/>
                  </w14:solidFill>
                </w14:textFill>
              </w:rPr>
              <w:t>7</w:t>
            </w:r>
            <w:r>
              <w:rPr>
                <w:rFonts w:hint="default" w:ascii="Times New Roman" w:hAnsi="Times New Roman" w:eastAsia="宋体" w:cs="Times New Roman"/>
                <w:b/>
                <w:bCs/>
                <w:color w:val="000000" w:themeColor="text1"/>
                <w:spacing w:val="4"/>
                <w:sz w:val="21"/>
                <w:szCs w:val="21"/>
                <w14:textFill>
                  <w14:solidFill>
                    <w14:schemeClr w14:val="tx1"/>
                  </w14:solidFill>
                </w14:textFill>
              </w:rPr>
              <w:t xml:space="preserve">   无组织（面源）污染源参数一览表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1456"/>
              <w:gridCol w:w="1687"/>
              <w:gridCol w:w="1687"/>
              <w:gridCol w:w="1687"/>
              <w:gridCol w:w="1689"/>
              <w:gridCol w:w="1569"/>
              <w:gridCol w:w="1569"/>
            </w:tblGrid>
            <w:tr w14:paraId="1A455D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vMerge w:val="restart"/>
                  <w:tcBorders>
                    <w:tl2br w:val="nil"/>
                    <w:tr2bl w:val="nil"/>
                  </w:tcBorders>
                  <w:noWrap w:val="0"/>
                  <w:vAlign w:val="center"/>
                </w:tcPr>
                <w:p w14:paraId="57CB53A5">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污染源</w:t>
                  </w:r>
                </w:p>
                <w:p w14:paraId="7A224AEE">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名称</w:t>
                  </w:r>
                </w:p>
              </w:tc>
              <w:tc>
                <w:tcPr>
                  <w:tcW w:w="583" w:type="pct"/>
                  <w:vMerge w:val="restart"/>
                  <w:tcBorders>
                    <w:tl2br w:val="nil"/>
                    <w:tr2bl w:val="nil"/>
                  </w:tcBorders>
                  <w:noWrap w:val="0"/>
                  <w:vAlign w:val="center"/>
                </w:tcPr>
                <w:p w14:paraId="2790504A">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面源海拔高度</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c>
                <w:tcPr>
                  <w:tcW w:w="2706" w:type="pct"/>
                  <w:gridSpan w:val="4"/>
                  <w:tcBorders>
                    <w:tl2br w:val="nil"/>
                    <w:tr2bl w:val="nil"/>
                  </w:tcBorders>
                  <w:noWrap w:val="0"/>
                  <w:vAlign w:val="center"/>
                </w:tcPr>
                <w:p w14:paraId="4AEAB844">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矩形面源</w:t>
                  </w:r>
                </w:p>
              </w:tc>
              <w:tc>
                <w:tcPr>
                  <w:tcW w:w="1258" w:type="pct"/>
                  <w:gridSpan w:val="2"/>
                  <w:tcBorders>
                    <w:tl2br w:val="nil"/>
                    <w:tr2bl w:val="nil"/>
                  </w:tcBorders>
                  <w:noWrap w:val="0"/>
                  <w:vAlign w:val="center"/>
                </w:tcPr>
                <w:p w14:paraId="78F8894D">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污染物排放速率/（kg/h）</w:t>
                  </w:r>
                </w:p>
              </w:tc>
            </w:tr>
            <w:tr w14:paraId="0CDAAC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vMerge w:val="continue"/>
                  <w:tcBorders>
                    <w:tl2br w:val="nil"/>
                    <w:tr2bl w:val="nil"/>
                  </w:tcBorders>
                  <w:noWrap w:val="0"/>
                  <w:vAlign w:val="center"/>
                </w:tcPr>
                <w:p w14:paraId="7E2D4303">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583" w:type="pct"/>
                  <w:vMerge w:val="continue"/>
                  <w:tcBorders>
                    <w:tl2br w:val="nil"/>
                    <w:tr2bl w:val="nil"/>
                  </w:tcBorders>
                  <w:noWrap w:val="0"/>
                  <w:vAlign w:val="center"/>
                </w:tcPr>
                <w:p w14:paraId="1E2F5FD7">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676" w:type="pct"/>
                  <w:tcBorders>
                    <w:tl2br w:val="nil"/>
                    <w:tr2bl w:val="nil"/>
                  </w:tcBorders>
                  <w:noWrap w:val="0"/>
                  <w:vAlign w:val="center"/>
                </w:tcPr>
                <w:p w14:paraId="5A15FF30">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宽</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度</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c>
                <w:tcPr>
                  <w:tcW w:w="676" w:type="pct"/>
                  <w:tcBorders>
                    <w:tl2br w:val="nil"/>
                    <w:tr2bl w:val="nil"/>
                  </w:tcBorders>
                  <w:noWrap w:val="0"/>
                  <w:vAlign w:val="center"/>
                </w:tcPr>
                <w:p w14:paraId="7BAD9FF5">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长</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度</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c>
                <w:tcPr>
                  <w:tcW w:w="676" w:type="pct"/>
                  <w:tcBorders>
                    <w:tl2br w:val="nil"/>
                    <w:tr2bl w:val="nil"/>
                  </w:tcBorders>
                  <w:noWrap w:val="0"/>
                  <w:vAlign w:val="center"/>
                </w:tcPr>
                <w:p w14:paraId="291FA344">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与正北向夹角°</w:t>
                  </w:r>
                </w:p>
              </w:tc>
              <w:tc>
                <w:tcPr>
                  <w:tcW w:w="677" w:type="pct"/>
                  <w:tcBorders>
                    <w:tl2br w:val="nil"/>
                    <w:tr2bl w:val="nil"/>
                  </w:tcBorders>
                  <w:noWrap w:val="0"/>
                  <w:vAlign w:val="center"/>
                </w:tcPr>
                <w:p w14:paraId="69129283">
                  <w:pPr>
                    <w:keepNext w:val="0"/>
                    <w:keepLines w:val="0"/>
                    <w:pageBreakBefore w:val="0"/>
                    <w:widowControl w:val="0"/>
                    <w:kinsoku/>
                    <w:wordWrap/>
                    <w:overflowPunct/>
                    <w:topLinePunct w:val="0"/>
                    <w:autoSpaceDE/>
                    <w:autoSpaceDN/>
                    <w:bidi w:val="0"/>
                    <w:adjustRightInd/>
                    <w:snapToGrid w:val="0"/>
                    <w:spacing w:before="0" w:beforeLines="0" w:after="0" w:afterLines="0"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有效高度</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c>
                <w:tcPr>
                  <w:tcW w:w="629" w:type="pct"/>
                  <w:tcBorders>
                    <w:tl2br w:val="nil"/>
                    <w:tr2bl w:val="nil"/>
                  </w:tcBorders>
                  <w:noWrap w:val="0"/>
                  <w:vAlign w:val="center"/>
                </w:tcPr>
                <w:p w14:paraId="4D79BFD1">
                  <w:pPr>
                    <w:pStyle w:val="88"/>
                    <w:ind w:firstLine="0" w:firstLineChars="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颗粒物</w:t>
                  </w:r>
                </w:p>
              </w:tc>
              <w:tc>
                <w:tcPr>
                  <w:tcW w:w="629" w:type="pct"/>
                  <w:tcBorders>
                    <w:tl2br w:val="nil"/>
                    <w:tr2bl w:val="nil"/>
                  </w:tcBorders>
                  <w:noWrap w:val="0"/>
                  <w:vAlign w:val="center"/>
                </w:tcPr>
                <w:p w14:paraId="33F7828F">
                  <w:pPr>
                    <w:pStyle w:val="88"/>
                    <w:ind w:firstLine="0" w:firstLineChars="0"/>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NMHC</w:t>
                  </w:r>
                </w:p>
              </w:tc>
            </w:tr>
            <w:tr w14:paraId="02FB61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l2br w:val="nil"/>
                    <w:tr2bl w:val="nil"/>
                  </w:tcBorders>
                  <w:noWrap w:val="0"/>
                  <w:vAlign w:val="center"/>
                </w:tcPr>
                <w:p w14:paraId="457208A2">
                  <w:pPr>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320" w:lineRule="exact"/>
                    <w:ind w:left="0" w:leftChars="0" w:right="0" w:rightChars="0"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矩形面源</w:t>
                  </w:r>
                  <w:r>
                    <w:rPr>
                      <w:rFonts w:hint="eastAsia" w:cs="Times New Roman"/>
                      <w:color w:val="000000" w:themeColor="text1"/>
                      <w:kern w:val="0"/>
                      <w:sz w:val="21"/>
                      <w:szCs w:val="21"/>
                      <w:highlight w:val="none"/>
                      <w:lang w:val="en-US" w:eastAsia="zh-CN" w:bidi="ar-SA"/>
                      <w14:textFill>
                        <w14:solidFill>
                          <w14:schemeClr w14:val="tx1"/>
                        </w14:solidFill>
                      </w14:textFill>
                    </w:rPr>
                    <w:t>（破碎车间GM1）</w:t>
                  </w:r>
                </w:p>
              </w:tc>
              <w:tc>
                <w:tcPr>
                  <w:tcW w:w="583" w:type="pct"/>
                  <w:tcBorders>
                    <w:tl2br w:val="nil"/>
                    <w:tr2bl w:val="nil"/>
                  </w:tcBorders>
                  <w:noWrap w:val="0"/>
                  <w:vAlign w:val="center"/>
                </w:tcPr>
                <w:p w14:paraId="1369B69F">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676" w:type="pct"/>
                  <w:tcBorders>
                    <w:tl2br w:val="nil"/>
                    <w:tr2bl w:val="nil"/>
                  </w:tcBorders>
                  <w:noWrap w:val="0"/>
                  <w:vAlign w:val="center"/>
                </w:tcPr>
                <w:p w14:paraId="463AC4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23</w:t>
                  </w:r>
                </w:p>
              </w:tc>
              <w:tc>
                <w:tcPr>
                  <w:tcW w:w="676" w:type="pct"/>
                  <w:tcBorders>
                    <w:tl2br w:val="nil"/>
                    <w:tr2bl w:val="nil"/>
                  </w:tcBorders>
                  <w:noWrap w:val="0"/>
                  <w:vAlign w:val="center"/>
                </w:tcPr>
                <w:p w14:paraId="084F93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92</w:t>
                  </w:r>
                </w:p>
              </w:tc>
              <w:tc>
                <w:tcPr>
                  <w:tcW w:w="676" w:type="pct"/>
                  <w:tcBorders>
                    <w:tl2br w:val="nil"/>
                    <w:tr2bl w:val="nil"/>
                  </w:tcBorders>
                  <w:noWrap w:val="0"/>
                  <w:vAlign w:val="center"/>
                </w:tcPr>
                <w:p w14:paraId="09F17DDA">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w:t>
                  </w:r>
                </w:p>
              </w:tc>
              <w:tc>
                <w:tcPr>
                  <w:tcW w:w="677" w:type="pct"/>
                  <w:tcBorders>
                    <w:tl2br w:val="nil"/>
                    <w:tr2bl w:val="nil"/>
                  </w:tcBorders>
                  <w:noWrap w:val="0"/>
                  <w:vAlign w:val="center"/>
                </w:tcPr>
                <w:p w14:paraId="033C13D7">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6</w:t>
                  </w:r>
                </w:p>
              </w:tc>
              <w:tc>
                <w:tcPr>
                  <w:tcW w:w="629" w:type="pct"/>
                  <w:tcBorders>
                    <w:tl2br w:val="nil"/>
                    <w:tr2bl w:val="nil"/>
                  </w:tcBorders>
                  <w:noWrap w:val="0"/>
                  <w:vAlign w:val="center"/>
                </w:tcPr>
                <w:p w14:paraId="657475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0.0974</w:t>
                  </w:r>
                </w:p>
              </w:tc>
              <w:tc>
                <w:tcPr>
                  <w:tcW w:w="629" w:type="pct"/>
                  <w:tcBorders>
                    <w:tl2br w:val="nil"/>
                    <w:tr2bl w:val="nil"/>
                  </w:tcBorders>
                  <w:noWrap w:val="0"/>
                  <w:vAlign w:val="center"/>
                </w:tcPr>
                <w:p w14:paraId="1A441B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r>
            <w:tr w14:paraId="41E115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l2br w:val="nil"/>
                    <w:tr2bl w:val="nil"/>
                  </w:tcBorders>
                  <w:noWrap w:val="0"/>
                  <w:vAlign w:val="center"/>
                </w:tcPr>
                <w:p w14:paraId="0EB9DA8D">
                  <w:pPr>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320" w:lineRule="exact"/>
                    <w:ind w:left="0" w:leftChars="0" w:right="0" w:rightChars="0"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矩形面源</w:t>
                  </w:r>
                  <w:r>
                    <w:rPr>
                      <w:rFonts w:hint="eastAsia" w:cs="Times New Roman"/>
                      <w:color w:val="000000" w:themeColor="text1"/>
                      <w:kern w:val="0"/>
                      <w:sz w:val="21"/>
                      <w:szCs w:val="21"/>
                      <w:highlight w:val="none"/>
                      <w:lang w:val="en-US" w:eastAsia="zh-CN" w:bidi="ar-SA"/>
                      <w14:textFill>
                        <w14:solidFill>
                          <w14:schemeClr w14:val="tx1"/>
                        </w14:solidFill>
                      </w14:textFill>
                    </w:rPr>
                    <w:t>（固体肥车间GM2）</w:t>
                  </w:r>
                </w:p>
              </w:tc>
              <w:tc>
                <w:tcPr>
                  <w:tcW w:w="583" w:type="pct"/>
                  <w:tcBorders>
                    <w:tl2br w:val="nil"/>
                    <w:tr2bl w:val="nil"/>
                  </w:tcBorders>
                  <w:noWrap w:val="0"/>
                  <w:vAlign w:val="center"/>
                </w:tcPr>
                <w:p w14:paraId="67A79255">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676" w:type="pct"/>
                  <w:tcBorders>
                    <w:tl2br w:val="nil"/>
                    <w:tr2bl w:val="nil"/>
                  </w:tcBorders>
                  <w:noWrap w:val="0"/>
                  <w:vAlign w:val="center"/>
                </w:tcPr>
                <w:p w14:paraId="7774DF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17</w:t>
                  </w:r>
                </w:p>
              </w:tc>
              <w:tc>
                <w:tcPr>
                  <w:tcW w:w="676" w:type="pct"/>
                  <w:tcBorders>
                    <w:tl2br w:val="nil"/>
                    <w:tr2bl w:val="nil"/>
                  </w:tcBorders>
                  <w:noWrap w:val="0"/>
                  <w:vAlign w:val="center"/>
                </w:tcPr>
                <w:p w14:paraId="3927C3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78</w:t>
                  </w:r>
                </w:p>
              </w:tc>
              <w:tc>
                <w:tcPr>
                  <w:tcW w:w="676" w:type="pct"/>
                  <w:tcBorders>
                    <w:tl2br w:val="nil"/>
                    <w:tr2bl w:val="nil"/>
                  </w:tcBorders>
                  <w:noWrap w:val="0"/>
                  <w:vAlign w:val="center"/>
                </w:tcPr>
                <w:p w14:paraId="0BC3DF81">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w:t>
                  </w:r>
                </w:p>
              </w:tc>
              <w:tc>
                <w:tcPr>
                  <w:tcW w:w="677" w:type="pct"/>
                  <w:tcBorders>
                    <w:tl2br w:val="nil"/>
                    <w:tr2bl w:val="nil"/>
                  </w:tcBorders>
                  <w:noWrap w:val="0"/>
                  <w:vAlign w:val="center"/>
                </w:tcPr>
                <w:p w14:paraId="4C0EC35F">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6</w:t>
                  </w:r>
                </w:p>
              </w:tc>
              <w:tc>
                <w:tcPr>
                  <w:tcW w:w="629" w:type="pct"/>
                  <w:tcBorders>
                    <w:tl2br w:val="nil"/>
                    <w:tr2bl w:val="nil"/>
                  </w:tcBorders>
                  <w:noWrap w:val="0"/>
                  <w:vAlign w:val="center"/>
                </w:tcPr>
                <w:p w14:paraId="330B24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0.07565</w:t>
                  </w:r>
                </w:p>
              </w:tc>
              <w:tc>
                <w:tcPr>
                  <w:tcW w:w="629" w:type="pct"/>
                  <w:tcBorders>
                    <w:tl2br w:val="nil"/>
                    <w:tr2bl w:val="nil"/>
                  </w:tcBorders>
                  <w:noWrap w:val="0"/>
                  <w:vAlign w:val="center"/>
                </w:tcPr>
                <w:p w14:paraId="534525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r>
            <w:tr w14:paraId="5E30F0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l2br w:val="nil"/>
                    <w:tr2bl w:val="nil"/>
                  </w:tcBorders>
                  <w:noWrap w:val="0"/>
                  <w:vAlign w:val="center"/>
                </w:tcPr>
                <w:p w14:paraId="3B5640C1">
                  <w:pPr>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320" w:lineRule="exact"/>
                    <w:ind w:left="0" w:leftChars="0" w:right="0" w:rightChars="0"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矩形面源</w:t>
                  </w: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（炭化车间GM3）</w:t>
                  </w:r>
                </w:p>
              </w:tc>
              <w:tc>
                <w:tcPr>
                  <w:tcW w:w="583" w:type="pct"/>
                  <w:tcBorders>
                    <w:tl2br w:val="nil"/>
                    <w:tr2bl w:val="nil"/>
                  </w:tcBorders>
                  <w:noWrap w:val="0"/>
                  <w:vAlign w:val="center"/>
                </w:tcPr>
                <w:p w14:paraId="3D004C36">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676" w:type="pct"/>
                  <w:tcBorders>
                    <w:tl2br w:val="nil"/>
                    <w:tr2bl w:val="nil"/>
                  </w:tcBorders>
                  <w:noWrap w:val="0"/>
                  <w:vAlign w:val="center"/>
                </w:tcPr>
                <w:p w14:paraId="76C3A0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21</w:t>
                  </w:r>
                </w:p>
              </w:tc>
              <w:tc>
                <w:tcPr>
                  <w:tcW w:w="676" w:type="pct"/>
                  <w:tcBorders>
                    <w:tl2br w:val="nil"/>
                    <w:tr2bl w:val="nil"/>
                  </w:tcBorders>
                  <w:noWrap w:val="0"/>
                  <w:vAlign w:val="center"/>
                </w:tcPr>
                <w:p w14:paraId="3E8FAD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48.16</w:t>
                  </w:r>
                </w:p>
              </w:tc>
              <w:tc>
                <w:tcPr>
                  <w:tcW w:w="676" w:type="pct"/>
                  <w:tcBorders>
                    <w:tl2br w:val="nil"/>
                    <w:tr2bl w:val="nil"/>
                  </w:tcBorders>
                  <w:noWrap w:val="0"/>
                  <w:vAlign w:val="center"/>
                </w:tcPr>
                <w:p w14:paraId="20AA4F3D">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w:t>
                  </w:r>
                </w:p>
              </w:tc>
              <w:tc>
                <w:tcPr>
                  <w:tcW w:w="677" w:type="pct"/>
                  <w:tcBorders>
                    <w:tl2br w:val="nil"/>
                    <w:tr2bl w:val="nil"/>
                  </w:tcBorders>
                  <w:noWrap w:val="0"/>
                  <w:vAlign w:val="center"/>
                </w:tcPr>
                <w:p w14:paraId="152310F5">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7.35</w:t>
                  </w:r>
                </w:p>
              </w:tc>
              <w:tc>
                <w:tcPr>
                  <w:tcW w:w="629" w:type="pct"/>
                  <w:tcBorders>
                    <w:tl2br w:val="nil"/>
                    <w:tr2bl w:val="nil"/>
                  </w:tcBorders>
                  <w:noWrap w:val="0"/>
                  <w:vAlign w:val="center"/>
                </w:tcPr>
                <w:p w14:paraId="715732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0.1334</w:t>
                  </w:r>
                </w:p>
              </w:tc>
              <w:tc>
                <w:tcPr>
                  <w:tcW w:w="629" w:type="pct"/>
                  <w:tcBorders>
                    <w:tl2br w:val="nil"/>
                    <w:tr2bl w:val="nil"/>
                  </w:tcBorders>
                  <w:noWrap w:val="0"/>
                  <w:vAlign w:val="center"/>
                </w:tcPr>
                <w:p w14:paraId="56AE4B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r>
            <w:tr w14:paraId="2BAD20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l2br w:val="nil"/>
                    <w:tr2bl w:val="nil"/>
                  </w:tcBorders>
                  <w:noWrap w:val="0"/>
                  <w:vAlign w:val="center"/>
                </w:tcPr>
                <w:p w14:paraId="372FAC74">
                  <w:pPr>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320" w:lineRule="exact"/>
                    <w:ind w:left="0" w:leftChars="0" w:right="0" w:rightChars="0"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矩形面源</w:t>
                  </w:r>
                  <w:r>
                    <w:rPr>
                      <w:rFonts w:hint="eastAsia" w:cs="Times New Roman"/>
                      <w:color w:val="000000" w:themeColor="text1"/>
                      <w:kern w:val="0"/>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热储能车间GM</w:t>
                  </w:r>
                  <w:r>
                    <w:rPr>
                      <w:rFonts w:hint="eastAsia" w:cs="Times New Roman"/>
                      <w:color w:val="000000" w:themeColor="text1"/>
                      <w:kern w:val="0"/>
                      <w:sz w:val="21"/>
                      <w:szCs w:val="21"/>
                      <w:highlight w:val="none"/>
                      <w:lang w:val="en-US" w:eastAsia="zh-CN" w:bidi="ar-SA"/>
                      <w14:textFill>
                        <w14:solidFill>
                          <w14:schemeClr w14:val="tx1"/>
                        </w14:solidFill>
                      </w14:textFill>
                    </w:rPr>
                    <w:t>4）</w:t>
                  </w:r>
                </w:p>
              </w:tc>
              <w:tc>
                <w:tcPr>
                  <w:tcW w:w="583" w:type="pct"/>
                  <w:tcBorders>
                    <w:tl2br w:val="nil"/>
                    <w:tr2bl w:val="nil"/>
                  </w:tcBorders>
                  <w:noWrap w:val="0"/>
                  <w:vAlign w:val="center"/>
                </w:tcPr>
                <w:p w14:paraId="05AD2867">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676" w:type="pct"/>
                  <w:tcBorders>
                    <w:tl2br w:val="nil"/>
                    <w:tr2bl w:val="nil"/>
                  </w:tcBorders>
                  <w:noWrap w:val="0"/>
                  <w:vAlign w:val="center"/>
                </w:tcPr>
                <w:p w14:paraId="3336F5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6</w:t>
                  </w:r>
                </w:p>
              </w:tc>
              <w:tc>
                <w:tcPr>
                  <w:tcW w:w="676" w:type="pct"/>
                  <w:tcBorders>
                    <w:tl2br w:val="nil"/>
                    <w:tr2bl w:val="nil"/>
                  </w:tcBorders>
                  <w:noWrap w:val="0"/>
                  <w:vAlign w:val="center"/>
                </w:tcPr>
                <w:p w14:paraId="443704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17</w:t>
                  </w:r>
                </w:p>
              </w:tc>
              <w:tc>
                <w:tcPr>
                  <w:tcW w:w="676" w:type="pct"/>
                  <w:tcBorders>
                    <w:tl2br w:val="nil"/>
                    <w:tr2bl w:val="nil"/>
                  </w:tcBorders>
                  <w:noWrap w:val="0"/>
                  <w:vAlign w:val="center"/>
                </w:tcPr>
                <w:p w14:paraId="2B201E05">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w:t>
                  </w:r>
                </w:p>
              </w:tc>
              <w:tc>
                <w:tcPr>
                  <w:tcW w:w="677" w:type="pct"/>
                  <w:tcBorders>
                    <w:tl2br w:val="nil"/>
                    <w:tr2bl w:val="nil"/>
                  </w:tcBorders>
                  <w:noWrap w:val="0"/>
                  <w:vAlign w:val="center"/>
                </w:tcPr>
                <w:p w14:paraId="65A279F1">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6</w:t>
                  </w:r>
                </w:p>
              </w:tc>
              <w:tc>
                <w:tcPr>
                  <w:tcW w:w="629" w:type="pct"/>
                  <w:tcBorders>
                    <w:tl2br w:val="nil"/>
                    <w:tr2bl w:val="nil"/>
                  </w:tcBorders>
                  <w:noWrap w:val="0"/>
                  <w:vAlign w:val="center"/>
                </w:tcPr>
                <w:p w14:paraId="6CE48E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0.0313</w:t>
                  </w:r>
                </w:p>
              </w:tc>
              <w:tc>
                <w:tcPr>
                  <w:tcW w:w="629" w:type="pct"/>
                  <w:tcBorders>
                    <w:tl2br w:val="nil"/>
                    <w:tr2bl w:val="nil"/>
                  </w:tcBorders>
                  <w:noWrap w:val="0"/>
                  <w:vAlign w:val="center"/>
                </w:tcPr>
                <w:p w14:paraId="341725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r>
            <w:tr w14:paraId="2F3CBF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l2br w:val="nil"/>
                    <w:tr2bl w:val="nil"/>
                  </w:tcBorders>
                  <w:noWrap w:val="0"/>
                  <w:vAlign w:val="center"/>
                </w:tcPr>
                <w:p w14:paraId="5DC09278">
                  <w:pPr>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320" w:lineRule="exact"/>
                    <w:ind w:left="0" w:leftChars="0" w:right="0" w:rightChars="0"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矩形面源</w:t>
                  </w: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GM</w:t>
                  </w:r>
                  <w:r>
                    <w:rPr>
                      <w:rFonts w:hint="eastAsia" w:cs="Times New Roman"/>
                      <w:color w:val="000000" w:themeColor="text1"/>
                      <w:kern w:val="0"/>
                      <w:sz w:val="21"/>
                      <w:szCs w:val="21"/>
                      <w:highlight w:val="none"/>
                      <w:lang w:val="en-US" w:eastAsia="zh-CN" w:bidi="ar-SA"/>
                      <w14:textFill>
                        <w14:solidFill>
                          <w14:schemeClr w14:val="tx1"/>
                        </w14:solidFill>
                      </w14:textFill>
                    </w:rPr>
                    <w:t>5</w:t>
                  </w:r>
                </w:p>
              </w:tc>
              <w:tc>
                <w:tcPr>
                  <w:tcW w:w="583" w:type="pct"/>
                  <w:tcBorders>
                    <w:tl2br w:val="nil"/>
                    <w:tr2bl w:val="nil"/>
                  </w:tcBorders>
                  <w:noWrap w:val="0"/>
                  <w:vAlign w:val="center"/>
                </w:tcPr>
                <w:p w14:paraId="0D20F107">
                  <w:pPr>
                    <w:snapToGrid w:val="0"/>
                    <w:spacing w:before="0" w:beforeLines="0" w:after="0" w:afterLines="0" w:line="320" w:lineRule="exact"/>
                    <w:ind w:firstLine="0" w:firstLineChars="0"/>
                    <w:jc w:val="center"/>
                    <w:textAlignment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534</w:t>
                  </w:r>
                </w:p>
              </w:tc>
              <w:tc>
                <w:tcPr>
                  <w:tcW w:w="676" w:type="pct"/>
                  <w:tcBorders>
                    <w:tl2br w:val="nil"/>
                    <w:tr2bl w:val="nil"/>
                  </w:tcBorders>
                  <w:noWrap w:val="0"/>
                  <w:vAlign w:val="center"/>
                </w:tcPr>
                <w:p w14:paraId="24A5C4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28</w:t>
                  </w:r>
                </w:p>
              </w:tc>
              <w:tc>
                <w:tcPr>
                  <w:tcW w:w="676" w:type="pct"/>
                  <w:tcBorders>
                    <w:tl2br w:val="nil"/>
                    <w:tr2bl w:val="nil"/>
                  </w:tcBorders>
                  <w:noWrap w:val="0"/>
                  <w:vAlign w:val="center"/>
                </w:tcPr>
                <w:p w14:paraId="1B6705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80</w:t>
                  </w:r>
                </w:p>
              </w:tc>
              <w:tc>
                <w:tcPr>
                  <w:tcW w:w="676" w:type="pct"/>
                  <w:tcBorders>
                    <w:tl2br w:val="nil"/>
                    <w:tr2bl w:val="nil"/>
                  </w:tcBorders>
                  <w:noWrap w:val="0"/>
                  <w:vAlign w:val="center"/>
                </w:tcPr>
                <w:p w14:paraId="01C35361">
                  <w:pPr>
                    <w:snapToGrid w:val="0"/>
                    <w:spacing w:before="0" w:beforeLines="0" w:after="0" w:afterLines="0" w:line="320" w:lineRule="exact"/>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w:t>
                  </w:r>
                </w:p>
              </w:tc>
              <w:tc>
                <w:tcPr>
                  <w:tcW w:w="677" w:type="pct"/>
                  <w:tcBorders>
                    <w:tl2br w:val="nil"/>
                    <w:tr2bl w:val="nil"/>
                  </w:tcBorders>
                  <w:noWrap w:val="0"/>
                  <w:vAlign w:val="center"/>
                </w:tcPr>
                <w:p w14:paraId="10098D5D">
                  <w:pPr>
                    <w:snapToGrid w:val="0"/>
                    <w:spacing w:before="0" w:beforeLines="0" w:after="0" w:afterLines="0" w:line="320" w:lineRule="exact"/>
                    <w:ind w:firstLine="0" w:firstLineChars="0"/>
                    <w:jc w:val="center"/>
                    <w:textAlignment w:val="center"/>
                    <w:rPr>
                      <w:rFonts w:hint="eastAsia"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6</w:t>
                  </w:r>
                </w:p>
              </w:tc>
              <w:tc>
                <w:tcPr>
                  <w:tcW w:w="629" w:type="pct"/>
                  <w:tcBorders>
                    <w:tl2br w:val="nil"/>
                    <w:tr2bl w:val="nil"/>
                  </w:tcBorders>
                  <w:noWrap w:val="0"/>
                  <w:vAlign w:val="center"/>
                </w:tcPr>
                <w:p w14:paraId="553D18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629" w:type="pct"/>
                  <w:tcBorders>
                    <w:tl2br w:val="nil"/>
                    <w:tr2bl w:val="nil"/>
                  </w:tcBorders>
                  <w:noWrap w:val="0"/>
                  <w:vAlign w:val="center"/>
                </w:tcPr>
                <w:p w14:paraId="679AB4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0.296048</w:t>
                  </w:r>
                </w:p>
              </w:tc>
            </w:tr>
          </w:tbl>
          <w:p w14:paraId="423696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（4）预测结果</w:t>
            </w:r>
          </w:p>
          <w:p w14:paraId="56C419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宋体" w:hAnsi="宋体" w:eastAsia="宋体" w:cs="宋体"/>
                <w:snapToGrid/>
                <w:color w:val="000000" w:themeColor="text1"/>
                <w:kern w:val="0"/>
                <w:sz w:val="24"/>
                <w:szCs w:val="24"/>
                <w:lang w:val="en-US" w:eastAsia="zh-CN" w:bidi="ar"/>
                <w14:textFill>
                  <w14:solidFill>
                    <w14:schemeClr w14:val="tx1"/>
                  </w14:solidFill>
                </w14:textFill>
              </w:rPr>
              <w:t>①正常工况有组织废气预测结果</w:t>
            </w:r>
          </w:p>
          <w:p w14:paraId="45BC62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预测结果见表4-</w:t>
            </w:r>
            <w:r>
              <w:rPr>
                <w:rFonts w:hint="eastAsia" w:cs="Times New Roman"/>
                <w:snapToGrid/>
                <w:color w:val="000000" w:themeColor="text1"/>
                <w:kern w:val="0"/>
                <w:sz w:val="24"/>
                <w:szCs w:val="24"/>
                <w:lang w:val="en-US" w:eastAsia="zh-CN" w:bidi="ar"/>
                <w14:textFill>
                  <w14:solidFill>
                    <w14:schemeClr w14:val="tx1"/>
                  </w14:solidFill>
                </w14:textFill>
              </w:rPr>
              <w:t>8</w:t>
            </w: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w:t>
            </w:r>
          </w:p>
          <w:p w14:paraId="28F96F06">
            <w:pPr>
              <w:spacing w:line="223" w:lineRule="auto"/>
              <w:jc w:val="cente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表4-</w:t>
            </w:r>
            <w:r>
              <w:rPr>
                <w:rFonts w:hint="eastAsia" w:cs="Times New Roman"/>
                <w:b/>
                <w:bCs/>
                <w:color w:val="000000" w:themeColor="text1"/>
                <w:spacing w:val="4"/>
                <w:sz w:val="21"/>
                <w:szCs w:val="21"/>
                <w:lang w:val="en-US" w:eastAsia="zh-CN"/>
                <w14:textFill>
                  <w14:solidFill>
                    <w14:schemeClr w14:val="tx1"/>
                  </w14:solidFill>
                </w14:textFill>
              </w:rPr>
              <w:t>8</w:t>
            </w: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 xml:space="preserve">   正常工况有组织废气</w:t>
            </w:r>
            <w:r>
              <w:rPr>
                <w:rFonts w:hint="default" w:ascii="Times New Roman" w:hAnsi="Times New Roman" w:eastAsia="宋体" w:cs="Times New Roman"/>
                <w:b/>
                <w:bCs/>
                <w:color w:val="000000" w:themeColor="text1"/>
                <w:spacing w:val="4"/>
                <w:sz w:val="21"/>
                <w:szCs w:val="21"/>
                <w14:textFill>
                  <w14:solidFill>
                    <w14:schemeClr w14:val="tx1"/>
                  </w14:solidFill>
                </w14:textFill>
              </w:rPr>
              <w:t>预测结果一览表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239"/>
              <w:gridCol w:w="2120"/>
              <w:gridCol w:w="1781"/>
              <w:gridCol w:w="2269"/>
              <w:gridCol w:w="2196"/>
              <w:gridCol w:w="1433"/>
              <w:gridCol w:w="1434"/>
            </w:tblGrid>
            <w:tr w14:paraId="179F9B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vMerge w:val="restart"/>
                  <w:tcBorders>
                    <w:tl2br w:val="nil"/>
                    <w:tr2bl w:val="nil"/>
                  </w:tcBorders>
                  <w:noWrap w:val="0"/>
                  <w:vAlign w:val="center"/>
                </w:tcPr>
                <w:p w14:paraId="01522E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下风向距离（m）</w:t>
                  </w:r>
                </w:p>
              </w:tc>
              <w:tc>
                <w:tcPr>
                  <w:tcW w:w="2646" w:type="dxa"/>
                  <w:gridSpan w:val="2"/>
                  <w:tcBorders>
                    <w:tl2br w:val="nil"/>
                    <w:tr2bl w:val="nil"/>
                  </w:tcBorders>
                  <w:noWrap w:val="0"/>
                  <w:vAlign w:val="center"/>
                </w:tcPr>
                <w:p w14:paraId="240B34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DA001</w:t>
                  </w:r>
                </w:p>
              </w:tc>
              <w:tc>
                <w:tcPr>
                  <w:tcW w:w="3028" w:type="dxa"/>
                  <w:gridSpan w:val="2"/>
                  <w:tcBorders>
                    <w:tl2br w:val="nil"/>
                    <w:tr2bl w:val="nil"/>
                  </w:tcBorders>
                  <w:noWrap w:val="0"/>
                  <w:vAlign w:val="center"/>
                </w:tcPr>
                <w:p w14:paraId="393C84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DA002</w:t>
                  </w:r>
                </w:p>
              </w:tc>
              <w:tc>
                <w:tcPr>
                  <w:tcW w:w="1944" w:type="dxa"/>
                  <w:gridSpan w:val="2"/>
                  <w:tcBorders>
                    <w:tl2br w:val="nil"/>
                    <w:tr2bl w:val="nil"/>
                  </w:tcBorders>
                  <w:noWrap w:val="0"/>
                  <w:vAlign w:val="center"/>
                </w:tcPr>
                <w:p w14:paraId="36609B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DA003</w:t>
                  </w:r>
                </w:p>
              </w:tc>
            </w:tr>
            <w:tr w14:paraId="5D8475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vMerge w:val="continue"/>
                  <w:tcBorders>
                    <w:tl2br w:val="nil"/>
                    <w:tr2bl w:val="nil"/>
                  </w:tcBorders>
                  <w:noWrap w:val="0"/>
                  <w:vAlign w:val="center"/>
                </w:tcPr>
                <w:p w14:paraId="34187F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2646" w:type="dxa"/>
                  <w:gridSpan w:val="2"/>
                  <w:tcBorders>
                    <w:tl2br w:val="nil"/>
                    <w:tr2bl w:val="nil"/>
                  </w:tcBorders>
                  <w:noWrap w:val="0"/>
                  <w:vAlign w:val="center"/>
                </w:tcPr>
                <w:p w14:paraId="2E640C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颗粒物</w:t>
                  </w:r>
                </w:p>
              </w:tc>
              <w:tc>
                <w:tcPr>
                  <w:tcW w:w="3028" w:type="dxa"/>
                  <w:gridSpan w:val="2"/>
                  <w:tcBorders>
                    <w:tl2br w:val="nil"/>
                    <w:tr2bl w:val="nil"/>
                  </w:tcBorders>
                  <w:noWrap w:val="0"/>
                  <w:vAlign w:val="center"/>
                </w:tcPr>
                <w:p w14:paraId="32AC4F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颗粒物</w:t>
                  </w:r>
                </w:p>
              </w:tc>
              <w:tc>
                <w:tcPr>
                  <w:tcW w:w="1944" w:type="dxa"/>
                  <w:gridSpan w:val="2"/>
                  <w:tcBorders>
                    <w:tl2br w:val="nil"/>
                    <w:tr2bl w:val="nil"/>
                  </w:tcBorders>
                  <w:noWrap w:val="0"/>
                  <w:vAlign w:val="center"/>
                </w:tcPr>
                <w:p w14:paraId="7CDEAC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颗粒物</w:t>
                  </w:r>
                </w:p>
              </w:tc>
            </w:tr>
            <w:tr w14:paraId="4835D8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vMerge w:val="continue"/>
                  <w:tcBorders>
                    <w:tl2br w:val="nil"/>
                    <w:tr2bl w:val="nil"/>
                  </w:tcBorders>
                  <w:noWrap w:val="0"/>
                  <w:vAlign w:val="center"/>
                </w:tcPr>
                <w:p w14:paraId="0A5A32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1438" w:type="dxa"/>
                  <w:tcBorders>
                    <w:tl2br w:val="nil"/>
                    <w:tr2bl w:val="nil"/>
                  </w:tcBorders>
                  <w:noWrap w:val="0"/>
                  <w:vAlign w:val="center"/>
                </w:tcPr>
                <w:p w14:paraId="5C8DF0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1208" w:type="dxa"/>
                  <w:tcBorders>
                    <w:tl2br w:val="nil"/>
                    <w:tr2bl w:val="nil"/>
                  </w:tcBorders>
                  <w:noWrap w:val="0"/>
                  <w:vAlign w:val="center"/>
                </w:tcPr>
                <w:p w14:paraId="09B187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c>
                <w:tcPr>
                  <w:tcW w:w="1539" w:type="dxa"/>
                  <w:tcBorders>
                    <w:tl2br w:val="nil"/>
                    <w:tr2bl w:val="nil"/>
                  </w:tcBorders>
                  <w:noWrap w:val="0"/>
                  <w:vAlign w:val="center"/>
                </w:tcPr>
                <w:p w14:paraId="2C1819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1489" w:type="dxa"/>
                  <w:tcBorders>
                    <w:tl2br w:val="nil"/>
                    <w:tr2bl w:val="nil"/>
                  </w:tcBorders>
                  <w:noWrap w:val="0"/>
                  <w:vAlign w:val="center"/>
                </w:tcPr>
                <w:p w14:paraId="24C119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c>
                <w:tcPr>
                  <w:tcW w:w="972" w:type="dxa"/>
                  <w:tcBorders>
                    <w:tl2br w:val="nil"/>
                    <w:tr2bl w:val="nil"/>
                  </w:tcBorders>
                  <w:noWrap w:val="0"/>
                  <w:vAlign w:val="center"/>
                </w:tcPr>
                <w:p w14:paraId="378ADE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972" w:type="dxa"/>
                  <w:tcBorders>
                    <w:tl2br w:val="nil"/>
                    <w:tr2bl w:val="nil"/>
                  </w:tcBorders>
                  <w:noWrap w:val="0"/>
                  <w:vAlign w:val="center"/>
                </w:tcPr>
                <w:p w14:paraId="4C43B6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r>
            <w:tr w14:paraId="7474DE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6B360F0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438" w:type="dxa"/>
                  <w:tcBorders>
                    <w:tl2br w:val="nil"/>
                    <w:tr2bl w:val="nil"/>
                  </w:tcBorders>
                  <w:noWrap w:val="0"/>
                  <w:vAlign w:val="center"/>
                </w:tcPr>
                <w:p w14:paraId="6FD5C32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8.03E-06</w:t>
                  </w:r>
                </w:p>
              </w:tc>
              <w:tc>
                <w:tcPr>
                  <w:tcW w:w="1208" w:type="dxa"/>
                  <w:tcBorders>
                    <w:tl2br w:val="nil"/>
                    <w:tr2bl w:val="nil"/>
                  </w:tcBorders>
                  <w:noWrap w:val="0"/>
                  <w:vAlign w:val="center"/>
                </w:tcPr>
                <w:p w14:paraId="54EC817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1539" w:type="dxa"/>
                  <w:tcBorders>
                    <w:tl2br w:val="nil"/>
                    <w:tr2bl w:val="nil"/>
                  </w:tcBorders>
                  <w:noWrap w:val="0"/>
                  <w:vAlign w:val="center"/>
                </w:tcPr>
                <w:p w14:paraId="4027866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2.46E-06</w:t>
                  </w:r>
                </w:p>
              </w:tc>
              <w:tc>
                <w:tcPr>
                  <w:tcW w:w="1489" w:type="dxa"/>
                  <w:tcBorders>
                    <w:tl2br w:val="nil"/>
                    <w:tr2bl w:val="nil"/>
                  </w:tcBorders>
                  <w:noWrap w:val="0"/>
                  <w:vAlign w:val="center"/>
                </w:tcPr>
                <w:p w14:paraId="7FD674F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972" w:type="dxa"/>
                  <w:tcBorders>
                    <w:tl2br w:val="nil"/>
                    <w:tr2bl w:val="nil"/>
                  </w:tcBorders>
                  <w:noWrap w:val="0"/>
                  <w:vAlign w:val="center"/>
                </w:tcPr>
                <w:p w14:paraId="5455E0A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1.08E-05</w:t>
                  </w:r>
                </w:p>
              </w:tc>
              <w:tc>
                <w:tcPr>
                  <w:tcW w:w="972" w:type="dxa"/>
                  <w:tcBorders>
                    <w:tl2br w:val="nil"/>
                    <w:tr2bl w:val="nil"/>
                  </w:tcBorders>
                  <w:noWrap w:val="0"/>
                  <w:vAlign w:val="center"/>
                </w:tcPr>
                <w:p w14:paraId="5D341E3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r>
            <w:tr w14:paraId="68D2F4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587ECAA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w:t>
                  </w:r>
                </w:p>
              </w:tc>
              <w:tc>
                <w:tcPr>
                  <w:tcW w:w="1438" w:type="dxa"/>
                  <w:tcBorders>
                    <w:tl2br w:val="nil"/>
                    <w:tr2bl w:val="nil"/>
                  </w:tcBorders>
                  <w:noWrap w:val="0"/>
                  <w:vAlign w:val="center"/>
                </w:tcPr>
                <w:p w14:paraId="190D1B3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6.44E-05</w:t>
                  </w:r>
                </w:p>
              </w:tc>
              <w:tc>
                <w:tcPr>
                  <w:tcW w:w="1208" w:type="dxa"/>
                  <w:tcBorders>
                    <w:tl2br w:val="nil"/>
                    <w:tr2bl w:val="nil"/>
                  </w:tcBorders>
                  <w:noWrap w:val="0"/>
                  <w:vAlign w:val="center"/>
                </w:tcPr>
                <w:p w14:paraId="00B7756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w:t>
                  </w:r>
                </w:p>
              </w:tc>
              <w:tc>
                <w:tcPr>
                  <w:tcW w:w="1539" w:type="dxa"/>
                  <w:tcBorders>
                    <w:tl2br w:val="nil"/>
                    <w:tr2bl w:val="nil"/>
                  </w:tcBorders>
                  <w:noWrap w:val="0"/>
                  <w:vAlign w:val="center"/>
                </w:tcPr>
                <w:p w14:paraId="306CC35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4.30E-05</w:t>
                  </w:r>
                </w:p>
              </w:tc>
              <w:tc>
                <w:tcPr>
                  <w:tcW w:w="1489" w:type="dxa"/>
                  <w:tcBorders>
                    <w:tl2br w:val="nil"/>
                    <w:tr2bl w:val="nil"/>
                  </w:tcBorders>
                  <w:noWrap w:val="0"/>
                  <w:vAlign w:val="center"/>
                </w:tcPr>
                <w:p w14:paraId="502C8CE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972" w:type="dxa"/>
                  <w:tcBorders>
                    <w:tl2br w:val="nil"/>
                    <w:tr2bl w:val="nil"/>
                  </w:tcBorders>
                  <w:noWrap w:val="0"/>
                  <w:vAlign w:val="center"/>
                </w:tcPr>
                <w:p w14:paraId="3D5C8CB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8.69E-05</w:t>
                  </w:r>
                </w:p>
              </w:tc>
              <w:tc>
                <w:tcPr>
                  <w:tcW w:w="972" w:type="dxa"/>
                  <w:tcBorders>
                    <w:tl2br w:val="nil"/>
                    <w:tr2bl w:val="nil"/>
                  </w:tcBorders>
                  <w:noWrap w:val="0"/>
                  <w:vAlign w:val="center"/>
                </w:tcPr>
                <w:p w14:paraId="74412C9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w:t>
                  </w:r>
                </w:p>
              </w:tc>
            </w:tr>
            <w:tr w14:paraId="29783C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3FCCEE4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1438" w:type="dxa"/>
                  <w:tcBorders>
                    <w:tl2br w:val="nil"/>
                    <w:tr2bl w:val="nil"/>
                  </w:tcBorders>
                  <w:noWrap w:val="0"/>
                  <w:vAlign w:val="center"/>
                </w:tcPr>
                <w:p w14:paraId="4AB7915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9.95E-05</w:t>
                  </w:r>
                </w:p>
              </w:tc>
              <w:tc>
                <w:tcPr>
                  <w:tcW w:w="1208" w:type="dxa"/>
                  <w:tcBorders>
                    <w:tl2br w:val="nil"/>
                    <w:tr2bl w:val="nil"/>
                  </w:tcBorders>
                  <w:noWrap w:val="0"/>
                  <w:vAlign w:val="center"/>
                </w:tcPr>
                <w:p w14:paraId="5D860E1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w:t>
                  </w:r>
                </w:p>
              </w:tc>
              <w:tc>
                <w:tcPr>
                  <w:tcW w:w="1539" w:type="dxa"/>
                  <w:tcBorders>
                    <w:tl2br w:val="nil"/>
                    <w:tr2bl w:val="nil"/>
                  </w:tcBorders>
                  <w:noWrap w:val="0"/>
                  <w:vAlign w:val="center"/>
                </w:tcPr>
                <w:p w14:paraId="67795B7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9.68E-05</w:t>
                  </w:r>
                </w:p>
              </w:tc>
              <w:tc>
                <w:tcPr>
                  <w:tcW w:w="1489" w:type="dxa"/>
                  <w:tcBorders>
                    <w:tl2br w:val="nil"/>
                    <w:tr2bl w:val="nil"/>
                  </w:tcBorders>
                  <w:noWrap w:val="0"/>
                  <w:vAlign w:val="center"/>
                </w:tcPr>
                <w:p w14:paraId="6E64AE8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w:t>
                  </w:r>
                </w:p>
              </w:tc>
              <w:tc>
                <w:tcPr>
                  <w:tcW w:w="972" w:type="dxa"/>
                  <w:tcBorders>
                    <w:tl2br w:val="nil"/>
                    <w:tr2bl w:val="nil"/>
                  </w:tcBorders>
                  <w:noWrap w:val="0"/>
                  <w:vAlign w:val="center"/>
                </w:tcPr>
                <w:p w14:paraId="204FBC3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1.34E-04</w:t>
                  </w:r>
                </w:p>
              </w:tc>
              <w:tc>
                <w:tcPr>
                  <w:tcW w:w="972" w:type="dxa"/>
                  <w:tcBorders>
                    <w:tl2br w:val="nil"/>
                    <w:tr2bl w:val="nil"/>
                  </w:tcBorders>
                  <w:noWrap w:val="0"/>
                  <w:vAlign w:val="center"/>
                </w:tcPr>
                <w:p w14:paraId="6649902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w:t>
                  </w:r>
                </w:p>
              </w:tc>
            </w:tr>
            <w:tr w14:paraId="578486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5033293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1438" w:type="dxa"/>
                  <w:tcBorders>
                    <w:tl2br w:val="nil"/>
                    <w:tr2bl w:val="nil"/>
                  </w:tcBorders>
                  <w:noWrap w:val="0"/>
                  <w:vAlign w:val="center"/>
                </w:tcPr>
                <w:p w14:paraId="5676362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2.67E-04</w:t>
                  </w:r>
                </w:p>
              </w:tc>
              <w:tc>
                <w:tcPr>
                  <w:tcW w:w="1208" w:type="dxa"/>
                  <w:tcBorders>
                    <w:tl2br w:val="nil"/>
                    <w:tr2bl w:val="nil"/>
                  </w:tcBorders>
                  <w:noWrap w:val="0"/>
                  <w:vAlign w:val="center"/>
                </w:tcPr>
                <w:p w14:paraId="64028A4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w:t>
                  </w:r>
                </w:p>
              </w:tc>
              <w:tc>
                <w:tcPr>
                  <w:tcW w:w="1539" w:type="dxa"/>
                  <w:tcBorders>
                    <w:tl2br w:val="nil"/>
                    <w:tr2bl w:val="nil"/>
                  </w:tcBorders>
                  <w:noWrap w:val="0"/>
                  <w:vAlign w:val="center"/>
                </w:tcPr>
                <w:p w14:paraId="3D4EFC1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4.34E-04</w:t>
                  </w:r>
                </w:p>
              </w:tc>
              <w:tc>
                <w:tcPr>
                  <w:tcW w:w="1489" w:type="dxa"/>
                  <w:tcBorders>
                    <w:tl2br w:val="nil"/>
                    <w:tr2bl w:val="nil"/>
                  </w:tcBorders>
                  <w:noWrap w:val="0"/>
                  <w:vAlign w:val="center"/>
                </w:tcPr>
                <w:p w14:paraId="651419A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c>
                <w:tcPr>
                  <w:tcW w:w="972" w:type="dxa"/>
                  <w:tcBorders>
                    <w:tl2br w:val="nil"/>
                    <w:tr2bl w:val="nil"/>
                  </w:tcBorders>
                  <w:noWrap w:val="0"/>
                  <w:vAlign w:val="center"/>
                </w:tcPr>
                <w:p w14:paraId="6F95558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3.60E-04</w:t>
                  </w:r>
                </w:p>
              </w:tc>
              <w:tc>
                <w:tcPr>
                  <w:tcW w:w="972" w:type="dxa"/>
                  <w:tcBorders>
                    <w:tl2br w:val="nil"/>
                    <w:tr2bl w:val="nil"/>
                  </w:tcBorders>
                  <w:noWrap w:val="0"/>
                  <w:vAlign w:val="center"/>
                </w:tcPr>
                <w:p w14:paraId="28F07E7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r>
            <w:tr w14:paraId="4863C2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4260789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1438" w:type="dxa"/>
                  <w:tcBorders>
                    <w:tl2br w:val="nil"/>
                    <w:tr2bl w:val="nil"/>
                  </w:tcBorders>
                  <w:noWrap w:val="0"/>
                  <w:vAlign w:val="center"/>
                </w:tcPr>
                <w:p w14:paraId="2837D55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6.76E-04</w:t>
                  </w:r>
                </w:p>
              </w:tc>
              <w:tc>
                <w:tcPr>
                  <w:tcW w:w="1208" w:type="dxa"/>
                  <w:tcBorders>
                    <w:tl2br w:val="nil"/>
                    <w:tr2bl w:val="nil"/>
                  </w:tcBorders>
                  <w:noWrap w:val="0"/>
                  <w:vAlign w:val="center"/>
                </w:tcPr>
                <w:p w14:paraId="0F5A827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0.08</w:t>
                  </w:r>
                </w:p>
              </w:tc>
              <w:tc>
                <w:tcPr>
                  <w:tcW w:w="1539" w:type="dxa"/>
                  <w:tcBorders>
                    <w:tl2br w:val="nil"/>
                    <w:tr2bl w:val="nil"/>
                  </w:tcBorders>
                  <w:noWrap w:val="0"/>
                  <w:vAlign w:val="center"/>
                </w:tcPr>
                <w:p w14:paraId="522C758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9.61E-04</w:t>
                  </w:r>
                </w:p>
              </w:tc>
              <w:tc>
                <w:tcPr>
                  <w:tcW w:w="1489" w:type="dxa"/>
                  <w:tcBorders>
                    <w:tl2br w:val="nil"/>
                    <w:tr2bl w:val="nil"/>
                  </w:tcBorders>
                  <w:noWrap w:val="0"/>
                  <w:vAlign w:val="center"/>
                </w:tcPr>
                <w:p w14:paraId="0D69A1F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0.11</w:t>
                  </w:r>
                </w:p>
              </w:tc>
              <w:tc>
                <w:tcPr>
                  <w:tcW w:w="972" w:type="dxa"/>
                  <w:tcBorders>
                    <w:tl2br w:val="nil"/>
                    <w:tr2bl w:val="nil"/>
                  </w:tcBorders>
                  <w:noWrap w:val="0"/>
                  <w:vAlign w:val="center"/>
                </w:tcPr>
                <w:p w14:paraId="4F905F2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9.13E-04</w:t>
                  </w:r>
                </w:p>
              </w:tc>
              <w:tc>
                <w:tcPr>
                  <w:tcW w:w="972" w:type="dxa"/>
                  <w:tcBorders>
                    <w:tl2br w:val="nil"/>
                    <w:tr2bl w:val="nil"/>
                  </w:tcBorders>
                  <w:noWrap w:val="0"/>
                  <w:vAlign w:val="center"/>
                </w:tcPr>
                <w:p w14:paraId="0CCA0BF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r>
            <w:tr w14:paraId="4EB69A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0039B79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w:t>
                  </w:r>
                </w:p>
              </w:tc>
              <w:tc>
                <w:tcPr>
                  <w:tcW w:w="1438" w:type="dxa"/>
                  <w:tcBorders>
                    <w:tl2br w:val="nil"/>
                    <w:tr2bl w:val="nil"/>
                  </w:tcBorders>
                  <w:noWrap w:val="0"/>
                  <w:vAlign w:val="center"/>
                </w:tcPr>
                <w:p w14:paraId="03EC7FA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7.52E-04</w:t>
                  </w:r>
                </w:p>
              </w:tc>
              <w:tc>
                <w:tcPr>
                  <w:tcW w:w="1208" w:type="dxa"/>
                  <w:tcBorders>
                    <w:tl2br w:val="nil"/>
                    <w:tr2bl w:val="nil"/>
                  </w:tcBorders>
                  <w:noWrap w:val="0"/>
                  <w:vAlign w:val="center"/>
                </w:tcPr>
                <w:p w14:paraId="441B654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0.08</w:t>
                  </w:r>
                </w:p>
              </w:tc>
              <w:tc>
                <w:tcPr>
                  <w:tcW w:w="1539" w:type="dxa"/>
                  <w:tcBorders>
                    <w:tl2br w:val="nil"/>
                    <w:tr2bl w:val="nil"/>
                  </w:tcBorders>
                  <w:noWrap w:val="0"/>
                  <w:vAlign w:val="center"/>
                </w:tcPr>
                <w:p w14:paraId="79113E2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1.15E-03</w:t>
                  </w:r>
                </w:p>
              </w:tc>
              <w:tc>
                <w:tcPr>
                  <w:tcW w:w="1489" w:type="dxa"/>
                  <w:tcBorders>
                    <w:tl2br w:val="nil"/>
                    <w:tr2bl w:val="nil"/>
                  </w:tcBorders>
                  <w:noWrap w:val="0"/>
                  <w:vAlign w:val="center"/>
                </w:tcPr>
                <w:p w14:paraId="21750C3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0.13</w:t>
                  </w:r>
                </w:p>
              </w:tc>
              <w:tc>
                <w:tcPr>
                  <w:tcW w:w="972" w:type="dxa"/>
                  <w:tcBorders>
                    <w:tl2br w:val="nil"/>
                    <w:tr2bl w:val="nil"/>
                  </w:tcBorders>
                  <w:noWrap w:val="0"/>
                  <w:vAlign w:val="center"/>
                </w:tcPr>
                <w:p w14:paraId="3A7A4C3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1.02E-03</w:t>
                  </w:r>
                </w:p>
              </w:tc>
              <w:tc>
                <w:tcPr>
                  <w:tcW w:w="972" w:type="dxa"/>
                  <w:tcBorders>
                    <w:tl2br w:val="nil"/>
                    <w:tr2bl w:val="nil"/>
                  </w:tcBorders>
                  <w:noWrap w:val="0"/>
                  <w:vAlign w:val="center"/>
                </w:tcPr>
                <w:p w14:paraId="7320AD5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0.11</w:t>
                  </w:r>
                </w:p>
              </w:tc>
            </w:tr>
            <w:tr w14:paraId="428CEE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277D901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w:t>
                  </w:r>
                </w:p>
              </w:tc>
              <w:tc>
                <w:tcPr>
                  <w:tcW w:w="1438" w:type="dxa"/>
                  <w:tcBorders>
                    <w:tl2br w:val="nil"/>
                    <w:tr2bl w:val="nil"/>
                  </w:tcBorders>
                  <w:noWrap w:val="0"/>
                  <w:vAlign w:val="center"/>
                </w:tcPr>
                <w:p w14:paraId="1031D7E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9.13E-04</w:t>
                  </w:r>
                </w:p>
              </w:tc>
              <w:tc>
                <w:tcPr>
                  <w:tcW w:w="1208" w:type="dxa"/>
                  <w:tcBorders>
                    <w:tl2br w:val="nil"/>
                    <w:tr2bl w:val="nil"/>
                  </w:tcBorders>
                  <w:noWrap w:val="0"/>
                  <w:vAlign w:val="center"/>
                </w:tcPr>
                <w:p w14:paraId="158A84D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1539" w:type="dxa"/>
                  <w:tcBorders>
                    <w:tl2br w:val="nil"/>
                    <w:tr2bl w:val="nil"/>
                  </w:tcBorders>
                  <w:noWrap w:val="0"/>
                  <w:vAlign w:val="center"/>
                </w:tcPr>
                <w:p w14:paraId="7E35E71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1.46E-03</w:t>
                  </w:r>
                </w:p>
              </w:tc>
              <w:tc>
                <w:tcPr>
                  <w:tcW w:w="1489" w:type="dxa"/>
                  <w:tcBorders>
                    <w:tl2br w:val="nil"/>
                    <w:tr2bl w:val="nil"/>
                  </w:tcBorders>
                  <w:noWrap w:val="0"/>
                  <w:vAlign w:val="center"/>
                </w:tcPr>
                <w:p w14:paraId="1684A6A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0.16</w:t>
                  </w:r>
                </w:p>
              </w:tc>
              <w:tc>
                <w:tcPr>
                  <w:tcW w:w="972" w:type="dxa"/>
                  <w:tcBorders>
                    <w:tl2br w:val="nil"/>
                    <w:tr2bl w:val="nil"/>
                  </w:tcBorders>
                  <w:noWrap w:val="0"/>
                  <w:vAlign w:val="center"/>
                </w:tcPr>
                <w:p w14:paraId="327CE0D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1.23E-03</w:t>
                  </w:r>
                </w:p>
              </w:tc>
              <w:tc>
                <w:tcPr>
                  <w:tcW w:w="972" w:type="dxa"/>
                  <w:tcBorders>
                    <w:tl2br w:val="nil"/>
                    <w:tr2bl w:val="nil"/>
                  </w:tcBorders>
                  <w:noWrap w:val="0"/>
                  <w:vAlign w:val="center"/>
                </w:tcPr>
                <w:p w14:paraId="67381CC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0.14</w:t>
                  </w:r>
                </w:p>
              </w:tc>
            </w:tr>
            <w:tr w14:paraId="0C04B1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3F393E7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168</w:t>
                  </w:r>
                </w:p>
              </w:tc>
              <w:tc>
                <w:tcPr>
                  <w:tcW w:w="1438" w:type="dxa"/>
                  <w:tcBorders>
                    <w:tl2br w:val="nil"/>
                    <w:tr2bl w:val="nil"/>
                  </w:tcBorders>
                  <w:noWrap w:val="0"/>
                  <w:vAlign w:val="center"/>
                </w:tcPr>
                <w:p w14:paraId="7BE9148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9.28E-04</w:t>
                  </w:r>
                </w:p>
              </w:tc>
              <w:tc>
                <w:tcPr>
                  <w:tcW w:w="1208" w:type="dxa"/>
                  <w:tcBorders>
                    <w:tl2br w:val="nil"/>
                    <w:tr2bl w:val="nil"/>
                  </w:tcBorders>
                  <w:noWrap w:val="0"/>
                  <w:vAlign w:val="center"/>
                </w:tcPr>
                <w:p w14:paraId="61F5B14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1539" w:type="dxa"/>
                  <w:tcBorders>
                    <w:tl2br w:val="nil"/>
                    <w:tr2bl w:val="nil"/>
                  </w:tcBorders>
                  <w:noWrap w:val="0"/>
                  <w:vAlign w:val="center"/>
                </w:tcPr>
                <w:p w14:paraId="491F186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1.49E-03</w:t>
                  </w:r>
                </w:p>
              </w:tc>
              <w:tc>
                <w:tcPr>
                  <w:tcW w:w="1489" w:type="dxa"/>
                  <w:tcBorders>
                    <w:tl2br w:val="nil"/>
                    <w:tr2bl w:val="nil"/>
                  </w:tcBorders>
                  <w:noWrap w:val="0"/>
                  <w:vAlign w:val="center"/>
                </w:tcPr>
                <w:p w14:paraId="004AA93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0.17</w:t>
                  </w:r>
                </w:p>
              </w:tc>
              <w:tc>
                <w:tcPr>
                  <w:tcW w:w="972" w:type="dxa"/>
                  <w:tcBorders>
                    <w:tl2br w:val="nil"/>
                    <w:tr2bl w:val="nil"/>
                  </w:tcBorders>
                  <w:noWrap w:val="0"/>
                  <w:vAlign w:val="center"/>
                </w:tcPr>
                <w:p w14:paraId="2C50144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1.25E-03</w:t>
                  </w:r>
                </w:p>
              </w:tc>
              <w:tc>
                <w:tcPr>
                  <w:tcW w:w="972" w:type="dxa"/>
                  <w:tcBorders>
                    <w:tl2br w:val="nil"/>
                    <w:tr2bl w:val="nil"/>
                  </w:tcBorders>
                  <w:noWrap w:val="0"/>
                  <w:vAlign w:val="center"/>
                </w:tcPr>
                <w:p w14:paraId="2F3724C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0.14</w:t>
                  </w:r>
                </w:p>
              </w:tc>
            </w:tr>
            <w:tr w14:paraId="5C5068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6724C87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w:t>
                  </w:r>
                </w:p>
              </w:tc>
              <w:tc>
                <w:tcPr>
                  <w:tcW w:w="1438" w:type="dxa"/>
                  <w:tcBorders>
                    <w:tl2br w:val="nil"/>
                    <w:tr2bl w:val="nil"/>
                  </w:tcBorders>
                  <w:noWrap w:val="0"/>
                  <w:vAlign w:val="center"/>
                </w:tcPr>
                <w:p w14:paraId="1994B3D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9.26E-04</w:t>
                  </w:r>
                </w:p>
              </w:tc>
              <w:tc>
                <w:tcPr>
                  <w:tcW w:w="1208" w:type="dxa"/>
                  <w:tcBorders>
                    <w:tl2br w:val="nil"/>
                    <w:tr2bl w:val="nil"/>
                  </w:tcBorders>
                  <w:noWrap w:val="0"/>
                  <w:vAlign w:val="center"/>
                </w:tcPr>
                <w:p w14:paraId="3A7108C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1539" w:type="dxa"/>
                  <w:tcBorders>
                    <w:tl2br w:val="nil"/>
                    <w:tr2bl w:val="nil"/>
                  </w:tcBorders>
                  <w:noWrap w:val="0"/>
                  <w:vAlign w:val="center"/>
                </w:tcPr>
                <w:p w14:paraId="33CBDD4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1.49E-03</w:t>
                  </w:r>
                </w:p>
              </w:tc>
              <w:tc>
                <w:tcPr>
                  <w:tcW w:w="1489" w:type="dxa"/>
                  <w:tcBorders>
                    <w:tl2br w:val="nil"/>
                    <w:tr2bl w:val="nil"/>
                  </w:tcBorders>
                  <w:noWrap w:val="0"/>
                  <w:vAlign w:val="center"/>
                </w:tcPr>
                <w:p w14:paraId="4E5EC70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0.17</w:t>
                  </w:r>
                </w:p>
              </w:tc>
              <w:tc>
                <w:tcPr>
                  <w:tcW w:w="972" w:type="dxa"/>
                  <w:tcBorders>
                    <w:tl2br w:val="nil"/>
                    <w:tr2bl w:val="nil"/>
                  </w:tcBorders>
                  <w:noWrap w:val="0"/>
                  <w:vAlign w:val="center"/>
                </w:tcPr>
                <w:p w14:paraId="17A0951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1.25E-03</w:t>
                  </w:r>
                </w:p>
              </w:tc>
              <w:tc>
                <w:tcPr>
                  <w:tcW w:w="972" w:type="dxa"/>
                  <w:tcBorders>
                    <w:tl2br w:val="nil"/>
                    <w:tr2bl w:val="nil"/>
                  </w:tcBorders>
                  <w:noWrap w:val="0"/>
                  <w:vAlign w:val="center"/>
                </w:tcPr>
                <w:p w14:paraId="677A97E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0.14</w:t>
                  </w:r>
                </w:p>
              </w:tc>
            </w:tr>
            <w:tr w14:paraId="68A2D5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276FE3A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w:t>
                  </w:r>
                </w:p>
              </w:tc>
              <w:tc>
                <w:tcPr>
                  <w:tcW w:w="1438" w:type="dxa"/>
                  <w:tcBorders>
                    <w:tl2br w:val="nil"/>
                    <w:tr2bl w:val="nil"/>
                  </w:tcBorders>
                  <w:noWrap w:val="0"/>
                  <w:vAlign w:val="center"/>
                </w:tcPr>
                <w:p w14:paraId="485470C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8.97E-04</w:t>
                  </w:r>
                </w:p>
              </w:tc>
              <w:tc>
                <w:tcPr>
                  <w:tcW w:w="1208" w:type="dxa"/>
                  <w:tcBorders>
                    <w:tl2br w:val="nil"/>
                    <w:tr2bl w:val="nil"/>
                  </w:tcBorders>
                  <w:noWrap w:val="0"/>
                  <w:vAlign w:val="center"/>
                </w:tcPr>
                <w:p w14:paraId="36BDB87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1539" w:type="dxa"/>
                  <w:tcBorders>
                    <w:tl2br w:val="nil"/>
                    <w:tr2bl w:val="nil"/>
                  </w:tcBorders>
                  <w:noWrap w:val="0"/>
                  <w:vAlign w:val="center"/>
                </w:tcPr>
                <w:p w14:paraId="50DCD87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1.45E-03</w:t>
                  </w:r>
                </w:p>
              </w:tc>
              <w:tc>
                <w:tcPr>
                  <w:tcW w:w="1489" w:type="dxa"/>
                  <w:tcBorders>
                    <w:tl2br w:val="nil"/>
                    <w:tr2bl w:val="nil"/>
                  </w:tcBorders>
                  <w:noWrap w:val="0"/>
                  <w:vAlign w:val="center"/>
                </w:tcPr>
                <w:p w14:paraId="316093F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0.16</w:t>
                  </w:r>
                </w:p>
              </w:tc>
              <w:tc>
                <w:tcPr>
                  <w:tcW w:w="972" w:type="dxa"/>
                  <w:tcBorders>
                    <w:tl2br w:val="nil"/>
                    <w:tr2bl w:val="nil"/>
                  </w:tcBorders>
                  <w:noWrap w:val="0"/>
                  <w:vAlign w:val="center"/>
                </w:tcPr>
                <w:p w14:paraId="7EC3E74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1.21E-03</w:t>
                  </w:r>
                </w:p>
              </w:tc>
              <w:tc>
                <w:tcPr>
                  <w:tcW w:w="972" w:type="dxa"/>
                  <w:tcBorders>
                    <w:tl2br w:val="nil"/>
                    <w:tr2bl w:val="nil"/>
                  </w:tcBorders>
                  <w:noWrap w:val="0"/>
                  <w:vAlign w:val="center"/>
                </w:tcPr>
                <w:p w14:paraId="19222EE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0.13</w:t>
                  </w:r>
                </w:p>
              </w:tc>
            </w:tr>
            <w:tr w14:paraId="24A708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4A8A44A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300</w:t>
                  </w:r>
                </w:p>
              </w:tc>
              <w:tc>
                <w:tcPr>
                  <w:tcW w:w="1438" w:type="dxa"/>
                  <w:tcBorders>
                    <w:tl2br w:val="nil"/>
                    <w:tr2bl w:val="nil"/>
                  </w:tcBorders>
                  <w:noWrap w:val="0"/>
                  <w:vAlign w:val="center"/>
                </w:tcPr>
                <w:p w14:paraId="4C910EC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6.89E-04</w:t>
                  </w:r>
                </w:p>
              </w:tc>
              <w:tc>
                <w:tcPr>
                  <w:tcW w:w="1208" w:type="dxa"/>
                  <w:tcBorders>
                    <w:tl2br w:val="nil"/>
                    <w:tr2bl w:val="nil"/>
                  </w:tcBorders>
                  <w:noWrap w:val="0"/>
                  <w:vAlign w:val="center"/>
                </w:tcPr>
                <w:p w14:paraId="11109AE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0.08</w:t>
                  </w:r>
                </w:p>
              </w:tc>
              <w:tc>
                <w:tcPr>
                  <w:tcW w:w="1539" w:type="dxa"/>
                  <w:tcBorders>
                    <w:tl2br w:val="nil"/>
                    <w:tr2bl w:val="nil"/>
                  </w:tcBorders>
                  <w:noWrap w:val="0"/>
                  <w:vAlign w:val="center"/>
                </w:tcPr>
                <w:p w14:paraId="47ADB1D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1.12E-03</w:t>
                  </w:r>
                </w:p>
              </w:tc>
              <w:tc>
                <w:tcPr>
                  <w:tcW w:w="1489" w:type="dxa"/>
                  <w:tcBorders>
                    <w:tl2br w:val="nil"/>
                    <w:tr2bl w:val="nil"/>
                  </w:tcBorders>
                  <w:noWrap w:val="0"/>
                  <w:vAlign w:val="center"/>
                </w:tcPr>
                <w:p w14:paraId="5035EB5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w:t>
                  </w:r>
                </w:p>
              </w:tc>
              <w:tc>
                <w:tcPr>
                  <w:tcW w:w="972" w:type="dxa"/>
                  <w:tcBorders>
                    <w:tl2br w:val="nil"/>
                    <w:tr2bl w:val="nil"/>
                  </w:tcBorders>
                  <w:noWrap w:val="0"/>
                  <w:vAlign w:val="center"/>
                </w:tcPr>
                <w:p w14:paraId="30E885D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9.30E-04</w:t>
                  </w:r>
                </w:p>
              </w:tc>
              <w:tc>
                <w:tcPr>
                  <w:tcW w:w="972" w:type="dxa"/>
                  <w:tcBorders>
                    <w:tl2br w:val="nil"/>
                    <w:tr2bl w:val="nil"/>
                  </w:tcBorders>
                  <w:noWrap w:val="0"/>
                  <w:vAlign w:val="center"/>
                </w:tcPr>
                <w:p w14:paraId="7549BF5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r>
            <w:tr w14:paraId="2A659F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5B38B8B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400</w:t>
                  </w:r>
                </w:p>
              </w:tc>
              <w:tc>
                <w:tcPr>
                  <w:tcW w:w="1438" w:type="dxa"/>
                  <w:tcBorders>
                    <w:tl2br w:val="nil"/>
                    <w:tr2bl w:val="nil"/>
                  </w:tcBorders>
                  <w:noWrap w:val="0"/>
                  <w:vAlign w:val="center"/>
                </w:tcPr>
                <w:p w14:paraId="2A1392D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5.19E-04</w:t>
                  </w:r>
                </w:p>
              </w:tc>
              <w:tc>
                <w:tcPr>
                  <w:tcW w:w="1208" w:type="dxa"/>
                  <w:tcBorders>
                    <w:tl2br w:val="nil"/>
                    <w:tr2bl w:val="nil"/>
                  </w:tcBorders>
                  <w:noWrap w:val="0"/>
                  <w:vAlign w:val="center"/>
                </w:tcPr>
                <w:p w14:paraId="728B703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0.06</w:t>
                  </w:r>
                </w:p>
              </w:tc>
              <w:tc>
                <w:tcPr>
                  <w:tcW w:w="1539" w:type="dxa"/>
                  <w:tcBorders>
                    <w:tl2br w:val="nil"/>
                    <w:tr2bl w:val="nil"/>
                  </w:tcBorders>
                  <w:noWrap w:val="0"/>
                  <w:vAlign w:val="center"/>
                </w:tcPr>
                <w:p w14:paraId="7567CE8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8.47E-04</w:t>
                  </w:r>
                </w:p>
              </w:tc>
              <w:tc>
                <w:tcPr>
                  <w:tcW w:w="1489" w:type="dxa"/>
                  <w:tcBorders>
                    <w:tl2br w:val="nil"/>
                    <w:tr2bl w:val="nil"/>
                  </w:tcBorders>
                  <w:noWrap w:val="0"/>
                  <w:vAlign w:val="center"/>
                </w:tcPr>
                <w:p w14:paraId="59F2D3F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w:t>
                  </w:r>
                </w:p>
              </w:tc>
              <w:tc>
                <w:tcPr>
                  <w:tcW w:w="972" w:type="dxa"/>
                  <w:tcBorders>
                    <w:tl2br w:val="nil"/>
                    <w:tr2bl w:val="nil"/>
                  </w:tcBorders>
                  <w:noWrap w:val="0"/>
                  <w:vAlign w:val="center"/>
                </w:tcPr>
                <w:p w14:paraId="0DE80F6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7.01E-04</w:t>
                  </w:r>
                </w:p>
              </w:tc>
              <w:tc>
                <w:tcPr>
                  <w:tcW w:w="972" w:type="dxa"/>
                  <w:tcBorders>
                    <w:tl2br w:val="nil"/>
                    <w:tr2bl w:val="nil"/>
                  </w:tcBorders>
                  <w:noWrap w:val="0"/>
                  <w:vAlign w:val="center"/>
                </w:tcPr>
                <w:p w14:paraId="3FBC487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0.08</w:t>
                  </w:r>
                </w:p>
              </w:tc>
            </w:tr>
            <w:tr w14:paraId="0CB889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1DD12C6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w:t>
                  </w:r>
                </w:p>
              </w:tc>
              <w:tc>
                <w:tcPr>
                  <w:tcW w:w="1438" w:type="dxa"/>
                  <w:tcBorders>
                    <w:tl2br w:val="nil"/>
                    <w:tr2bl w:val="nil"/>
                  </w:tcBorders>
                  <w:noWrap w:val="0"/>
                  <w:vAlign w:val="center"/>
                </w:tcPr>
                <w:p w14:paraId="2C03E74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4.04E-04</w:t>
                  </w:r>
                </w:p>
              </w:tc>
              <w:tc>
                <w:tcPr>
                  <w:tcW w:w="1208" w:type="dxa"/>
                  <w:tcBorders>
                    <w:tl2br w:val="nil"/>
                    <w:tr2bl w:val="nil"/>
                  </w:tcBorders>
                  <w:noWrap w:val="0"/>
                  <w:vAlign w:val="center"/>
                </w:tcPr>
                <w:p w14:paraId="04B0CAC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c>
                <w:tcPr>
                  <w:tcW w:w="1539" w:type="dxa"/>
                  <w:tcBorders>
                    <w:tl2br w:val="nil"/>
                    <w:tr2bl w:val="nil"/>
                  </w:tcBorders>
                  <w:noWrap w:val="0"/>
                  <w:vAlign w:val="center"/>
                </w:tcPr>
                <w:p w14:paraId="09638E8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6.61E-04</w:t>
                  </w:r>
                </w:p>
              </w:tc>
              <w:tc>
                <w:tcPr>
                  <w:tcW w:w="1489" w:type="dxa"/>
                  <w:tcBorders>
                    <w:tl2br w:val="nil"/>
                    <w:tr2bl w:val="nil"/>
                  </w:tcBorders>
                  <w:noWrap w:val="0"/>
                  <w:vAlign w:val="center"/>
                </w:tcPr>
                <w:p w14:paraId="672A2D0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0.07</w:t>
                  </w:r>
                </w:p>
              </w:tc>
              <w:tc>
                <w:tcPr>
                  <w:tcW w:w="972" w:type="dxa"/>
                  <w:tcBorders>
                    <w:tl2br w:val="nil"/>
                    <w:tr2bl w:val="nil"/>
                  </w:tcBorders>
                  <w:noWrap w:val="0"/>
                  <w:vAlign w:val="center"/>
                </w:tcPr>
                <w:p w14:paraId="05D7C83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5.46E-04</w:t>
                  </w:r>
                </w:p>
              </w:tc>
              <w:tc>
                <w:tcPr>
                  <w:tcW w:w="972" w:type="dxa"/>
                  <w:tcBorders>
                    <w:tl2br w:val="nil"/>
                    <w:tr2bl w:val="nil"/>
                  </w:tcBorders>
                  <w:noWrap w:val="0"/>
                  <w:vAlign w:val="center"/>
                </w:tcPr>
                <w:p w14:paraId="4F15CD3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0.06</w:t>
                  </w:r>
                </w:p>
              </w:tc>
            </w:tr>
            <w:tr w14:paraId="7D89CA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51E1703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600</w:t>
                  </w:r>
                </w:p>
              </w:tc>
              <w:tc>
                <w:tcPr>
                  <w:tcW w:w="1438" w:type="dxa"/>
                  <w:tcBorders>
                    <w:tl2br w:val="nil"/>
                    <w:tr2bl w:val="nil"/>
                  </w:tcBorders>
                  <w:noWrap w:val="0"/>
                  <w:vAlign w:val="center"/>
                </w:tcPr>
                <w:p w14:paraId="2B77DF4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3.25E-04</w:t>
                  </w:r>
                </w:p>
              </w:tc>
              <w:tc>
                <w:tcPr>
                  <w:tcW w:w="1208" w:type="dxa"/>
                  <w:tcBorders>
                    <w:tl2br w:val="nil"/>
                    <w:tr2bl w:val="nil"/>
                  </w:tcBorders>
                  <w:noWrap w:val="0"/>
                  <w:vAlign w:val="center"/>
                </w:tcPr>
                <w:p w14:paraId="6CA81E0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c>
                <w:tcPr>
                  <w:tcW w:w="1539" w:type="dxa"/>
                  <w:tcBorders>
                    <w:tl2br w:val="nil"/>
                    <w:tr2bl w:val="nil"/>
                  </w:tcBorders>
                  <w:noWrap w:val="0"/>
                  <w:vAlign w:val="center"/>
                </w:tcPr>
                <w:p w14:paraId="28E5E18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5.32E-04</w:t>
                  </w:r>
                </w:p>
              </w:tc>
              <w:tc>
                <w:tcPr>
                  <w:tcW w:w="1489" w:type="dxa"/>
                  <w:tcBorders>
                    <w:tl2br w:val="nil"/>
                    <w:tr2bl w:val="nil"/>
                  </w:tcBorders>
                  <w:noWrap w:val="0"/>
                  <w:vAlign w:val="center"/>
                </w:tcPr>
                <w:p w14:paraId="4F2FEE9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0.06</w:t>
                  </w:r>
                </w:p>
              </w:tc>
              <w:tc>
                <w:tcPr>
                  <w:tcW w:w="972" w:type="dxa"/>
                  <w:tcBorders>
                    <w:tl2br w:val="nil"/>
                    <w:tr2bl w:val="nil"/>
                  </w:tcBorders>
                  <w:noWrap w:val="0"/>
                  <w:vAlign w:val="center"/>
                </w:tcPr>
                <w:p w14:paraId="1931256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4.39E-04</w:t>
                  </w:r>
                </w:p>
              </w:tc>
              <w:tc>
                <w:tcPr>
                  <w:tcW w:w="972" w:type="dxa"/>
                  <w:tcBorders>
                    <w:tl2br w:val="nil"/>
                    <w:tr2bl w:val="nil"/>
                  </w:tcBorders>
                  <w:noWrap w:val="0"/>
                  <w:vAlign w:val="center"/>
                </w:tcPr>
                <w:p w14:paraId="65063DE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r>
            <w:tr w14:paraId="26985F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26495FB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700</w:t>
                  </w:r>
                </w:p>
              </w:tc>
              <w:tc>
                <w:tcPr>
                  <w:tcW w:w="1438" w:type="dxa"/>
                  <w:tcBorders>
                    <w:tl2br w:val="nil"/>
                    <w:tr2bl w:val="nil"/>
                  </w:tcBorders>
                  <w:noWrap w:val="0"/>
                  <w:vAlign w:val="center"/>
                </w:tcPr>
                <w:p w14:paraId="570EC65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3.01E-04</w:t>
                  </w:r>
                </w:p>
              </w:tc>
              <w:tc>
                <w:tcPr>
                  <w:tcW w:w="1208" w:type="dxa"/>
                  <w:tcBorders>
                    <w:tl2br w:val="nil"/>
                    <w:tr2bl w:val="nil"/>
                  </w:tcBorders>
                  <w:noWrap w:val="0"/>
                  <w:vAlign w:val="center"/>
                </w:tcPr>
                <w:p w14:paraId="17EE628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w:t>
                  </w:r>
                </w:p>
              </w:tc>
              <w:tc>
                <w:tcPr>
                  <w:tcW w:w="1539" w:type="dxa"/>
                  <w:tcBorders>
                    <w:tl2br w:val="nil"/>
                    <w:tr2bl w:val="nil"/>
                  </w:tcBorders>
                  <w:noWrap w:val="0"/>
                  <w:vAlign w:val="center"/>
                </w:tcPr>
                <w:p w14:paraId="50F84A7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4.40E-04</w:t>
                  </w:r>
                </w:p>
              </w:tc>
              <w:tc>
                <w:tcPr>
                  <w:tcW w:w="1489" w:type="dxa"/>
                  <w:tcBorders>
                    <w:tl2br w:val="nil"/>
                    <w:tr2bl w:val="nil"/>
                  </w:tcBorders>
                  <w:noWrap w:val="0"/>
                  <w:vAlign w:val="center"/>
                </w:tcPr>
                <w:p w14:paraId="00CD120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c>
                <w:tcPr>
                  <w:tcW w:w="972" w:type="dxa"/>
                  <w:tcBorders>
                    <w:tl2br w:val="nil"/>
                    <w:tr2bl w:val="nil"/>
                  </w:tcBorders>
                  <w:noWrap w:val="0"/>
                  <w:vAlign w:val="center"/>
                </w:tcPr>
                <w:p w14:paraId="5983BC6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4.07E-04</w:t>
                  </w:r>
                </w:p>
              </w:tc>
              <w:tc>
                <w:tcPr>
                  <w:tcW w:w="972" w:type="dxa"/>
                  <w:tcBorders>
                    <w:tl2br w:val="nil"/>
                    <w:tr2bl w:val="nil"/>
                  </w:tcBorders>
                  <w:noWrap w:val="0"/>
                  <w:vAlign w:val="center"/>
                </w:tcPr>
                <w:p w14:paraId="124B617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r>
            <w:tr w14:paraId="3378A2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333DBF2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800</w:t>
                  </w:r>
                </w:p>
              </w:tc>
              <w:tc>
                <w:tcPr>
                  <w:tcW w:w="1438" w:type="dxa"/>
                  <w:tcBorders>
                    <w:tl2br w:val="nil"/>
                    <w:tr2bl w:val="nil"/>
                  </w:tcBorders>
                  <w:noWrap w:val="0"/>
                  <w:vAlign w:val="center"/>
                </w:tcPr>
                <w:p w14:paraId="7AC0859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2.97E-04</w:t>
                  </w:r>
                </w:p>
              </w:tc>
              <w:tc>
                <w:tcPr>
                  <w:tcW w:w="1208" w:type="dxa"/>
                  <w:tcBorders>
                    <w:tl2br w:val="nil"/>
                    <w:tr2bl w:val="nil"/>
                  </w:tcBorders>
                  <w:noWrap w:val="0"/>
                  <w:vAlign w:val="center"/>
                </w:tcPr>
                <w:p w14:paraId="4E658C1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w:t>
                  </w:r>
                </w:p>
              </w:tc>
              <w:tc>
                <w:tcPr>
                  <w:tcW w:w="1539" w:type="dxa"/>
                  <w:tcBorders>
                    <w:tl2br w:val="nil"/>
                    <w:tr2bl w:val="nil"/>
                  </w:tcBorders>
                  <w:noWrap w:val="0"/>
                  <w:vAlign w:val="center"/>
                </w:tcPr>
                <w:p w14:paraId="6360AA8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3.72E-04</w:t>
                  </w:r>
                </w:p>
              </w:tc>
              <w:tc>
                <w:tcPr>
                  <w:tcW w:w="1489" w:type="dxa"/>
                  <w:tcBorders>
                    <w:tl2br w:val="nil"/>
                    <w:tr2bl w:val="nil"/>
                  </w:tcBorders>
                  <w:noWrap w:val="0"/>
                  <w:vAlign w:val="center"/>
                </w:tcPr>
                <w:p w14:paraId="6572ED2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c>
                <w:tcPr>
                  <w:tcW w:w="972" w:type="dxa"/>
                  <w:tcBorders>
                    <w:tl2br w:val="nil"/>
                    <w:tr2bl w:val="nil"/>
                  </w:tcBorders>
                  <w:noWrap w:val="0"/>
                  <w:vAlign w:val="center"/>
                </w:tcPr>
                <w:p w14:paraId="2C47366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4.00E-04</w:t>
                  </w:r>
                </w:p>
              </w:tc>
              <w:tc>
                <w:tcPr>
                  <w:tcW w:w="972" w:type="dxa"/>
                  <w:tcBorders>
                    <w:tl2br w:val="nil"/>
                    <w:tr2bl w:val="nil"/>
                  </w:tcBorders>
                  <w:noWrap w:val="0"/>
                  <w:vAlign w:val="center"/>
                </w:tcPr>
                <w:p w14:paraId="31A45E2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r>
            <w:tr w14:paraId="1C047B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39971BB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900</w:t>
                  </w:r>
                </w:p>
              </w:tc>
              <w:tc>
                <w:tcPr>
                  <w:tcW w:w="1438" w:type="dxa"/>
                  <w:tcBorders>
                    <w:tl2br w:val="nil"/>
                    <w:tr2bl w:val="nil"/>
                  </w:tcBorders>
                  <w:noWrap w:val="0"/>
                  <w:vAlign w:val="center"/>
                </w:tcPr>
                <w:p w14:paraId="6E3B5EE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2.86E-04</w:t>
                  </w:r>
                </w:p>
              </w:tc>
              <w:tc>
                <w:tcPr>
                  <w:tcW w:w="1208" w:type="dxa"/>
                  <w:tcBorders>
                    <w:tl2br w:val="nil"/>
                    <w:tr2bl w:val="nil"/>
                  </w:tcBorders>
                  <w:noWrap w:val="0"/>
                  <w:vAlign w:val="center"/>
                </w:tcPr>
                <w:p w14:paraId="2D83654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w:t>
                  </w:r>
                </w:p>
              </w:tc>
              <w:tc>
                <w:tcPr>
                  <w:tcW w:w="1539" w:type="dxa"/>
                  <w:tcBorders>
                    <w:tl2br w:val="nil"/>
                    <w:tr2bl w:val="nil"/>
                  </w:tcBorders>
                  <w:noWrap w:val="0"/>
                  <w:vAlign w:val="center"/>
                </w:tcPr>
                <w:p w14:paraId="5764D8E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3.20E-04</w:t>
                  </w:r>
                </w:p>
              </w:tc>
              <w:tc>
                <w:tcPr>
                  <w:tcW w:w="1489" w:type="dxa"/>
                  <w:tcBorders>
                    <w:tl2br w:val="nil"/>
                    <w:tr2bl w:val="nil"/>
                  </w:tcBorders>
                  <w:noWrap w:val="0"/>
                  <w:vAlign w:val="center"/>
                </w:tcPr>
                <w:p w14:paraId="5EDD1F0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c>
                <w:tcPr>
                  <w:tcW w:w="972" w:type="dxa"/>
                  <w:tcBorders>
                    <w:tl2br w:val="nil"/>
                    <w:tr2bl w:val="nil"/>
                  </w:tcBorders>
                  <w:noWrap w:val="0"/>
                  <w:vAlign w:val="center"/>
                </w:tcPr>
                <w:p w14:paraId="3FAD522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3.86E-04</w:t>
                  </w:r>
                </w:p>
              </w:tc>
              <w:tc>
                <w:tcPr>
                  <w:tcW w:w="972" w:type="dxa"/>
                  <w:tcBorders>
                    <w:tl2br w:val="nil"/>
                    <w:tr2bl w:val="nil"/>
                  </w:tcBorders>
                  <w:noWrap w:val="0"/>
                  <w:vAlign w:val="center"/>
                </w:tcPr>
                <w:p w14:paraId="2CA6340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r>
            <w:tr w14:paraId="1D7FC7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21B1D46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w:t>
                  </w:r>
                </w:p>
              </w:tc>
              <w:tc>
                <w:tcPr>
                  <w:tcW w:w="1438" w:type="dxa"/>
                  <w:tcBorders>
                    <w:tl2br w:val="nil"/>
                    <w:tr2bl w:val="nil"/>
                  </w:tcBorders>
                  <w:noWrap w:val="0"/>
                  <w:vAlign w:val="center"/>
                </w:tcPr>
                <w:p w14:paraId="3841ADF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2.77E-04</w:t>
                  </w:r>
                </w:p>
              </w:tc>
              <w:tc>
                <w:tcPr>
                  <w:tcW w:w="1208" w:type="dxa"/>
                  <w:tcBorders>
                    <w:tl2br w:val="nil"/>
                    <w:tr2bl w:val="nil"/>
                  </w:tcBorders>
                  <w:noWrap w:val="0"/>
                  <w:vAlign w:val="center"/>
                </w:tcPr>
                <w:p w14:paraId="641152C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w:t>
                  </w:r>
                </w:p>
              </w:tc>
              <w:tc>
                <w:tcPr>
                  <w:tcW w:w="1539" w:type="dxa"/>
                  <w:tcBorders>
                    <w:tl2br w:val="nil"/>
                    <w:tr2bl w:val="nil"/>
                  </w:tcBorders>
                  <w:noWrap w:val="0"/>
                  <w:vAlign w:val="center"/>
                </w:tcPr>
                <w:p w14:paraId="086C280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2.79E-04</w:t>
                  </w:r>
                </w:p>
              </w:tc>
              <w:tc>
                <w:tcPr>
                  <w:tcW w:w="1489" w:type="dxa"/>
                  <w:tcBorders>
                    <w:tl2br w:val="nil"/>
                    <w:tr2bl w:val="nil"/>
                  </w:tcBorders>
                  <w:noWrap w:val="0"/>
                  <w:vAlign w:val="center"/>
                </w:tcPr>
                <w:p w14:paraId="701FB52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w:t>
                  </w:r>
                </w:p>
              </w:tc>
              <w:tc>
                <w:tcPr>
                  <w:tcW w:w="972" w:type="dxa"/>
                  <w:tcBorders>
                    <w:tl2br w:val="nil"/>
                    <w:tr2bl w:val="nil"/>
                  </w:tcBorders>
                  <w:noWrap w:val="0"/>
                  <w:vAlign w:val="center"/>
                </w:tcPr>
                <w:p w14:paraId="75B53A0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3.74E-04</w:t>
                  </w:r>
                </w:p>
              </w:tc>
              <w:tc>
                <w:tcPr>
                  <w:tcW w:w="972" w:type="dxa"/>
                  <w:tcBorders>
                    <w:tl2br w:val="nil"/>
                    <w:tr2bl w:val="nil"/>
                  </w:tcBorders>
                  <w:noWrap w:val="0"/>
                  <w:vAlign w:val="center"/>
                </w:tcPr>
                <w:p w14:paraId="0CDD192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w:t>
                  </w:r>
                </w:p>
              </w:tc>
            </w:tr>
            <w:tr w14:paraId="0B7749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427BF2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下风向最大浓度及占标率</w:t>
                  </w:r>
                </w:p>
              </w:tc>
              <w:tc>
                <w:tcPr>
                  <w:tcW w:w="1438" w:type="dxa"/>
                  <w:tcBorders>
                    <w:tl2br w:val="nil"/>
                    <w:tr2bl w:val="nil"/>
                  </w:tcBorders>
                  <w:noWrap w:val="0"/>
                  <w:vAlign w:val="center"/>
                </w:tcPr>
                <w:p w14:paraId="08B888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9.28E-04</w:t>
                  </w:r>
                </w:p>
              </w:tc>
              <w:tc>
                <w:tcPr>
                  <w:tcW w:w="1208" w:type="dxa"/>
                  <w:tcBorders>
                    <w:tl2br w:val="nil"/>
                    <w:tr2bl w:val="nil"/>
                  </w:tcBorders>
                  <w:noWrap w:val="0"/>
                  <w:vAlign w:val="center"/>
                </w:tcPr>
                <w:p w14:paraId="07D28E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w:t>
                  </w:r>
                </w:p>
              </w:tc>
              <w:tc>
                <w:tcPr>
                  <w:tcW w:w="1539" w:type="dxa"/>
                  <w:tcBorders>
                    <w:tl2br w:val="nil"/>
                    <w:tr2bl w:val="nil"/>
                  </w:tcBorders>
                  <w:noWrap w:val="0"/>
                  <w:vAlign w:val="center"/>
                </w:tcPr>
                <w:p w14:paraId="1D50E8B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1.49E-03</w:t>
                  </w:r>
                </w:p>
              </w:tc>
              <w:tc>
                <w:tcPr>
                  <w:tcW w:w="1489" w:type="dxa"/>
                  <w:tcBorders>
                    <w:tl2br w:val="nil"/>
                    <w:tr2bl w:val="nil"/>
                  </w:tcBorders>
                  <w:noWrap w:val="0"/>
                  <w:vAlign w:val="center"/>
                </w:tcPr>
                <w:p w14:paraId="0EF82AF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0.17</w:t>
                  </w:r>
                </w:p>
              </w:tc>
              <w:tc>
                <w:tcPr>
                  <w:tcW w:w="972" w:type="dxa"/>
                  <w:tcBorders>
                    <w:tl2br w:val="nil"/>
                    <w:tr2bl w:val="nil"/>
                  </w:tcBorders>
                  <w:noWrap w:val="0"/>
                  <w:vAlign w:val="center"/>
                </w:tcPr>
                <w:p w14:paraId="3E15839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1.25E-03</w:t>
                  </w:r>
                </w:p>
              </w:tc>
              <w:tc>
                <w:tcPr>
                  <w:tcW w:w="972" w:type="dxa"/>
                  <w:tcBorders>
                    <w:tl2br w:val="nil"/>
                    <w:tr2bl w:val="nil"/>
                  </w:tcBorders>
                  <w:noWrap w:val="0"/>
                  <w:vAlign w:val="center"/>
                </w:tcPr>
                <w:p w14:paraId="5F1C5A8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0.14</w:t>
                  </w:r>
                </w:p>
              </w:tc>
            </w:tr>
            <w:tr w14:paraId="1E24B0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791C8C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最大浓度出现距离</w:t>
                  </w:r>
                </w:p>
              </w:tc>
              <w:tc>
                <w:tcPr>
                  <w:tcW w:w="2646" w:type="dxa"/>
                  <w:gridSpan w:val="2"/>
                  <w:tcBorders>
                    <w:tl2br w:val="nil"/>
                    <w:tr2bl w:val="nil"/>
                  </w:tcBorders>
                  <w:noWrap w:val="0"/>
                  <w:vAlign w:val="center"/>
                </w:tcPr>
                <w:p w14:paraId="2AD3E1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168</w:t>
                  </w:r>
                </w:p>
              </w:tc>
              <w:tc>
                <w:tcPr>
                  <w:tcW w:w="3028" w:type="dxa"/>
                  <w:gridSpan w:val="2"/>
                  <w:tcBorders>
                    <w:tl2br w:val="nil"/>
                    <w:tr2bl w:val="nil"/>
                  </w:tcBorders>
                  <w:noWrap w:val="0"/>
                  <w:vAlign w:val="center"/>
                </w:tcPr>
                <w:p w14:paraId="74F1B0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168</w:t>
                  </w:r>
                </w:p>
              </w:tc>
              <w:tc>
                <w:tcPr>
                  <w:tcW w:w="1944" w:type="dxa"/>
                  <w:gridSpan w:val="2"/>
                  <w:tcBorders>
                    <w:tl2br w:val="nil"/>
                    <w:tr2bl w:val="nil"/>
                  </w:tcBorders>
                  <w:noWrap w:val="0"/>
                  <w:vAlign w:val="center"/>
                </w:tcPr>
                <w:p w14:paraId="7F8706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168</w:t>
                  </w:r>
                </w:p>
              </w:tc>
            </w:tr>
            <w:tr w14:paraId="1CFC0F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40" w:type="dxa"/>
                  <w:tcBorders>
                    <w:tl2br w:val="nil"/>
                    <w:tr2bl w:val="nil"/>
                  </w:tcBorders>
                  <w:noWrap w:val="0"/>
                  <w:vAlign w:val="center"/>
                </w:tcPr>
                <w:p w14:paraId="79D0D2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D10%（m）的最远距离</w:t>
                  </w:r>
                </w:p>
              </w:tc>
              <w:tc>
                <w:tcPr>
                  <w:tcW w:w="2646" w:type="dxa"/>
                  <w:gridSpan w:val="2"/>
                  <w:tcBorders>
                    <w:tl2br w:val="nil"/>
                    <w:tr2bl w:val="nil"/>
                  </w:tcBorders>
                  <w:noWrap w:val="0"/>
                  <w:vAlign w:val="center"/>
                </w:tcPr>
                <w:p w14:paraId="3576EE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3028" w:type="dxa"/>
                  <w:gridSpan w:val="2"/>
                  <w:tcBorders>
                    <w:tl2br w:val="nil"/>
                    <w:tr2bl w:val="nil"/>
                  </w:tcBorders>
                  <w:noWrap w:val="0"/>
                  <w:vAlign w:val="center"/>
                </w:tcPr>
                <w:p w14:paraId="225DE8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944" w:type="dxa"/>
                  <w:gridSpan w:val="2"/>
                  <w:tcBorders>
                    <w:tl2br w:val="nil"/>
                    <w:tr2bl w:val="nil"/>
                  </w:tcBorders>
                  <w:noWrap w:val="0"/>
                  <w:vAlign w:val="center"/>
                </w:tcPr>
                <w:p w14:paraId="30C3E5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r>
          </w:tbl>
          <w:p w14:paraId="2147CD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宋体" w:hAnsi="宋体" w:eastAsia="宋体" w:cs="宋体"/>
                <w:snapToGrid/>
                <w:color w:val="000000" w:themeColor="text1"/>
                <w:kern w:val="0"/>
                <w:sz w:val="24"/>
                <w:szCs w:val="24"/>
                <w:lang w:val="en-US" w:eastAsia="zh-CN" w:bidi="ar"/>
                <w14:textFill>
                  <w14:solidFill>
                    <w14:schemeClr w14:val="tx1"/>
                  </w14:solidFill>
                </w14:textFill>
              </w:rPr>
              <w:t>②无组织废气预测结果</w:t>
            </w:r>
          </w:p>
          <w:p w14:paraId="16CAE3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预测结果见表4-</w:t>
            </w:r>
            <w:r>
              <w:rPr>
                <w:rFonts w:hint="eastAsia" w:cs="Times New Roman"/>
                <w:snapToGrid/>
                <w:color w:val="000000" w:themeColor="text1"/>
                <w:kern w:val="0"/>
                <w:sz w:val="24"/>
                <w:szCs w:val="24"/>
                <w:lang w:val="en-US" w:eastAsia="zh-CN" w:bidi="ar"/>
                <w14:textFill>
                  <w14:solidFill>
                    <w14:schemeClr w14:val="tx1"/>
                  </w14:solidFill>
                </w14:textFill>
              </w:rPr>
              <w:t>9</w:t>
            </w:r>
            <w:r>
              <w:rPr>
                <w:rFonts w:hint="eastAsia" w:ascii="Times New Roman" w:hAnsi="Times New Roman" w:eastAsia="宋体" w:cs="Times New Roman"/>
                <w:snapToGrid/>
                <w:color w:val="000000" w:themeColor="text1"/>
                <w:kern w:val="0"/>
                <w:sz w:val="24"/>
                <w:szCs w:val="24"/>
                <w:lang w:val="en-US" w:eastAsia="zh-CN" w:bidi="ar"/>
                <w14:textFill>
                  <w14:solidFill>
                    <w14:schemeClr w14:val="tx1"/>
                  </w14:solidFill>
                </w14:textFill>
              </w:rPr>
              <w:t>。</w:t>
            </w:r>
          </w:p>
          <w:p w14:paraId="1EC06714">
            <w:pPr>
              <w:spacing w:line="223" w:lineRule="auto"/>
              <w:jc w:val="cente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表4-</w:t>
            </w:r>
            <w:r>
              <w:rPr>
                <w:rFonts w:hint="eastAsia" w:cs="Times New Roman"/>
                <w:b/>
                <w:bCs/>
                <w:color w:val="000000" w:themeColor="text1"/>
                <w:spacing w:val="4"/>
                <w:sz w:val="21"/>
                <w:szCs w:val="21"/>
                <w:lang w:val="en-US" w:eastAsia="zh-CN"/>
                <w14:textFill>
                  <w14:solidFill>
                    <w14:schemeClr w14:val="tx1"/>
                  </w14:solidFill>
                </w14:textFill>
              </w:rPr>
              <w:t>9</w:t>
            </w:r>
            <w:r>
              <w:rPr>
                <w:rFonts w:hint="eastAsia" w:ascii="Times New Roman" w:hAnsi="Times New Roman" w:eastAsia="宋体" w:cs="Times New Roman"/>
                <w:b/>
                <w:bCs/>
                <w:color w:val="000000" w:themeColor="text1"/>
                <w:spacing w:val="4"/>
                <w:sz w:val="21"/>
                <w:szCs w:val="21"/>
                <w:lang w:val="en-US" w:eastAsia="zh-CN"/>
                <w14:textFill>
                  <w14:solidFill>
                    <w14:schemeClr w14:val="tx1"/>
                  </w14:solidFill>
                </w14:textFill>
              </w:rPr>
              <w:t xml:space="preserve">   无组织废气</w:t>
            </w:r>
            <w:r>
              <w:rPr>
                <w:rFonts w:hint="default" w:ascii="Times New Roman" w:hAnsi="Times New Roman" w:eastAsia="宋体" w:cs="Times New Roman"/>
                <w:b/>
                <w:bCs/>
                <w:color w:val="000000" w:themeColor="text1"/>
                <w:spacing w:val="4"/>
                <w:sz w:val="21"/>
                <w:szCs w:val="21"/>
                <w14:textFill>
                  <w14:solidFill>
                    <w14:schemeClr w14:val="tx1"/>
                  </w14:solidFill>
                </w14:textFill>
              </w:rPr>
              <w:t>预测结果一览表</w:t>
            </w:r>
          </w:p>
          <w:tbl>
            <w:tblPr>
              <w:tblStyle w:val="29"/>
              <w:tblW w:w="1226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75"/>
              <w:gridCol w:w="1158"/>
              <w:gridCol w:w="1158"/>
              <w:gridCol w:w="1158"/>
              <w:gridCol w:w="1158"/>
              <w:gridCol w:w="1158"/>
              <w:gridCol w:w="1158"/>
              <w:gridCol w:w="1158"/>
              <w:gridCol w:w="1158"/>
              <w:gridCol w:w="1158"/>
              <w:gridCol w:w="1166"/>
            </w:tblGrid>
            <w:tr w14:paraId="6DC857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vMerge w:val="restart"/>
                  <w:tcBorders>
                    <w:tl2br w:val="nil"/>
                    <w:tr2bl w:val="nil"/>
                  </w:tcBorders>
                  <w:noWrap w:val="0"/>
                  <w:vAlign w:val="center"/>
                </w:tcPr>
                <w:p w14:paraId="6022EC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下风向距离（m）</w:t>
                  </w:r>
                </w:p>
              </w:tc>
              <w:tc>
                <w:tcPr>
                  <w:tcW w:w="2316" w:type="dxa"/>
                  <w:gridSpan w:val="2"/>
                  <w:tcBorders>
                    <w:tl2br w:val="nil"/>
                    <w:tr2bl w:val="nil"/>
                  </w:tcBorders>
                  <w:noWrap w:val="0"/>
                  <w:vAlign w:val="center"/>
                </w:tcPr>
                <w:p w14:paraId="0DEBFB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GM1</w:t>
                  </w:r>
                </w:p>
              </w:tc>
              <w:tc>
                <w:tcPr>
                  <w:tcW w:w="2316" w:type="dxa"/>
                  <w:gridSpan w:val="2"/>
                  <w:tcBorders>
                    <w:tl2br w:val="nil"/>
                    <w:tr2bl w:val="nil"/>
                  </w:tcBorders>
                  <w:noWrap w:val="0"/>
                  <w:vAlign w:val="center"/>
                </w:tcPr>
                <w:p w14:paraId="0544B8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GM2</w:t>
                  </w:r>
                </w:p>
              </w:tc>
              <w:tc>
                <w:tcPr>
                  <w:tcW w:w="2316" w:type="dxa"/>
                  <w:gridSpan w:val="2"/>
                  <w:tcBorders>
                    <w:tl2br w:val="nil"/>
                    <w:tr2bl w:val="nil"/>
                  </w:tcBorders>
                  <w:noWrap w:val="0"/>
                  <w:vAlign w:val="center"/>
                </w:tcPr>
                <w:p w14:paraId="20EE45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GM3</w:t>
                  </w:r>
                </w:p>
              </w:tc>
              <w:tc>
                <w:tcPr>
                  <w:tcW w:w="2316" w:type="dxa"/>
                  <w:gridSpan w:val="2"/>
                  <w:tcBorders>
                    <w:tl2br w:val="nil"/>
                    <w:tr2bl w:val="nil"/>
                  </w:tcBorders>
                  <w:noWrap w:val="0"/>
                  <w:vAlign w:val="center"/>
                </w:tcPr>
                <w:p w14:paraId="66A971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GM4</w:t>
                  </w:r>
                </w:p>
              </w:tc>
              <w:tc>
                <w:tcPr>
                  <w:tcW w:w="2324" w:type="dxa"/>
                  <w:gridSpan w:val="2"/>
                  <w:tcBorders>
                    <w:tl2br w:val="nil"/>
                    <w:tr2bl w:val="nil"/>
                  </w:tcBorders>
                  <w:noWrap w:val="0"/>
                  <w:vAlign w:val="center"/>
                </w:tcPr>
                <w:p w14:paraId="226575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GM5</w:t>
                  </w:r>
                </w:p>
              </w:tc>
            </w:tr>
            <w:tr w14:paraId="40A001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vMerge w:val="continue"/>
                  <w:tcBorders>
                    <w:tl2br w:val="nil"/>
                    <w:tr2bl w:val="nil"/>
                  </w:tcBorders>
                  <w:noWrap w:val="0"/>
                  <w:vAlign w:val="center"/>
                </w:tcPr>
                <w:p w14:paraId="4AAC33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2316" w:type="dxa"/>
                  <w:gridSpan w:val="2"/>
                  <w:tcBorders>
                    <w:tl2br w:val="nil"/>
                    <w:tr2bl w:val="nil"/>
                  </w:tcBorders>
                  <w:noWrap w:val="0"/>
                  <w:vAlign w:val="center"/>
                </w:tcPr>
                <w:p w14:paraId="76001B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颗粒物</w:t>
                  </w:r>
                </w:p>
              </w:tc>
              <w:tc>
                <w:tcPr>
                  <w:tcW w:w="2316" w:type="dxa"/>
                  <w:gridSpan w:val="2"/>
                  <w:tcBorders>
                    <w:tl2br w:val="nil"/>
                    <w:tr2bl w:val="nil"/>
                  </w:tcBorders>
                  <w:noWrap w:val="0"/>
                  <w:vAlign w:val="center"/>
                </w:tcPr>
                <w:p w14:paraId="2C8947F0">
                  <w:pPr>
                    <w:pStyle w:val="88"/>
                    <w:ind w:firstLine="0" w:firstLineChars="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颗粒物</w:t>
                  </w:r>
                </w:p>
              </w:tc>
              <w:tc>
                <w:tcPr>
                  <w:tcW w:w="2316" w:type="dxa"/>
                  <w:gridSpan w:val="2"/>
                  <w:tcBorders>
                    <w:tl2br w:val="nil"/>
                    <w:tr2bl w:val="nil"/>
                  </w:tcBorders>
                  <w:noWrap w:val="0"/>
                  <w:vAlign w:val="center"/>
                </w:tcPr>
                <w:p w14:paraId="7FB92849">
                  <w:pPr>
                    <w:pStyle w:val="88"/>
                    <w:ind w:firstLine="0" w:firstLineChars="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颗粒物</w:t>
                  </w:r>
                </w:p>
              </w:tc>
              <w:tc>
                <w:tcPr>
                  <w:tcW w:w="2316" w:type="dxa"/>
                  <w:gridSpan w:val="2"/>
                  <w:tcBorders>
                    <w:tl2br w:val="nil"/>
                    <w:tr2bl w:val="nil"/>
                  </w:tcBorders>
                  <w:noWrap w:val="0"/>
                  <w:vAlign w:val="center"/>
                </w:tcPr>
                <w:p w14:paraId="26052038">
                  <w:pPr>
                    <w:pStyle w:val="88"/>
                    <w:ind w:firstLine="0" w:firstLineChars="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颗粒物</w:t>
                  </w:r>
                </w:p>
              </w:tc>
              <w:tc>
                <w:tcPr>
                  <w:tcW w:w="2324" w:type="dxa"/>
                  <w:gridSpan w:val="2"/>
                  <w:tcBorders>
                    <w:tl2br w:val="nil"/>
                    <w:tr2bl w:val="nil"/>
                  </w:tcBorders>
                  <w:noWrap w:val="0"/>
                  <w:vAlign w:val="center"/>
                </w:tcPr>
                <w:p w14:paraId="2734F0BB">
                  <w:pPr>
                    <w:pStyle w:val="88"/>
                    <w:ind w:firstLine="0" w:firstLineChars="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NMHC</w:t>
                  </w:r>
                </w:p>
              </w:tc>
            </w:tr>
            <w:tr w14:paraId="5906CC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vMerge w:val="continue"/>
                  <w:tcBorders>
                    <w:tl2br w:val="nil"/>
                    <w:tr2bl w:val="nil"/>
                  </w:tcBorders>
                  <w:noWrap w:val="0"/>
                  <w:vAlign w:val="center"/>
                </w:tcPr>
                <w:p w14:paraId="77C610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1158" w:type="dxa"/>
                  <w:tcBorders>
                    <w:tl2br w:val="nil"/>
                    <w:tr2bl w:val="nil"/>
                  </w:tcBorders>
                  <w:noWrap w:val="0"/>
                  <w:vAlign w:val="center"/>
                </w:tcPr>
                <w:p w14:paraId="294B5D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2A4E67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c>
                <w:tcPr>
                  <w:tcW w:w="1158" w:type="dxa"/>
                  <w:tcBorders>
                    <w:tl2br w:val="nil"/>
                    <w:tr2bl w:val="nil"/>
                  </w:tcBorders>
                  <w:noWrap w:val="0"/>
                  <w:vAlign w:val="center"/>
                </w:tcPr>
                <w:p w14:paraId="236339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0C2091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c>
                <w:tcPr>
                  <w:tcW w:w="1158" w:type="dxa"/>
                  <w:tcBorders>
                    <w:tl2br w:val="nil"/>
                    <w:tr2bl w:val="nil"/>
                  </w:tcBorders>
                  <w:noWrap w:val="0"/>
                  <w:vAlign w:val="center"/>
                </w:tcPr>
                <w:p w14:paraId="4601CC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5D4D11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c>
                <w:tcPr>
                  <w:tcW w:w="1158" w:type="dxa"/>
                  <w:tcBorders>
                    <w:tl2br w:val="nil"/>
                    <w:tr2bl w:val="nil"/>
                  </w:tcBorders>
                  <w:noWrap w:val="0"/>
                  <w:vAlign w:val="center"/>
                </w:tcPr>
                <w:p w14:paraId="00BA7F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029BD4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c>
                <w:tcPr>
                  <w:tcW w:w="1158" w:type="dxa"/>
                  <w:tcBorders>
                    <w:tl2br w:val="nil"/>
                    <w:tr2bl w:val="nil"/>
                  </w:tcBorders>
                  <w:noWrap w:val="0"/>
                  <w:vAlign w:val="center"/>
                </w:tcPr>
                <w:p w14:paraId="4B1ADC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浓度（mg/m</w:t>
                  </w:r>
                  <w:r>
                    <w:rPr>
                      <w:rFonts w:hint="default" w:ascii="Times New Roman" w:hAnsi="Times New Roman" w:eastAsia="宋体"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1166" w:type="dxa"/>
                  <w:tcBorders>
                    <w:tl2br w:val="nil"/>
                    <w:tr2bl w:val="nil"/>
                  </w:tcBorders>
                  <w:noWrap w:val="0"/>
                  <w:vAlign w:val="center"/>
                </w:tcPr>
                <w:p w14:paraId="24BAF3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占标率（%）</w:t>
                  </w:r>
                </w:p>
              </w:tc>
            </w:tr>
            <w:tr w14:paraId="277283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0C2A732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158" w:type="dxa"/>
                  <w:tcBorders>
                    <w:tl2br w:val="nil"/>
                    <w:tr2bl w:val="nil"/>
                  </w:tcBorders>
                  <w:noWrap w:val="0"/>
                  <w:vAlign w:val="center"/>
                </w:tcPr>
                <w:p w14:paraId="6C94C25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3.74E-02</w:t>
                  </w:r>
                </w:p>
              </w:tc>
              <w:tc>
                <w:tcPr>
                  <w:tcW w:w="1158" w:type="dxa"/>
                  <w:tcBorders>
                    <w:tl2br w:val="nil"/>
                    <w:tr2bl w:val="nil"/>
                  </w:tcBorders>
                  <w:noWrap w:val="0"/>
                  <w:vAlign w:val="center"/>
                </w:tcPr>
                <w:p w14:paraId="40FF78E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4.15</w:t>
                  </w:r>
                </w:p>
              </w:tc>
              <w:tc>
                <w:tcPr>
                  <w:tcW w:w="1158" w:type="dxa"/>
                  <w:tcBorders>
                    <w:tl2br w:val="nil"/>
                    <w:tr2bl w:val="nil"/>
                  </w:tcBorders>
                  <w:noWrap w:val="0"/>
                  <w:vAlign w:val="center"/>
                </w:tcPr>
                <w:p w14:paraId="2100FF0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3.45E-02</w:t>
                  </w:r>
                </w:p>
              </w:tc>
              <w:tc>
                <w:tcPr>
                  <w:tcW w:w="1158" w:type="dxa"/>
                  <w:tcBorders>
                    <w:tl2br w:val="nil"/>
                    <w:tr2bl w:val="nil"/>
                  </w:tcBorders>
                  <w:noWrap w:val="0"/>
                  <w:vAlign w:val="center"/>
                </w:tcPr>
                <w:p w14:paraId="3529A67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3.83</w:t>
                  </w:r>
                </w:p>
              </w:tc>
              <w:tc>
                <w:tcPr>
                  <w:tcW w:w="1158" w:type="dxa"/>
                  <w:tcBorders>
                    <w:tl2br w:val="nil"/>
                    <w:tr2bl w:val="nil"/>
                  </w:tcBorders>
                  <w:noWrap w:val="0"/>
                  <w:vAlign w:val="center"/>
                </w:tcPr>
                <w:p w14:paraId="608FD6F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5.44E-02</w:t>
                  </w:r>
                </w:p>
              </w:tc>
              <w:tc>
                <w:tcPr>
                  <w:tcW w:w="1158" w:type="dxa"/>
                  <w:tcBorders>
                    <w:tl2br w:val="nil"/>
                    <w:tr2bl w:val="nil"/>
                  </w:tcBorders>
                  <w:noWrap w:val="0"/>
                  <w:vAlign w:val="center"/>
                </w:tcPr>
                <w:p w14:paraId="4089C3F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6.04</w:t>
                  </w:r>
                </w:p>
              </w:tc>
              <w:tc>
                <w:tcPr>
                  <w:tcW w:w="1158" w:type="dxa"/>
                  <w:tcBorders>
                    <w:tl2br w:val="nil"/>
                    <w:tr2bl w:val="nil"/>
                  </w:tcBorders>
                  <w:noWrap w:val="0"/>
                  <w:vAlign w:val="center"/>
                </w:tcPr>
                <w:p w14:paraId="316CC17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3.04E-02</w:t>
                  </w:r>
                </w:p>
              </w:tc>
              <w:tc>
                <w:tcPr>
                  <w:tcW w:w="1158" w:type="dxa"/>
                  <w:tcBorders>
                    <w:tl2br w:val="nil"/>
                    <w:tr2bl w:val="nil"/>
                  </w:tcBorders>
                  <w:noWrap w:val="0"/>
                  <w:vAlign w:val="center"/>
                </w:tcPr>
                <w:p w14:paraId="671CBC5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3.38</w:t>
                  </w:r>
                </w:p>
              </w:tc>
              <w:tc>
                <w:tcPr>
                  <w:tcW w:w="1158" w:type="dxa"/>
                  <w:tcBorders>
                    <w:tl2br w:val="nil"/>
                    <w:tr2bl w:val="nil"/>
                  </w:tcBorders>
                  <w:noWrap w:val="0"/>
                  <w:vAlign w:val="center"/>
                </w:tcPr>
                <w:p w14:paraId="58CB2B0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5.06E-02</w:t>
                  </w:r>
                </w:p>
              </w:tc>
              <w:tc>
                <w:tcPr>
                  <w:tcW w:w="1166" w:type="dxa"/>
                  <w:tcBorders>
                    <w:tl2br w:val="nil"/>
                    <w:tr2bl w:val="nil"/>
                  </w:tcBorders>
                  <w:noWrap w:val="0"/>
                  <w:vAlign w:val="center"/>
                </w:tcPr>
                <w:p w14:paraId="5A5514D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4.21</w:t>
                  </w:r>
                </w:p>
              </w:tc>
            </w:tr>
            <w:tr w14:paraId="51651D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48225E3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w:t>
                  </w:r>
                </w:p>
              </w:tc>
              <w:tc>
                <w:tcPr>
                  <w:tcW w:w="1158" w:type="dxa"/>
                  <w:tcBorders>
                    <w:tl2br w:val="nil"/>
                    <w:tr2bl w:val="nil"/>
                  </w:tcBorders>
                  <w:noWrap w:val="0"/>
                  <w:vAlign w:val="center"/>
                </w:tcPr>
                <w:p w14:paraId="64CA23E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4.36E-02</w:t>
                  </w:r>
                </w:p>
              </w:tc>
              <w:tc>
                <w:tcPr>
                  <w:tcW w:w="1158" w:type="dxa"/>
                  <w:tcBorders>
                    <w:tl2br w:val="nil"/>
                    <w:tr2bl w:val="nil"/>
                  </w:tcBorders>
                  <w:noWrap w:val="0"/>
                  <w:vAlign w:val="center"/>
                </w:tcPr>
                <w:p w14:paraId="2704D6F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4.85</w:t>
                  </w:r>
                </w:p>
              </w:tc>
              <w:tc>
                <w:tcPr>
                  <w:tcW w:w="1158" w:type="dxa"/>
                  <w:tcBorders>
                    <w:tl2br w:val="nil"/>
                    <w:tr2bl w:val="nil"/>
                  </w:tcBorders>
                  <w:noWrap w:val="0"/>
                  <w:vAlign w:val="center"/>
                </w:tcPr>
                <w:p w14:paraId="0A5A572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3.87E-02</w:t>
                  </w:r>
                </w:p>
              </w:tc>
              <w:tc>
                <w:tcPr>
                  <w:tcW w:w="1158" w:type="dxa"/>
                  <w:tcBorders>
                    <w:tl2br w:val="nil"/>
                    <w:tr2bl w:val="nil"/>
                  </w:tcBorders>
                  <w:noWrap w:val="0"/>
                  <w:vAlign w:val="center"/>
                </w:tcPr>
                <w:p w14:paraId="69EC115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w:t>
                  </w:r>
                </w:p>
              </w:tc>
              <w:tc>
                <w:tcPr>
                  <w:tcW w:w="1158" w:type="dxa"/>
                  <w:tcBorders>
                    <w:tl2br w:val="nil"/>
                    <w:tr2bl w:val="nil"/>
                  </w:tcBorders>
                  <w:noWrap w:val="0"/>
                  <w:vAlign w:val="center"/>
                </w:tcPr>
                <w:p w14:paraId="3F90CDB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7.29E-02</w:t>
                  </w:r>
                </w:p>
              </w:tc>
              <w:tc>
                <w:tcPr>
                  <w:tcW w:w="1158" w:type="dxa"/>
                  <w:tcBorders>
                    <w:tl2br w:val="nil"/>
                    <w:tr2bl w:val="nil"/>
                  </w:tcBorders>
                  <w:noWrap w:val="0"/>
                  <w:vAlign w:val="center"/>
                </w:tcPr>
                <w:p w14:paraId="6403DC0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w:t>
                  </w:r>
                </w:p>
              </w:tc>
              <w:tc>
                <w:tcPr>
                  <w:tcW w:w="1158" w:type="dxa"/>
                  <w:tcBorders>
                    <w:tl2br w:val="nil"/>
                    <w:tr2bl w:val="nil"/>
                  </w:tcBorders>
                  <w:noWrap w:val="0"/>
                  <w:vAlign w:val="center"/>
                </w:tcPr>
                <w:p w14:paraId="54F3B8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2.23E-02</w:t>
                  </w:r>
                </w:p>
              </w:tc>
              <w:tc>
                <w:tcPr>
                  <w:tcW w:w="1158" w:type="dxa"/>
                  <w:tcBorders>
                    <w:tl2br w:val="nil"/>
                    <w:tr2bl w:val="nil"/>
                  </w:tcBorders>
                  <w:noWrap w:val="0"/>
                  <w:vAlign w:val="center"/>
                </w:tcPr>
                <w:p w14:paraId="59C0B0B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2.48</w:t>
                  </w:r>
                </w:p>
              </w:tc>
              <w:tc>
                <w:tcPr>
                  <w:tcW w:w="1158" w:type="dxa"/>
                  <w:tcBorders>
                    <w:tl2br w:val="nil"/>
                    <w:tr2bl w:val="nil"/>
                  </w:tcBorders>
                  <w:noWrap w:val="0"/>
                  <w:vAlign w:val="center"/>
                </w:tcPr>
                <w:p w14:paraId="1BD02C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6.45E-02</w:t>
                  </w:r>
                </w:p>
              </w:tc>
              <w:tc>
                <w:tcPr>
                  <w:tcW w:w="1166" w:type="dxa"/>
                  <w:tcBorders>
                    <w:tl2br w:val="nil"/>
                    <w:tr2bl w:val="nil"/>
                  </w:tcBorders>
                  <w:noWrap w:val="0"/>
                  <w:vAlign w:val="center"/>
                </w:tcPr>
                <w:p w14:paraId="4A05312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5.38</w:t>
                  </w:r>
                </w:p>
              </w:tc>
            </w:tr>
            <w:tr w14:paraId="6D01FD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04CDA71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1158" w:type="dxa"/>
                  <w:tcBorders>
                    <w:tl2br w:val="nil"/>
                    <w:tr2bl w:val="nil"/>
                  </w:tcBorders>
                  <w:noWrap w:val="0"/>
                  <w:vAlign w:val="center"/>
                </w:tcPr>
                <w:p w14:paraId="61B1E8F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0F56F27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246EBBB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4.50E-02</w:t>
                  </w:r>
                </w:p>
              </w:tc>
              <w:tc>
                <w:tcPr>
                  <w:tcW w:w="1158" w:type="dxa"/>
                  <w:tcBorders>
                    <w:tl2br w:val="nil"/>
                    <w:tr2bl w:val="nil"/>
                  </w:tcBorders>
                  <w:noWrap w:val="0"/>
                  <w:vAlign w:val="center"/>
                </w:tcPr>
                <w:p w14:paraId="350114B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1158" w:type="dxa"/>
                  <w:tcBorders>
                    <w:tl2br w:val="nil"/>
                    <w:tr2bl w:val="nil"/>
                  </w:tcBorders>
                  <w:noWrap w:val="0"/>
                  <w:vAlign w:val="center"/>
                </w:tcPr>
                <w:p w14:paraId="39ACA06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4092B67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0079F4B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54090A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6D723A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66" w:type="dxa"/>
                  <w:tcBorders>
                    <w:tl2br w:val="nil"/>
                    <w:tr2bl w:val="nil"/>
                  </w:tcBorders>
                  <w:noWrap w:val="0"/>
                  <w:vAlign w:val="center"/>
                </w:tcPr>
                <w:p w14:paraId="1C9546E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r>
            <w:tr w14:paraId="43E2F2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0C71A7E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w:t>
                  </w:r>
                </w:p>
              </w:tc>
              <w:tc>
                <w:tcPr>
                  <w:tcW w:w="1158" w:type="dxa"/>
                  <w:tcBorders>
                    <w:tl2br w:val="nil"/>
                    <w:tr2bl w:val="nil"/>
                  </w:tcBorders>
                  <w:noWrap w:val="0"/>
                  <w:vAlign w:val="center"/>
                </w:tcPr>
                <w:p w14:paraId="2E72F98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5.40E-02</w:t>
                  </w:r>
                </w:p>
              </w:tc>
              <w:tc>
                <w:tcPr>
                  <w:tcW w:w="1158" w:type="dxa"/>
                  <w:tcBorders>
                    <w:tl2br w:val="nil"/>
                    <w:tr2bl w:val="nil"/>
                  </w:tcBorders>
                  <w:noWrap w:val="0"/>
                  <w:vAlign w:val="center"/>
                </w:tcPr>
                <w:p w14:paraId="170DC51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1158" w:type="dxa"/>
                  <w:tcBorders>
                    <w:tl2br w:val="nil"/>
                    <w:tr2bl w:val="nil"/>
                  </w:tcBorders>
                  <w:noWrap w:val="0"/>
                  <w:vAlign w:val="center"/>
                </w:tcPr>
                <w:p w14:paraId="1D6CD78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301159B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6AB587D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0CBABCB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4517C5A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5E63AC5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1C545E0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66" w:type="dxa"/>
                  <w:tcBorders>
                    <w:tl2br w:val="nil"/>
                    <w:tr2bl w:val="nil"/>
                  </w:tcBorders>
                  <w:noWrap w:val="0"/>
                  <w:vAlign w:val="center"/>
                </w:tcPr>
                <w:p w14:paraId="6A071B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r>
            <w:tr w14:paraId="186953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3D04F31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p>
              </w:tc>
              <w:tc>
                <w:tcPr>
                  <w:tcW w:w="1158" w:type="dxa"/>
                  <w:tcBorders>
                    <w:tl2br w:val="nil"/>
                    <w:tr2bl w:val="nil"/>
                  </w:tcBorders>
                  <w:noWrap w:val="0"/>
                  <w:vAlign w:val="center"/>
                </w:tcPr>
                <w:p w14:paraId="3A12204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5.37E-02</w:t>
                  </w:r>
                </w:p>
              </w:tc>
              <w:tc>
                <w:tcPr>
                  <w:tcW w:w="1158" w:type="dxa"/>
                  <w:tcBorders>
                    <w:tl2br w:val="nil"/>
                    <w:tr2bl w:val="nil"/>
                  </w:tcBorders>
                  <w:noWrap w:val="0"/>
                  <w:vAlign w:val="center"/>
                </w:tcPr>
                <w:p w14:paraId="3C546B0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5.97</w:t>
                  </w:r>
                </w:p>
              </w:tc>
              <w:tc>
                <w:tcPr>
                  <w:tcW w:w="1158" w:type="dxa"/>
                  <w:tcBorders>
                    <w:tl2br w:val="nil"/>
                    <w:tr2bl w:val="nil"/>
                  </w:tcBorders>
                  <w:noWrap w:val="0"/>
                  <w:vAlign w:val="center"/>
                </w:tcPr>
                <w:p w14:paraId="495EEFC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4.21E-02</w:t>
                  </w:r>
                </w:p>
              </w:tc>
              <w:tc>
                <w:tcPr>
                  <w:tcW w:w="1158" w:type="dxa"/>
                  <w:tcBorders>
                    <w:tl2br w:val="nil"/>
                    <w:tr2bl w:val="nil"/>
                  </w:tcBorders>
                  <w:noWrap w:val="0"/>
                  <w:vAlign w:val="center"/>
                </w:tcPr>
                <w:p w14:paraId="13CAF9C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4.68</w:t>
                  </w:r>
                </w:p>
              </w:tc>
              <w:tc>
                <w:tcPr>
                  <w:tcW w:w="1158" w:type="dxa"/>
                  <w:tcBorders>
                    <w:tl2br w:val="nil"/>
                    <w:tr2bl w:val="nil"/>
                  </w:tcBorders>
                  <w:noWrap w:val="0"/>
                  <w:vAlign w:val="center"/>
                </w:tcPr>
                <w:p w14:paraId="61A0715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5.91E-02</w:t>
                  </w:r>
                </w:p>
              </w:tc>
              <w:tc>
                <w:tcPr>
                  <w:tcW w:w="1158" w:type="dxa"/>
                  <w:tcBorders>
                    <w:tl2br w:val="nil"/>
                    <w:tr2bl w:val="nil"/>
                  </w:tcBorders>
                  <w:noWrap w:val="0"/>
                  <w:vAlign w:val="center"/>
                </w:tcPr>
                <w:p w14:paraId="67A690A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6.57</w:t>
                  </w:r>
                </w:p>
              </w:tc>
              <w:tc>
                <w:tcPr>
                  <w:tcW w:w="1158" w:type="dxa"/>
                  <w:tcBorders>
                    <w:tl2br w:val="nil"/>
                    <w:tr2bl w:val="nil"/>
                  </w:tcBorders>
                  <w:noWrap w:val="0"/>
                  <w:vAlign w:val="center"/>
                </w:tcPr>
                <w:p w14:paraId="0C4D80D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1.49E-02</w:t>
                  </w:r>
                </w:p>
              </w:tc>
              <w:tc>
                <w:tcPr>
                  <w:tcW w:w="1158" w:type="dxa"/>
                  <w:tcBorders>
                    <w:tl2br w:val="nil"/>
                    <w:tr2bl w:val="nil"/>
                  </w:tcBorders>
                  <w:noWrap w:val="0"/>
                  <w:vAlign w:val="center"/>
                </w:tcPr>
                <w:p w14:paraId="18F9E03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1.65</w:t>
                  </w:r>
                </w:p>
              </w:tc>
              <w:tc>
                <w:tcPr>
                  <w:tcW w:w="1158" w:type="dxa"/>
                  <w:tcBorders>
                    <w:tl2br w:val="nil"/>
                    <w:tr2bl w:val="nil"/>
                  </w:tcBorders>
                  <w:noWrap w:val="0"/>
                  <w:vAlign w:val="center"/>
                </w:tcPr>
                <w:p w14:paraId="6DAD1F1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7.69E-02</w:t>
                  </w:r>
                </w:p>
              </w:tc>
              <w:tc>
                <w:tcPr>
                  <w:tcW w:w="1166" w:type="dxa"/>
                  <w:tcBorders>
                    <w:tl2br w:val="nil"/>
                    <w:tr2bl w:val="nil"/>
                  </w:tcBorders>
                  <w:noWrap w:val="0"/>
                  <w:vAlign w:val="center"/>
                </w:tcPr>
                <w:p w14:paraId="43B5EB6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6.41</w:t>
                  </w:r>
                </w:p>
              </w:tc>
            </w:tr>
            <w:tr w14:paraId="4DB707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425146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w:t>
                  </w:r>
                </w:p>
              </w:tc>
              <w:tc>
                <w:tcPr>
                  <w:tcW w:w="1158" w:type="dxa"/>
                  <w:tcBorders>
                    <w:tl2br w:val="nil"/>
                    <w:tr2bl w:val="nil"/>
                  </w:tcBorders>
                  <w:noWrap w:val="0"/>
                  <w:vAlign w:val="center"/>
                </w:tcPr>
                <w:p w14:paraId="71196D7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03B205C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6F78D86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3628514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1158" w:type="dxa"/>
                  <w:tcBorders>
                    <w:tl2br w:val="nil"/>
                    <w:tr2bl w:val="nil"/>
                  </w:tcBorders>
                  <w:noWrap w:val="0"/>
                  <w:vAlign w:val="center"/>
                </w:tcPr>
                <w:p w14:paraId="40F1B01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4.39E-02</w:t>
                  </w:r>
                </w:p>
              </w:tc>
              <w:tc>
                <w:tcPr>
                  <w:tcW w:w="1158" w:type="dxa"/>
                  <w:tcBorders>
                    <w:tl2br w:val="nil"/>
                    <w:tr2bl w:val="nil"/>
                  </w:tcBorders>
                  <w:noWrap w:val="0"/>
                  <w:vAlign w:val="center"/>
                </w:tcPr>
                <w:p w14:paraId="2159463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4.88</w:t>
                  </w:r>
                </w:p>
              </w:tc>
              <w:tc>
                <w:tcPr>
                  <w:tcW w:w="1158" w:type="dxa"/>
                  <w:tcBorders>
                    <w:tl2br w:val="nil"/>
                    <w:tr2bl w:val="nil"/>
                  </w:tcBorders>
                  <w:noWrap w:val="0"/>
                  <w:vAlign w:val="center"/>
                </w:tcPr>
                <w:p w14:paraId="1899FF1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1.04E-02</w:t>
                  </w:r>
                </w:p>
              </w:tc>
              <w:tc>
                <w:tcPr>
                  <w:tcW w:w="1158" w:type="dxa"/>
                  <w:tcBorders>
                    <w:tl2br w:val="nil"/>
                    <w:tr2bl w:val="nil"/>
                  </w:tcBorders>
                  <w:noWrap w:val="0"/>
                  <w:vAlign w:val="center"/>
                </w:tcPr>
                <w:p w14:paraId="6D22F99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w:t>
                  </w:r>
                </w:p>
              </w:tc>
              <w:tc>
                <w:tcPr>
                  <w:tcW w:w="1158" w:type="dxa"/>
                  <w:tcBorders>
                    <w:tl2br w:val="nil"/>
                    <w:tr2bl w:val="nil"/>
                  </w:tcBorders>
                  <w:noWrap w:val="0"/>
                  <w:vAlign w:val="center"/>
                </w:tcPr>
                <w:p w14:paraId="7293E0D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7.73E-02</w:t>
                  </w:r>
                </w:p>
              </w:tc>
              <w:tc>
                <w:tcPr>
                  <w:tcW w:w="1166" w:type="dxa"/>
                  <w:tcBorders>
                    <w:tl2br w:val="nil"/>
                    <w:tr2bl w:val="nil"/>
                  </w:tcBorders>
                  <w:noWrap w:val="0"/>
                  <w:vAlign w:val="center"/>
                </w:tcPr>
                <w:p w14:paraId="2C4E443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6.44</w:t>
                  </w:r>
                </w:p>
              </w:tc>
            </w:tr>
            <w:tr w14:paraId="3D08FF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556DC57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w:t>
                  </w:r>
                </w:p>
              </w:tc>
              <w:tc>
                <w:tcPr>
                  <w:tcW w:w="1158" w:type="dxa"/>
                  <w:tcBorders>
                    <w:tl2br w:val="nil"/>
                    <w:tr2bl w:val="nil"/>
                  </w:tcBorders>
                  <w:noWrap w:val="0"/>
                  <w:vAlign w:val="center"/>
                </w:tcPr>
                <w:p w14:paraId="4311CAF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4.78E-02</w:t>
                  </w:r>
                </w:p>
              </w:tc>
              <w:tc>
                <w:tcPr>
                  <w:tcW w:w="1158" w:type="dxa"/>
                  <w:tcBorders>
                    <w:tl2br w:val="nil"/>
                    <w:tr2bl w:val="nil"/>
                  </w:tcBorders>
                  <w:noWrap w:val="0"/>
                  <w:vAlign w:val="center"/>
                </w:tcPr>
                <w:p w14:paraId="3E8D48F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5.31</w:t>
                  </w:r>
                </w:p>
              </w:tc>
              <w:tc>
                <w:tcPr>
                  <w:tcW w:w="1158" w:type="dxa"/>
                  <w:tcBorders>
                    <w:tl2br w:val="nil"/>
                    <w:tr2bl w:val="nil"/>
                  </w:tcBorders>
                  <w:noWrap w:val="0"/>
                  <w:vAlign w:val="center"/>
                </w:tcPr>
                <w:p w14:paraId="082427F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3.34E-02</w:t>
                  </w:r>
                </w:p>
              </w:tc>
              <w:tc>
                <w:tcPr>
                  <w:tcW w:w="1158" w:type="dxa"/>
                  <w:tcBorders>
                    <w:tl2br w:val="nil"/>
                    <w:tr2bl w:val="nil"/>
                  </w:tcBorders>
                  <w:noWrap w:val="0"/>
                  <w:vAlign w:val="center"/>
                </w:tcPr>
                <w:p w14:paraId="7EAB881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3.72</w:t>
                  </w:r>
                </w:p>
              </w:tc>
              <w:tc>
                <w:tcPr>
                  <w:tcW w:w="1158" w:type="dxa"/>
                  <w:tcBorders>
                    <w:tl2br w:val="nil"/>
                    <w:tr2bl w:val="nil"/>
                  </w:tcBorders>
                  <w:noWrap w:val="0"/>
                  <w:vAlign w:val="center"/>
                </w:tcPr>
                <w:p w14:paraId="4407B4F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3.17E-02</w:t>
                  </w:r>
                </w:p>
              </w:tc>
              <w:tc>
                <w:tcPr>
                  <w:tcW w:w="1158" w:type="dxa"/>
                  <w:tcBorders>
                    <w:tl2br w:val="nil"/>
                    <w:tr2bl w:val="nil"/>
                  </w:tcBorders>
                  <w:noWrap w:val="0"/>
                  <w:vAlign w:val="center"/>
                </w:tcPr>
                <w:p w14:paraId="1D78E7E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3.52</w:t>
                  </w:r>
                </w:p>
              </w:tc>
              <w:tc>
                <w:tcPr>
                  <w:tcW w:w="1158" w:type="dxa"/>
                  <w:tcBorders>
                    <w:tl2br w:val="nil"/>
                    <w:tr2bl w:val="nil"/>
                  </w:tcBorders>
                  <w:noWrap w:val="0"/>
                  <w:vAlign w:val="center"/>
                </w:tcPr>
                <w:p w14:paraId="2A65FC7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7.40E-03</w:t>
                  </w:r>
                </w:p>
              </w:tc>
              <w:tc>
                <w:tcPr>
                  <w:tcW w:w="1158" w:type="dxa"/>
                  <w:tcBorders>
                    <w:tl2br w:val="nil"/>
                    <w:tr2bl w:val="nil"/>
                  </w:tcBorders>
                  <w:noWrap w:val="0"/>
                  <w:vAlign w:val="center"/>
                </w:tcPr>
                <w:p w14:paraId="1C6987F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0.82</w:t>
                  </w:r>
                </w:p>
              </w:tc>
              <w:tc>
                <w:tcPr>
                  <w:tcW w:w="1158" w:type="dxa"/>
                  <w:tcBorders>
                    <w:tl2br w:val="nil"/>
                    <w:tr2bl w:val="nil"/>
                  </w:tcBorders>
                  <w:noWrap w:val="0"/>
                  <w:vAlign w:val="center"/>
                </w:tcPr>
                <w:p w14:paraId="5899C4B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7.07E-02</w:t>
                  </w:r>
                </w:p>
              </w:tc>
              <w:tc>
                <w:tcPr>
                  <w:tcW w:w="1166" w:type="dxa"/>
                  <w:tcBorders>
                    <w:tl2br w:val="nil"/>
                    <w:tr2bl w:val="nil"/>
                  </w:tcBorders>
                  <w:noWrap w:val="0"/>
                  <w:vAlign w:val="center"/>
                </w:tcPr>
                <w:p w14:paraId="3152AD7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5.89</w:t>
                  </w:r>
                </w:p>
              </w:tc>
            </w:tr>
            <w:tr w14:paraId="0AF79E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3D20D7F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w:t>
                  </w:r>
                </w:p>
              </w:tc>
              <w:tc>
                <w:tcPr>
                  <w:tcW w:w="1158" w:type="dxa"/>
                  <w:tcBorders>
                    <w:tl2br w:val="nil"/>
                    <w:tr2bl w:val="nil"/>
                  </w:tcBorders>
                  <w:noWrap w:val="0"/>
                  <w:vAlign w:val="center"/>
                </w:tcPr>
                <w:p w14:paraId="6A7C1B3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3.88E-02</w:t>
                  </w:r>
                </w:p>
              </w:tc>
              <w:tc>
                <w:tcPr>
                  <w:tcW w:w="1158" w:type="dxa"/>
                  <w:tcBorders>
                    <w:tl2br w:val="nil"/>
                    <w:tr2bl w:val="nil"/>
                  </w:tcBorders>
                  <w:noWrap w:val="0"/>
                  <w:vAlign w:val="center"/>
                </w:tcPr>
                <w:p w14:paraId="1BCC459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4.31</w:t>
                  </w:r>
                </w:p>
              </w:tc>
              <w:tc>
                <w:tcPr>
                  <w:tcW w:w="1158" w:type="dxa"/>
                  <w:tcBorders>
                    <w:tl2br w:val="nil"/>
                    <w:tr2bl w:val="nil"/>
                  </w:tcBorders>
                  <w:noWrap w:val="0"/>
                  <w:vAlign w:val="center"/>
                </w:tcPr>
                <w:p w14:paraId="51A9CB8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2.58E-02</w:t>
                  </w:r>
                </w:p>
              </w:tc>
              <w:tc>
                <w:tcPr>
                  <w:tcW w:w="1158" w:type="dxa"/>
                  <w:tcBorders>
                    <w:tl2br w:val="nil"/>
                    <w:tr2bl w:val="nil"/>
                  </w:tcBorders>
                  <w:noWrap w:val="0"/>
                  <w:vAlign w:val="center"/>
                </w:tcPr>
                <w:p w14:paraId="1C3FD0A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2.86</w:t>
                  </w:r>
                </w:p>
              </w:tc>
              <w:tc>
                <w:tcPr>
                  <w:tcW w:w="1158" w:type="dxa"/>
                  <w:tcBorders>
                    <w:tl2br w:val="nil"/>
                    <w:tr2bl w:val="nil"/>
                  </w:tcBorders>
                  <w:noWrap w:val="0"/>
                  <w:vAlign w:val="center"/>
                </w:tcPr>
                <w:p w14:paraId="65EC698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2.42E-02</w:t>
                  </w:r>
                </w:p>
              </w:tc>
              <w:tc>
                <w:tcPr>
                  <w:tcW w:w="1158" w:type="dxa"/>
                  <w:tcBorders>
                    <w:tl2br w:val="nil"/>
                    <w:tr2bl w:val="nil"/>
                  </w:tcBorders>
                  <w:noWrap w:val="0"/>
                  <w:vAlign w:val="center"/>
                </w:tcPr>
                <w:p w14:paraId="5C44665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2.69</w:t>
                  </w:r>
                </w:p>
              </w:tc>
              <w:tc>
                <w:tcPr>
                  <w:tcW w:w="1158" w:type="dxa"/>
                  <w:tcBorders>
                    <w:tl2br w:val="nil"/>
                    <w:tr2bl w:val="nil"/>
                  </w:tcBorders>
                  <w:noWrap w:val="0"/>
                  <w:vAlign w:val="center"/>
                </w:tcPr>
                <w:p w14:paraId="554EE20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5.66E-03</w:t>
                  </w:r>
                </w:p>
              </w:tc>
              <w:tc>
                <w:tcPr>
                  <w:tcW w:w="1158" w:type="dxa"/>
                  <w:tcBorders>
                    <w:tl2br w:val="nil"/>
                    <w:tr2bl w:val="nil"/>
                  </w:tcBorders>
                  <w:noWrap w:val="0"/>
                  <w:vAlign w:val="center"/>
                </w:tcPr>
                <w:p w14:paraId="6ADD3C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0.63</w:t>
                  </w:r>
                </w:p>
              </w:tc>
              <w:tc>
                <w:tcPr>
                  <w:tcW w:w="1158" w:type="dxa"/>
                  <w:tcBorders>
                    <w:tl2br w:val="nil"/>
                    <w:tr2bl w:val="nil"/>
                  </w:tcBorders>
                  <w:noWrap w:val="0"/>
                  <w:vAlign w:val="center"/>
                </w:tcPr>
                <w:p w14:paraId="433A43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5.49E-02</w:t>
                  </w:r>
                </w:p>
              </w:tc>
              <w:tc>
                <w:tcPr>
                  <w:tcW w:w="1166" w:type="dxa"/>
                  <w:tcBorders>
                    <w:tl2br w:val="nil"/>
                    <w:tr2bl w:val="nil"/>
                  </w:tcBorders>
                  <w:noWrap w:val="0"/>
                  <w:vAlign w:val="center"/>
                </w:tcPr>
                <w:p w14:paraId="3E35804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4.58</w:t>
                  </w:r>
                </w:p>
              </w:tc>
            </w:tr>
            <w:tr w14:paraId="2DCAC8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7D3DA50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w:t>
                  </w:r>
                </w:p>
              </w:tc>
              <w:tc>
                <w:tcPr>
                  <w:tcW w:w="1158" w:type="dxa"/>
                  <w:tcBorders>
                    <w:tl2br w:val="nil"/>
                    <w:tr2bl w:val="nil"/>
                  </w:tcBorders>
                  <w:noWrap w:val="0"/>
                  <w:vAlign w:val="center"/>
                </w:tcPr>
                <w:p w14:paraId="6F0D91E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3.18E-02</w:t>
                  </w:r>
                </w:p>
              </w:tc>
              <w:tc>
                <w:tcPr>
                  <w:tcW w:w="1158" w:type="dxa"/>
                  <w:tcBorders>
                    <w:tl2br w:val="nil"/>
                    <w:tr2bl w:val="nil"/>
                  </w:tcBorders>
                  <w:noWrap w:val="0"/>
                  <w:vAlign w:val="center"/>
                </w:tcPr>
                <w:p w14:paraId="6B9ACBA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3.53</w:t>
                  </w:r>
                </w:p>
              </w:tc>
              <w:tc>
                <w:tcPr>
                  <w:tcW w:w="1158" w:type="dxa"/>
                  <w:tcBorders>
                    <w:tl2br w:val="nil"/>
                    <w:tr2bl w:val="nil"/>
                  </w:tcBorders>
                  <w:noWrap w:val="0"/>
                  <w:vAlign w:val="center"/>
                </w:tcPr>
                <w:p w14:paraId="6DC39B7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2.09E-02</w:t>
                  </w:r>
                </w:p>
              </w:tc>
              <w:tc>
                <w:tcPr>
                  <w:tcW w:w="1158" w:type="dxa"/>
                  <w:tcBorders>
                    <w:tl2br w:val="nil"/>
                    <w:tr2bl w:val="nil"/>
                  </w:tcBorders>
                  <w:noWrap w:val="0"/>
                  <w:vAlign w:val="center"/>
                </w:tcPr>
                <w:p w14:paraId="100602E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2.32</w:t>
                  </w:r>
                </w:p>
              </w:tc>
              <w:tc>
                <w:tcPr>
                  <w:tcW w:w="1158" w:type="dxa"/>
                  <w:tcBorders>
                    <w:tl2br w:val="nil"/>
                    <w:tr2bl w:val="nil"/>
                  </w:tcBorders>
                  <w:noWrap w:val="0"/>
                  <w:vAlign w:val="center"/>
                </w:tcPr>
                <w:p w14:paraId="5EC2C1B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2.01E-02</w:t>
                  </w:r>
                </w:p>
              </w:tc>
              <w:tc>
                <w:tcPr>
                  <w:tcW w:w="1158" w:type="dxa"/>
                  <w:tcBorders>
                    <w:tl2br w:val="nil"/>
                    <w:tr2bl w:val="nil"/>
                  </w:tcBorders>
                  <w:noWrap w:val="0"/>
                  <w:vAlign w:val="center"/>
                </w:tcPr>
                <w:p w14:paraId="4889F6E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2.23</w:t>
                  </w:r>
                </w:p>
              </w:tc>
              <w:tc>
                <w:tcPr>
                  <w:tcW w:w="1158" w:type="dxa"/>
                  <w:tcBorders>
                    <w:tl2br w:val="nil"/>
                    <w:tr2bl w:val="nil"/>
                  </w:tcBorders>
                  <w:noWrap w:val="0"/>
                  <w:vAlign w:val="center"/>
                </w:tcPr>
                <w:p w14:paraId="1766484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4.79E-03</w:t>
                  </w:r>
                </w:p>
              </w:tc>
              <w:tc>
                <w:tcPr>
                  <w:tcW w:w="1158" w:type="dxa"/>
                  <w:tcBorders>
                    <w:tl2br w:val="nil"/>
                    <w:tr2bl w:val="nil"/>
                  </w:tcBorders>
                  <w:noWrap w:val="0"/>
                  <w:vAlign w:val="center"/>
                </w:tcPr>
                <w:p w14:paraId="3F63742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0.53</w:t>
                  </w:r>
                </w:p>
              </w:tc>
              <w:tc>
                <w:tcPr>
                  <w:tcW w:w="1158" w:type="dxa"/>
                  <w:tcBorders>
                    <w:tl2br w:val="nil"/>
                    <w:tr2bl w:val="nil"/>
                  </w:tcBorders>
                  <w:noWrap w:val="0"/>
                  <w:vAlign w:val="center"/>
                </w:tcPr>
                <w:p w14:paraId="201531B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4.61E-02</w:t>
                  </w:r>
                </w:p>
              </w:tc>
              <w:tc>
                <w:tcPr>
                  <w:tcW w:w="1166" w:type="dxa"/>
                  <w:tcBorders>
                    <w:tl2br w:val="nil"/>
                    <w:tr2bl w:val="nil"/>
                  </w:tcBorders>
                  <w:noWrap w:val="0"/>
                  <w:vAlign w:val="center"/>
                </w:tcPr>
                <w:p w14:paraId="4CD5717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3.84</w:t>
                  </w:r>
                </w:p>
              </w:tc>
            </w:tr>
            <w:tr w14:paraId="5700B4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2B2FBFF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w:t>
                  </w:r>
                </w:p>
              </w:tc>
              <w:tc>
                <w:tcPr>
                  <w:tcW w:w="1158" w:type="dxa"/>
                  <w:tcBorders>
                    <w:tl2br w:val="nil"/>
                    <w:tr2bl w:val="nil"/>
                  </w:tcBorders>
                  <w:noWrap w:val="0"/>
                  <w:vAlign w:val="center"/>
                </w:tcPr>
                <w:p w14:paraId="47DBB11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2.73E-02</w:t>
                  </w:r>
                </w:p>
              </w:tc>
              <w:tc>
                <w:tcPr>
                  <w:tcW w:w="1158" w:type="dxa"/>
                  <w:tcBorders>
                    <w:tl2br w:val="nil"/>
                    <w:tr2bl w:val="nil"/>
                  </w:tcBorders>
                  <w:noWrap w:val="0"/>
                  <w:vAlign w:val="center"/>
                </w:tcPr>
                <w:p w14:paraId="7374321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3.03</w:t>
                  </w:r>
                </w:p>
              </w:tc>
              <w:tc>
                <w:tcPr>
                  <w:tcW w:w="1158" w:type="dxa"/>
                  <w:tcBorders>
                    <w:tl2br w:val="nil"/>
                    <w:tr2bl w:val="nil"/>
                  </w:tcBorders>
                  <w:noWrap w:val="0"/>
                  <w:vAlign w:val="center"/>
                </w:tcPr>
                <w:p w14:paraId="4476882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1.78E-02</w:t>
                  </w:r>
                </w:p>
              </w:tc>
              <w:tc>
                <w:tcPr>
                  <w:tcW w:w="1158" w:type="dxa"/>
                  <w:tcBorders>
                    <w:tl2br w:val="nil"/>
                    <w:tr2bl w:val="nil"/>
                  </w:tcBorders>
                  <w:noWrap w:val="0"/>
                  <w:vAlign w:val="center"/>
                </w:tcPr>
                <w:p w14:paraId="6D1648B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1.98</w:t>
                  </w:r>
                </w:p>
              </w:tc>
              <w:tc>
                <w:tcPr>
                  <w:tcW w:w="1158" w:type="dxa"/>
                  <w:tcBorders>
                    <w:tl2br w:val="nil"/>
                    <w:tr2bl w:val="nil"/>
                  </w:tcBorders>
                  <w:noWrap w:val="0"/>
                  <w:vAlign w:val="center"/>
                </w:tcPr>
                <w:p w14:paraId="5841046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1.92E-02</w:t>
                  </w:r>
                </w:p>
              </w:tc>
              <w:tc>
                <w:tcPr>
                  <w:tcW w:w="1158" w:type="dxa"/>
                  <w:tcBorders>
                    <w:tl2br w:val="nil"/>
                    <w:tr2bl w:val="nil"/>
                  </w:tcBorders>
                  <w:noWrap w:val="0"/>
                  <w:vAlign w:val="center"/>
                </w:tcPr>
                <w:p w14:paraId="718EFF1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2.13</w:t>
                  </w:r>
                </w:p>
              </w:tc>
              <w:tc>
                <w:tcPr>
                  <w:tcW w:w="1158" w:type="dxa"/>
                  <w:tcBorders>
                    <w:tl2br w:val="nil"/>
                    <w:tr2bl w:val="nil"/>
                  </w:tcBorders>
                  <w:noWrap w:val="0"/>
                  <w:vAlign w:val="center"/>
                </w:tcPr>
                <w:p w14:paraId="0E33EE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4.56E-03</w:t>
                  </w:r>
                </w:p>
              </w:tc>
              <w:tc>
                <w:tcPr>
                  <w:tcW w:w="1158" w:type="dxa"/>
                  <w:tcBorders>
                    <w:tl2br w:val="nil"/>
                    <w:tr2bl w:val="nil"/>
                  </w:tcBorders>
                  <w:noWrap w:val="0"/>
                  <w:vAlign w:val="center"/>
                </w:tcPr>
                <w:p w14:paraId="3EDA186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0.51</w:t>
                  </w:r>
                </w:p>
              </w:tc>
              <w:tc>
                <w:tcPr>
                  <w:tcW w:w="1158" w:type="dxa"/>
                  <w:tcBorders>
                    <w:tl2br w:val="nil"/>
                    <w:tr2bl w:val="nil"/>
                  </w:tcBorders>
                  <w:noWrap w:val="0"/>
                  <w:vAlign w:val="center"/>
                </w:tcPr>
                <w:p w14:paraId="2FD7F8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4.24E-02</w:t>
                  </w:r>
                </w:p>
              </w:tc>
              <w:tc>
                <w:tcPr>
                  <w:tcW w:w="1166" w:type="dxa"/>
                  <w:tcBorders>
                    <w:tl2br w:val="nil"/>
                    <w:tr2bl w:val="nil"/>
                  </w:tcBorders>
                  <w:noWrap w:val="0"/>
                  <w:vAlign w:val="center"/>
                </w:tcPr>
                <w:p w14:paraId="47E7C3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3.54</w:t>
                  </w:r>
                </w:p>
              </w:tc>
            </w:tr>
            <w:tr w14:paraId="41B269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04DE11A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w:t>
                  </w:r>
                </w:p>
              </w:tc>
              <w:tc>
                <w:tcPr>
                  <w:tcW w:w="1158" w:type="dxa"/>
                  <w:tcBorders>
                    <w:tl2br w:val="nil"/>
                    <w:tr2bl w:val="nil"/>
                  </w:tcBorders>
                  <w:noWrap w:val="0"/>
                  <w:vAlign w:val="center"/>
                </w:tcPr>
                <w:p w14:paraId="45CB85E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2.42E-02</w:t>
                  </w:r>
                </w:p>
              </w:tc>
              <w:tc>
                <w:tcPr>
                  <w:tcW w:w="1158" w:type="dxa"/>
                  <w:tcBorders>
                    <w:tl2br w:val="nil"/>
                    <w:tr2bl w:val="nil"/>
                  </w:tcBorders>
                  <w:noWrap w:val="0"/>
                  <w:vAlign w:val="center"/>
                </w:tcPr>
                <w:p w14:paraId="45BBE8E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2.69</w:t>
                  </w:r>
                </w:p>
              </w:tc>
              <w:tc>
                <w:tcPr>
                  <w:tcW w:w="1158" w:type="dxa"/>
                  <w:tcBorders>
                    <w:tl2br w:val="nil"/>
                    <w:tr2bl w:val="nil"/>
                  </w:tcBorders>
                  <w:noWrap w:val="0"/>
                  <w:vAlign w:val="center"/>
                </w:tcPr>
                <w:p w14:paraId="338EEF5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1.58E-02</w:t>
                  </w:r>
                </w:p>
              </w:tc>
              <w:tc>
                <w:tcPr>
                  <w:tcW w:w="1158" w:type="dxa"/>
                  <w:tcBorders>
                    <w:tl2br w:val="nil"/>
                    <w:tr2bl w:val="nil"/>
                  </w:tcBorders>
                  <w:noWrap w:val="0"/>
                  <w:vAlign w:val="center"/>
                </w:tcPr>
                <w:p w14:paraId="20B1FB0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w:t>
                  </w:r>
                </w:p>
              </w:tc>
              <w:tc>
                <w:tcPr>
                  <w:tcW w:w="1158" w:type="dxa"/>
                  <w:tcBorders>
                    <w:tl2br w:val="nil"/>
                    <w:tr2bl w:val="nil"/>
                  </w:tcBorders>
                  <w:noWrap w:val="0"/>
                  <w:vAlign w:val="center"/>
                </w:tcPr>
                <w:p w14:paraId="35F8552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1.83E-02</w:t>
                  </w:r>
                </w:p>
              </w:tc>
              <w:tc>
                <w:tcPr>
                  <w:tcW w:w="1158" w:type="dxa"/>
                  <w:tcBorders>
                    <w:tl2br w:val="nil"/>
                    <w:tr2bl w:val="nil"/>
                  </w:tcBorders>
                  <w:noWrap w:val="0"/>
                  <w:vAlign w:val="center"/>
                </w:tcPr>
                <w:p w14:paraId="532A247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2.03</w:t>
                  </w:r>
                </w:p>
              </w:tc>
              <w:tc>
                <w:tcPr>
                  <w:tcW w:w="1158" w:type="dxa"/>
                  <w:tcBorders>
                    <w:tl2br w:val="nil"/>
                    <w:tr2bl w:val="nil"/>
                  </w:tcBorders>
                  <w:noWrap w:val="0"/>
                  <w:vAlign w:val="center"/>
                </w:tcPr>
                <w:p w14:paraId="403AAF7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4.35E-03</w:t>
                  </w:r>
                </w:p>
              </w:tc>
              <w:tc>
                <w:tcPr>
                  <w:tcW w:w="1158" w:type="dxa"/>
                  <w:tcBorders>
                    <w:tl2br w:val="nil"/>
                    <w:tr2bl w:val="nil"/>
                  </w:tcBorders>
                  <w:noWrap w:val="0"/>
                  <w:vAlign w:val="center"/>
                </w:tcPr>
                <w:p w14:paraId="5582D82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0.48</w:t>
                  </w:r>
                </w:p>
              </w:tc>
              <w:tc>
                <w:tcPr>
                  <w:tcW w:w="1158" w:type="dxa"/>
                  <w:tcBorders>
                    <w:tl2br w:val="nil"/>
                    <w:tr2bl w:val="nil"/>
                  </w:tcBorders>
                  <w:noWrap w:val="0"/>
                  <w:vAlign w:val="center"/>
                </w:tcPr>
                <w:p w14:paraId="65A0035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3.87E-02</w:t>
                  </w:r>
                </w:p>
              </w:tc>
              <w:tc>
                <w:tcPr>
                  <w:tcW w:w="1166" w:type="dxa"/>
                  <w:tcBorders>
                    <w:tl2br w:val="nil"/>
                    <w:tr2bl w:val="nil"/>
                  </w:tcBorders>
                  <w:noWrap w:val="0"/>
                  <w:vAlign w:val="center"/>
                </w:tcPr>
                <w:p w14:paraId="4904C04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3.23</w:t>
                  </w:r>
                </w:p>
              </w:tc>
            </w:tr>
            <w:tr w14:paraId="6EC0E1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166EA42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200</w:t>
                  </w:r>
                </w:p>
              </w:tc>
              <w:tc>
                <w:tcPr>
                  <w:tcW w:w="1158" w:type="dxa"/>
                  <w:tcBorders>
                    <w:tl2br w:val="nil"/>
                    <w:tr2bl w:val="nil"/>
                  </w:tcBorders>
                  <w:noWrap w:val="0"/>
                  <w:vAlign w:val="center"/>
                </w:tcPr>
                <w:p w14:paraId="546DF96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2.19E-02</w:t>
                  </w:r>
                </w:p>
              </w:tc>
              <w:tc>
                <w:tcPr>
                  <w:tcW w:w="1158" w:type="dxa"/>
                  <w:tcBorders>
                    <w:tl2br w:val="nil"/>
                    <w:tr2bl w:val="nil"/>
                  </w:tcBorders>
                  <w:noWrap w:val="0"/>
                  <w:vAlign w:val="center"/>
                </w:tcPr>
                <w:p w14:paraId="000125C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2.43</w:t>
                  </w:r>
                </w:p>
              </w:tc>
              <w:tc>
                <w:tcPr>
                  <w:tcW w:w="1158" w:type="dxa"/>
                  <w:tcBorders>
                    <w:tl2br w:val="nil"/>
                    <w:tr2bl w:val="nil"/>
                  </w:tcBorders>
                  <w:noWrap w:val="0"/>
                  <w:vAlign w:val="center"/>
                </w:tcPr>
                <w:p w14:paraId="574B090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1.43E-02</w:t>
                  </w:r>
                </w:p>
              </w:tc>
              <w:tc>
                <w:tcPr>
                  <w:tcW w:w="1158" w:type="dxa"/>
                  <w:tcBorders>
                    <w:tl2br w:val="nil"/>
                    <w:tr2bl w:val="nil"/>
                  </w:tcBorders>
                  <w:noWrap w:val="0"/>
                  <w:vAlign w:val="center"/>
                </w:tcPr>
                <w:p w14:paraId="1F311189">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w:t>
                  </w:r>
                </w:p>
              </w:tc>
              <w:tc>
                <w:tcPr>
                  <w:tcW w:w="1158" w:type="dxa"/>
                  <w:tcBorders>
                    <w:tl2br w:val="nil"/>
                    <w:tr2bl w:val="nil"/>
                  </w:tcBorders>
                  <w:noWrap w:val="0"/>
                  <w:vAlign w:val="center"/>
                </w:tcPr>
                <w:p w14:paraId="68E2A86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1.75E-02</w:t>
                  </w:r>
                </w:p>
              </w:tc>
              <w:tc>
                <w:tcPr>
                  <w:tcW w:w="1158" w:type="dxa"/>
                  <w:tcBorders>
                    <w:tl2br w:val="nil"/>
                    <w:tr2bl w:val="nil"/>
                  </w:tcBorders>
                  <w:noWrap w:val="0"/>
                  <w:vAlign w:val="center"/>
                </w:tcPr>
                <w:p w14:paraId="1E83212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1.94</w:t>
                  </w:r>
                </w:p>
              </w:tc>
              <w:tc>
                <w:tcPr>
                  <w:tcW w:w="1158" w:type="dxa"/>
                  <w:tcBorders>
                    <w:tl2br w:val="nil"/>
                    <w:tr2bl w:val="nil"/>
                  </w:tcBorders>
                  <w:noWrap w:val="0"/>
                  <w:vAlign w:val="center"/>
                </w:tcPr>
                <w:p w14:paraId="5CC29F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4.15E-03</w:t>
                  </w:r>
                </w:p>
              </w:tc>
              <w:tc>
                <w:tcPr>
                  <w:tcW w:w="1158" w:type="dxa"/>
                  <w:tcBorders>
                    <w:tl2br w:val="nil"/>
                    <w:tr2bl w:val="nil"/>
                  </w:tcBorders>
                  <w:noWrap w:val="0"/>
                  <w:vAlign w:val="center"/>
                </w:tcPr>
                <w:p w14:paraId="57F7706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0.46</w:t>
                  </w:r>
                </w:p>
              </w:tc>
              <w:tc>
                <w:tcPr>
                  <w:tcW w:w="1158" w:type="dxa"/>
                  <w:tcBorders>
                    <w:tl2br w:val="nil"/>
                    <w:tr2bl w:val="nil"/>
                  </w:tcBorders>
                  <w:noWrap w:val="0"/>
                  <w:vAlign w:val="center"/>
                </w:tcPr>
                <w:p w14:paraId="5EFFC66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3.51E-02</w:t>
                  </w:r>
                </w:p>
              </w:tc>
              <w:tc>
                <w:tcPr>
                  <w:tcW w:w="1166" w:type="dxa"/>
                  <w:tcBorders>
                    <w:tl2br w:val="nil"/>
                    <w:tr2bl w:val="nil"/>
                  </w:tcBorders>
                  <w:noWrap w:val="0"/>
                  <w:vAlign w:val="center"/>
                </w:tcPr>
                <w:p w14:paraId="1E94D48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2.93</w:t>
                  </w:r>
                </w:p>
              </w:tc>
            </w:tr>
            <w:tr w14:paraId="371215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3CF1CA9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300</w:t>
                  </w:r>
                </w:p>
              </w:tc>
              <w:tc>
                <w:tcPr>
                  <w:tcW w:w="1158" w:type="dxa"/>
                  <w:tcBorders>
                    <w:tl2br w:val="nil"/>
                    <w:tr2bl w:val="nil"/>
                  </w:tcBorders>
                  <w:noWrap w:val="0"/>
                  <w:vAlign w:val="center"/>
                </w:tcPr>
                <w:p w14:paraId="1CF2D7F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1.63E-02</w:t>
                  </w:r>
                </w:p>
              </w:tc>
              <w:tc>
                <w:tcPr>
                  <w:tcW w:w="1158" w:type="dxa"/>
                  <w:tcBorders>
                    <w:tl2br w:val="nil"/>
                    <w:tr2bl w:val="nil"/>
                  </w:tcBorders>
                  <w:noWrap w:val="0"/>
                  <w:vAlign w:val="center"/>
                </w:tcPr>
                <w:p w14:paraId="1783273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1.81</w:t>
                  </w:r>
                </w:p>
              </w:tc>
              <w:tc>
                <w:tcPr>
                  <w:tcW w:w="1158" w:type="dxa"/>
                  <w:tcBorders>
                    <w:tl2br w:val="nil"/>
                    <w:tr2bl w:val="nil"/>
                  </w:tcBorders>
                  <w:noWrap w:val="0"/>
                  <w:vAlign w:val="center"/>
                </w:tcPr>
                <w:p w14:paraId="29AC603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1.06E-02</w:t>
                  </w:r>
                </w:p>
              </w:tc>
              <w:tc>
                <w:tcPr>
                  <w:tcW w:w="1158" w:type="dxa"/>
                  <w:tcBorders>
                    <w:tl2br w:val="nil"/>
                    <w:tr2bl w:val="nil"/>
                  </w:tcBorders>
                  <w:noWrap w:val="0"/>
                  <w:vAlign w:val="center"/>
                </w:tcPr>
                <w:p w14:paraId="7531356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w:t>
                  </w:r>
                </w:p>
              </w:tc>
              <w:tc>
                <w:tcPr>
                  <w:tcW w:w="1158" w:type="dxa"/>
                  <w:tcBorders>
                    <w:tl2br w:val="nil"/>
                    <w:tr2bl w:val="nil"/>
                  </w:tcBorders>
                  <w:noWrap w:val="0"/>
                  <w:vAlign w:val="center"/>
                </w:tcPr>
                <w:p w14:paraId="3A9B87A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1.45E-02</w:t>
                  </w:r>
                </w:p>
              </w:tc>
              <w:tc>
                <w:tcPr>
                  <w:tcW w:w="1158" w:type="dxa"/>
                  <w:tcBorders>
                    <w:tl2br w:val="nil"/>
                    <w:tr2bl w:val="nil"/>
                  </w:tcBorders>
                  <w:noWrap w:val="0"/>
                  <w:vAlign w:val="center"/>
                </w:tcPr>
                <w:p w14:paraId="4FAA8EC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1.61</w:t>
                  </w:r>
                </w:p>
              </w:tc>
              <w:tc>
                <w:tcPr>
                  <w:tcW w:w="1158" w:type="dxa"/>
                  <w:tcBorders>
                    <w:tl2br w:val="nil"/>
                    <w:tr2bl w:val="nil"/>
                  </w:tcBorders>
                  <w:noWrap w:val="0"/>
                  <w:vAlign w:val="center"/>
                </w:tcPr>
                <w:p w14:paraId="470E8F5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3.43E-03</w:t>
                  </w:r>
                </w:p>
              </w:tc>
              <w:tc>
                <w:tcPr>
                  <w:tcW w:w="1158" w:type="dxa"/>
                  <w:tcBorders>
                    <w:tl2br w:val="nil"/>
                    <w:tr2bl w:val="nil"/>
                  </w:tcBorders>
                  <w:noWrap w:val="0"/>
                  <w:vAlign w:val="center"/>
                </w:tcPr>
                <w:p w14:paraId="0CCDDE1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0.38</w:t>
                  </w:r>
                </w:p>
              </w:tc>
              <w:tc>
                <w:tcPr>
                  <w:tcW w:w="1158" w:type="dxa"/>
                  <w:tcBorders>
                    <w:tl2br w:val="nil"/>
                    <w:tr2bl w:val="nil"/>
                  </w:tcBorders>
                  <w:noWrap w:val="0"/>
                  <w:vAlign w:val="center"/>
                </w:tcPr>
                <w:p w14:paraId="24BE33D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2.57E-02</w:t>
                  </w:r>
                </w:p>
              </w:tc>
              <w:tc>
                <w:tcPr>
                  <w:tcW w:w="1166" w:type="dxa"/>
                  <w:tcBorders>
                    <w:tl2br w:val="nil"/>
                    <w:tr2bl w:val="nil"/>
                  </w:tcBorders>
                  <w:noWrap w:val="0"/>
                  <w:vAlign w:val="center"/>
                </w:tcPr>
                <w:p w14:paraId="4878D35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2.14</w:t>
                  </w:r>
                </w:p>
              </w:tc>
            </w:tr>
            <w:tr w14:paraId="4537C2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48E4F6F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400</w:t>
                  </w:r>
                </w:p>
              </w:tc>
              <w:tc>
                <w:tcPr>
                  <w:tcW w:w="1158" w:type="dxa"/>
                  <w:tcBorders>
                    <w:tl2br w:val="nil"/>
                    <w:tr2bl w:val="nil"/>
                  </w:tcBorders>
                  <w:noWrap w:val="0"/>
                  <w:vAlign w:val="center"/>
                </w:tcPr>
                <w:p w14:paraId="67A52D7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1.33E-02</w:t>
                  </w:r>
                </w:p>
              </w:tc>
              <w:tc>
                <w:tcPr>
                  <w:tcW w:w="1158" w:type="dxa"/>
                  <w:tcBorders>
                    <w:tl2br w:val="nil"/>
                    <w:tr2bl w:val="nil"/>
                  </w:tcBorders>
                  <w:noWrap w:val="0"/>
                  <w:vAlign w:val="center"/>
                </w:tcPr>
                <w:p w14:paraId="4AE8E33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w:t>
                  </w:r>
                </w:p>
              </w:tc>
              <w:tc>
                <w:tcPr>
                  <w:tcW w:w="1158" w:type="dxa"/>
                  <w:tcBorders>
                    <w:tl2br w:val="nil"/>
                    <w:tr2bl w:val="nil"/>
                  </w:tcBorders>
                  <w:noWrap w:val="0"/>
                  <w:vAlign w:val="center"/>
                </w:tcPr>
                <w:p w14:paraId="50E984E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8.64E-03</w:t>
                  </w:r>
                </w:p>
              </w:tc>
              <w:tc>
                <w:tcPr>
                  <w:tcW w:w="1158" w:type="dxa"/>
                  <w:tcBorders>
                    <w:tl2br w:val="nil"/>
                    <w:tr2bl w:val="nil"/>
                  </w:tcBorders>
                  <w:noWrap w:val="0"/>
                  <w:vAlign w:val="center"/>
                </w:tcPr>
                <w:p w14:paraId="0ACBF64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0.96</w:t>
                  </w:r>
                </w:p>
              </w:tc>
              <w:tc>
                <w:tcPr>
                  <w:tcW w:w="1158" w:type="dxa"/>
                  <w:tcBorders>
                    <w:tl2br w:val="nil"/>
                    <w:tr2bl w:val="nil"/>
                  </w:tcBorders>
                  <w:noWrap w:val="0"/>
                  <w:vAlign w:val="center"/>
                </w:tcPr>
                <w:p w14:paraId="293FF03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1.21E-02</w:t>
                  </w:r>
                </w:p>
              </w:tc>
              <w:tc>
                <w:tcPr>
                  <w:tcW w:w="1158" w:type="dxa"/>
                  <w:tcBorders>
                    <w:tl2br w:val="nil"/>
                    <w:tr2bl w:val="nil"/>
                  </w:tcBorders>
                  <w:noWrap w:val="0"/>
                  <w:vAlign w:val="center"/>
                </w:tcPr>
                <w:p w14:paraId="27F1FD9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1.35</w:t>
                  </w:r>
                </w:p>
              </w:tc>
              <w:tc>
                <w:tcPr>
                  <w:tcW w:w="1158" w:type="dxa"/>
                  <w:tcBorders>
                    <w:tl2br w:val="nil"/>
                    <w:tr2bl w:val="nil"/>
                  </w:tcBorders>
                  <w:noWrap w:val="0"/>
                  <w:vAlign w:val="center"/>
                </w:tcPr>
                <w:p w14:paraId="0D6DBA2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2.86E-03</w:t>
                  </w:r>
                </w:p>
              </w:tc>
              <w:tc>
                <w:tcPr>
                  <w:tcW w:w="1158" w:type="dxa"/>
                  <w:tcBorders>
                    <w:tl2br w:val="nil"/>
                    <w:tr2bl w:val="nil"/>
                  </w:tcBorders>
                  <w:noWrap w:val="0"/>
                  <w:vAlign w:val="center"/>
                </w:tcPr>
                <w:p w14:paraId="201BF7D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0.32</w:t>
                  </w:r>
                </w:p>
              </w:tc>
              <w:tc>
                <w:tcPr>
                  <w:tcW w:w="1158" w:type="dxa"/>
                  <w:tcBorders>
                    <w:tl2br w:val="nil"/>
                    <w:tr2bl w:val="nil"/>
                  </w:tcBorders>
                  <w:noWrap w:val="0"/>
                  <w:vAlign w:val="center"/>
                </w:tcPr>
                <w:p w14:paraId="715EED1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1.99E-02</w:t>
                  </w:r>
                </w:p>
              </w:tc>
              <w:tc>
                <w:tcPr>
                  <w:tcW w:w="1166" w:type="dxa"/>
                  <w:tcBorders>
                    <w:tl2br w:val="nil"/>
                    <w:tr2bl w:val="nil"/>
                  </w:tcBorders>
                  <w:noWrap w:val="0"/>
                  <w:vAlign w:val="center"/>
                </w:tcPr>
                <w:p w14:paraId="4AD40AA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w:t>
                  </w:r>
                </w:p>
              </w:tc>
            </w:tr>
            <w:tr w14:paraId="5A8DDF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1DEC83E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500</w:t>
                  </w:r>
                </w:p>
              </w:tc>
              <w:tc>
                <w:tcPr>
                  <w:tcW w:w="1158" w:type="dxa"/>
                  <w:tcBorders>
                    <w:tl2br w:val="nil"/>
                    <w:tr2bl w:val="nil"/>
                  </w:tcBorders>
                  <w:noWrap w:val="0"/>
                  <w:vAlign w:val="center"/>
                </w:tcPr>
                <w:p w14:paraId="6145C93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1.13E-02</w:t>
                  </w:r>
                </w:p>
              </w:tc>
              <w:tc>
                <w:tcPr>
                  <w:tcW w:w="1158" w:type="dxa"/>
                  <w:tcBorders>
                    <w:tl2br w:val="nil"/>
                    <w:tr2bl w:val="nil"/>
                  </w:tcBorders>
                  <w:noWrap w:val="0"/>
                  <w:vAlign w:val="center"/>
                </w:tcPr>
                <w:p w14:paraId="69893A9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1.26</w:t>
                  </w:r>
                </w:p>
              </w:tc>
              <w:tc>
                <w:tcPr>
                  <w:tcW w:w="1158" w:type="dxa"/>
                  <w:tcBorders>
                    <w:tl2br w:val="nil"/>
                    <w:tr2bl w:val="nil"/>
                  </w:tcBorders>
                  <w:noWrap w:val="0"/>
                  <w:vAlign w:val="center"/>
                </w:tcPr>
                <w:p w14:paraId="4A5481B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7.37E-03</w:t>
                  </w:r>
                </w:p>
              </w:tc>
              <w:tc>
                <w:tcPr>
                  <w:tcW w:w="1158" w:type="dxa"/>
                  <w:tcBorders>
                    <w:tl2br w:val="nil"/>
                    <w:tr2bl w:val="nil"/>
                  </w:tcBorders>
                  <w:noWrap w:val="0"/>
                  <w:vAlign w:val="center"/>
                </w:tcPr>
                <w:p w14:paraId="1F9AF70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0.82</w:t>
                  </w:r>
                </w:p>
              </w:tc>
              <w:tc>
                <w:tcPr>
                  <w:tcW w:w="1158" w:type="dxa"/>
                  <w:tcBorders>
                    <w:tl2br w:val="nil"/>
                    <w:tr2bl w:val="nil"/>
                  </w:tcBorders>
                  <w:noWrap w:val="0"/>
                  <w:vAlign w:val="center"/>
                </w:tcPr>
                <w:p w14:paraId="0A28842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1.04E-02</w:t>
                  </w:r>
                </w:p>
              </w:tc>
              <w:tc>
                <w:tcPr>
                  <w:tcW w:w="1158" w:type="dxa"/>
                  <w:tcBorders>
                    <w:tl2br w:val="nil"/>
                    <w:tr2bl w:val="nil"/>
                  </w:tcBorders>
                  <w:noWrap w:val="0"/>
                  <w:vAlign w:val="center"/>
                </w:tcPr>
                <w:p w14:paraId="284CFDE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1.15</w:t>
                  </w:r>
                </w:p>
              </w:tc>
              <w:tc>
                <w:tcPr>
                  <w:tcW w:w="1158" w:type="dxa"/>
                  <w:tcBorders>
                    <w:tl2br w:val="nil"/>
                    <w:tr2bl w:val="nil"/>
                  </w:tcBorders>
                  <w:noWrap w:val="0"/>
                  <w:vAlign w:val="center"/>
                </w:tcPr>
                <w:p w14:paraId="1EAB76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2.45E-03</w:t>
                  </w:r>
                </w:p>
              </w:tc>
              <w:tc>
                <w:tcPr>
                  <w:tcW w:w="1158" w:type="dxa"/>
                  <w:tcBorders>
                    <w:tl2br w:val="nil"/>
                    <w:tr2bl w:val="nil"/>
                  </w:tcBorders>
                  <w:noWrap w:val="0"/>
                  <w:vAlign w:val="center"/>
                </w:tcPr>
                <w:p w14:paraId="7E4157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0.27</w:t>
                  </w:r>
                </w:p>
              </w:tc>
              <w:tc>
                <w:tcPr>
                  <w:tcW w:w="1158" w:type="dxa"/>
                  <w:tcBorders>
                    <w:tl2br w:val="nil"/>
                    <w:tr2bl w:val="nil"/>
                  </w:tcBorders>
                  <w:noWrap w:val="0"/>
                  <w:vAlign w:val="center"/>
                </w:tcPr>
                <w:p w14:paraId="00389E7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1.59E-02</w:t>
                  </w:r>
                </w:p>
              </w:tc>
              <w:tc>
                <w:tcPr>
                  <w:tcW w:w="1166" w:type="dxa"/>
                  <w:tcBorders>
                    <w:tl2br w:val="nil"/>
                    <w:tr2bl w:val="nil"/>
                  </w:tcBorders>
                  <w:noWrap w:val="0"/>
                  <w:vAlign w:val="center"/>
                </w:tcPr>
                <w:p w14:paraId="1164CA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1.33</w:t>
                  </w:r>
                </w:p>
              </w:tc>
            </w:tr>
            <w:tr w14:paraId="545E1B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5B513E2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600</w:t>
                  </w:r>
                </w:p>
              </w:tc>
              <w:tc>
                <w:tcPr>
                  <w:tcW w:w="1158" w:type="dxa"/>
                  <w:tcBorders>
                    <w:tl2br w:val="nil"/>
                    <w:tr2bl w:val="nil"/>
                  </w:tcBorders>
                  <w:noWrap w:val="0"/>
                  <w:vAlign w:val="center"/>
                </w:tcPr>
                <w:p w14:paraId="14B6A20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9.95E-03</w:t>
                  </w:r>
                </w:p>
              </w:tc>
              <w:tc>
                <w:tcPr>
                  <w:tcW w:w="1158" w:type="dxa"/>
                  <w:tcBorders>
                    <w:tl2br w:val="nil"/>
                    <w:tr2bl w:val="nil"/>
                  </w:tcBorders>
                  <w:noWrap w:val="0"/>
                  <w:vAlign w:val="center"/>
                </w:tcPr>
                <w:p w14:paraId="4F4FC21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1.11</w:t>
                  </w:r>
                </w:p>
              </w:tc>
              <w:tc>
                <w:tcPr>
                  <w:tcW w:w="1158" w:type="dxa"/>
                  <w:tcBorders>
                    <w:tl2br w:val="nil"/>
                    <w:tr2bl w:val="nil"/>
                  </w:tcBorders>
                  <w:noWrap w:val="0"/>
                  <w:vAlign w:val="center"/>
                </w:tcPr>
                <w:p w14:paraId="7F1CA43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6.47E-03</w:t>
                  </w:r>
                </w:p>
              </w:tc>
              <w:tc>
                <w:tcPr>
                  <w:tcW w:w="1158" w:type="dxa"/>
                  <w:tcBorders>
                    <w:tl2br w:val="nil"/>
                    <w:tr2bl w:val="nil"/>
                  </w:tcBorders>
                  <w:noWrap w:val="0"/>
                  <w:vAlign w:val="center"/>
                </w:tcPr>
                <w:p w14:paraId="29A219C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0.72</w:t>
                  </w:r>
                </w:p>
              </w:tc>
              <w:tc>
                <w:tcPr>
                  <w:tcW w:w="1158" w:type="dxa"/>
                  <w:tcBorders>
                    <w:tl2br w:val="nil"/>
                    <w:tr2bl w:val="nil"/>
                  </w:tcBorders>
                  <w:noWrap w:val="0"/>
                  <w:vAlign w:val="center"/>
                </w:tcPr>
                <w:p w14:paraId="1005957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9.32E-03</w:t>
                  </w:r>
                </w:p>
              </w:tc>
              <w:tc>
                <w:tcPr>
                  <w:tcW w:w="1158" w:type="dxa"/>
                  <w:tcBorders>
                    <w:tl2br w:val="nil"/>
                    <w:tr2bl w:val="nil"/>
                  </w:tcBorders>
                  <w:noWrap w:val="0"/>
                  <w:vAlign w:val="center"/>
                </w:tcPr>
                <w:p w14:paraId="645E290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1.04</w:t>
                  </w:r>
                </w:p>
              </w:tc>
              <w:tc>
                <w:tcPr>
                  <w:tcW w:w="1158" w:type="dxa"/>
                  <w:tcBorders>
                    <w:tl2br w:val="nil"/>
                    <w:tr2bl w:val="nil"/>
                  </w:tcBorders>
                  <w:noWrap w:val="0"/>
                  <w:vAlign w:val="center"/>
                </w:tcPr>
                <w:p w14:paraId="7C5537C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2.19E-03</w:t>
                  </w:r>
                </w:p>
              </w:tc>
              <w:tc>
                <w:tcPr>
                  <w:tcW w:w="1158" w:type="dxa"/>
                  <w:tcBorders>
                    <w:tl2br w:val="nil"/>
                    <w:tr2bl w:val="nil"/>
                  </w:tcBorders>
                  <w:noWrap w:val="0"/>
                  <w:vAlign w:val="center"/>
                </w:tcPr>
                <w:p w14:paraId="4FC5DA3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0.24</w:t>
                  </w:r>
                </w:p>
              </w:tc>
              <w:tc>
                <w:tcPr>
                  <w:tcW w:w="1158" w:type="dxa"/>
                  <w:tcBorders>
                    <w:tl2br w:val="nil"/>
                    <w:tr2bl w:val="nil"/>
                  </w:tcBorders>
                  <w:noWrap w:val="0"/>
                  <w:vAlign w:val="center"/>
                </w:tcPr>
                <w:p w14:paraId="42D0A1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1.31E-02</w:t>
                  </w:r>
                </w:p>
              </w:tc>
              <w:tc>
                <w:tcPr>
                  <w:tcW w:w="1166" w:type="dxa"/>
                  <w:tcBorders>
                    <w:tl2br w:val="nil"/>
                    <w:tr2bl w:val="nil"/>
                  </w:tcBorders>
                  <w:noWrap w:val="0"/>
                  <w:vAlign w:val="center"/>
                </w:tcPr>
                <w:p w14:paraId="36838E9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w:t>
                  </w:r>
                </w:p>
              </w:tc>
            </w:tr>
            <w:tr w14:paraId="675503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1C0D578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700</w:t>
                  </w:r>
                </w:p>
              </w:tc>
              <w:tc>
                <w:tcPr>
                  <w:tcW w:w="1158" w:type="dxa"/>
                  <w:tcBorders>
                    <w:tl2br w:val="nil"/>
                    <w:tr2bl w:val="nil"/>
                  </w:tcBorders>
                  <w:noWrap w:val="0"/>
                  <w:vAlign w:val="center"/>
                </w:tcPr>
                <w:p w14:paraId="4289408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8.92E-03</w:t>
                  </w:r>
                </w:p>
              </w:tc>
              <w:tc>
                <w:tcPr>
                  <w:tcW w:w="1158" w:type="dxa"/>
                  <w:tcBorders>
                    <w:tl2br w:val="nil"/>
                    <w:tr2bl w:val="nil"/>
                  </w:tcBorders>
                  <w:noWrap w:val="0"/>
                  <w:vAlign w:val="center"/>
                </w:tcPr>
                <w:p w14:paraId="1D72762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0.99</w:t>
                  </w:r>
                </w:p>
              </w:tc>
              <w:tc>
                <w:tcPr>
                  <w:tcW w:w="1158" w:type="dxa"/>
                  <w:tcBorders>
                    <w:tl2br w:val="nil"/>
                    <w:tr2bl w:val="nil"/>
                  </w:tcBorders>
                  <w:noWrap w:val="0"/>
                  <w:vAlign w:val="center"/>
                </w:tcPr>
                <w:p w14:paraId="08E4B6E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5.80E-03</w:t>
                  </w:r>
                </w:p>
              </w:tc>
              <w:tc>
                <w:tcPr>
                  <w:tcW w:w="1158" w:type="dxa"/>
                  <w:tcBorders>
                    <w:tl2br w:val="nil"/>
                    <w:tr2bl w:val="nil"/>
                  </w:tcBorders>
                  <w:noWrap w:val="0"/>
                  <w:vAlign w:val="center"/>
                </w:tcPr>
                <w:p w14:paraId="5785436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0.64</w:t>
                  </w:r>
                </w:p>
              </w:tc>
              <w:tc>
                <w:tcPr>
                  <w:tcW w:w="1158" w:type="dxa"/>
                  <w:tcBorders>
                    <w:tl2br w:val="nil"/>
                    <w:tr2bl w:val="nil"/>
                  </w:tcBorders>
                  <w:noWrap w:val="0"/>
                  <w:vAlign w:val="center"/>
                </w:tcPr>
                <w:p w14:paraId="369233F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8.38E-03</w:t>
                  </w:r>
                </w:p>
              </w:tc>
              <w:tc>
                <w:tcPr>
                  <w:tcW w:w="1158" w:type="dxa"/>
                  <w:tcBorders>
                    <w:tl2br w:val="nil"/>
                    <w:tr2bl w:val="nil"/>
                  </w:tcBorders>
                  <w:noWrap w:val="0"/>
                  <w:vAlign w:val="center"/>
                </w:tcPr>
                <w:p w14:paraId="0D6DE10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0.93</w:t>
                  </w:r>
                </w:p>
              </w:tc>
              <w:tc>
                <w:tcPr>
                  <w:tcW w:w="1158" w:type="dxa"/>
                  <w:tcBorders>
                    <w:tl2br w:val="nil"/>
                    <w:tr2bl w:val="nil"/>
                  </w:tcBorders>
                  <w:noWrap w:val="0"/>
                  <w:vAlign w:val="center"/>
                </w:tcPr>
                <w:p w14:paraId="2C67BEE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1.97E-03</w:t>
                  </w:r>
                </w:p>
              </w:tc>
              <w:tc>
                <w:tcPr>
                  <w:tcW w:w="1158" w:type="dxa"/>
                  <w:tcBorders>
                    <w:tl2br w:val="nil"/>
                    <w:tr2bl w:val="nil"/>
                  </w:tcBorders>
                  <w:noWrap w:val="0"/>
                  <w:vAlign w:val="center"/>
                </w:tcPr>
                <w:p w14:paraId="40B6461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0.22</w:t>
                  </w:r>
                </w:p>
              </w:tc>
              <w:tc>
                <w:tcPr>
                  <w:tcW w:w="1158" w:type="dxa"/>
                  <w:tcBorders>
                    <w:tl2br w:val="nil"/>
                    <w:tr2bl w:val="nil"/>
                  </w:tcBorders>
                  <w:noWrap w:val="0"/>
                  <w:vAlign w:val="center"/>
                </w:tcPr>
                <w:p w14:paraId="345ED81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1.10E-02</w:t>
                  </w:r>
                </w:p>
              </w:tc>
              <w:tc>
                <w:tcPr>
                  <w:tcW w:w="1166" w:type="dxa"/>
                  <w:tcBorders>
                    <w:tl2br w:val="nil"/>
                    <w:tr2bl w:val="nil"/>
                  </w:tcBorders>
                  <w:noWrap w:val="0"/>
                  <w:vAlign w:val="center"/>
                </w:tcPr>
                <w:p w14:paraId="526AE9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0.92</w:t>
                  </w:r>
                </w:p>
              </w:tc>
            </w:tr>
            <w:tr w14:paraId="655292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4B0CB30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800</w:t>
                  </w:r>
                </w:p>
              </w:tc>
              <w:tc>
                <w:tcPr>
                  <w:tcW w:w="1158" w:type="dxa"/>
                  <w:tcBorders>
                    <w:tl2br w:val="nil"/>
                    <w:tr2bl w:val="nil"/>
                  </w:tcBorders>
                  <w:noWrap w:val="0"/>
                  <w:vAlign w:val="center"/>
                </w:tcPr>
                <w:p w14:paraId="68BC358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8.12E-03</w:t>
                  </w:r>
                </w:p>
              </w:tc>
              <w:tc>
                <w:tcPr>
                  <w:tcW w:w="1158" w:type="dxa"/>
                  <w:tcBorders>
                    <w:tl2br w:val="nil"/>
                    <w:tr2bl w:val="nil"/>
                  </w:tcBorders>
                  <w:noWrap w:val="0"/>
                  <w:vAlign w:val="center"/>
                </w:tcPr>
                <w:p w14:paraId="7C3F0D9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w:t>
                  </w:r>
                </w:p>
              </w:tc>
              <w:tc>
                <w:tcPr>
                  <w:tcW w:w="1158" w:type="dxa"/>
                  <w:tcBorders>
                    <w:tl2br w:val="nil"/>
                    <w:tr2bl w:val="nil"/>
                  </w:tcBorders>
                  <w:noWrap w:val="0"/>
                  <w:vAlign w:val="center"/>
                </w:tcPr>
                <w:p w14:paraId="7B67544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5.28E-03</w:t>
                  </w:r>
                </w:p>
              </w:tc>
              <w:tc>
                <w:tcPr>
                  <w:tcW w:w="1158" w:type="dxa"/>
                  <w:tcBorders>
                    <w:tl2br w:val="nil"/>
                    <w:tr2bl w:val="nil"/>
                  </w:tcBorders>
                  <w:noWrap w:val="0"/>
                  <w:vAlign w:val="center"/>
                </w:tcPr>
                <w:p w14:paraId="4B68801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0.59</w:t>
                  </w:r>
                </w:p>
              </w:tc>
              <w:tc>
                <w:tcPr>
                  <w:tcW w:w="1158" w:type="dxa"/>
                  <w:tcBorders>
                    <w:tl2br w:val="nil"/>
                    <w:tr2bl w:val="nil"/>
                  </w:tcBorders>
                  <w:noWrap w:val="0"/>
                  <w:vAlign w:val="center"/>
                </w:tcPr>
                <w:p w14:paraId="619CB0D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7.59E-03</w:t>
                  </w:r>
                </w:p>
              </w:tc>
              <w:tc>
                <w:tcPr>
                  <w:tcW w:w="1158" w:type="dxa"/>
                  <w:tcBorders>
                    <w:tl2br w:val="nil"/>
                    <w:tr2bl w:val="nil"/>
                  </w:tcBorders>
                  <w:noWrap w:val="0"/>
                  <w:vAlign w:val="center"/>
                </w:tcPr>
                <w:p w14:paraId="3BF4511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0.84</w:t>
                  </w:r>
                </w:p>
              </w:tc>
              <w:tc>
                <w:tcPr>
                  <w:tcW w:w="1158" w:type="dxa"/>
                  <w:tcBorders>
                    <w:tl2br w:val="nil"/>
                    <w:tr2bl w:val="nil"/>
                  </w:tcBorders>
                  <w:noWrap w:val="0"/>
                  <w:vAlign w:val="center"/>
                </w:tcPr>
                <w:p w14:paraId="2A8B5A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1.78E-03</w:t>
                  </w:r>
                </w:p>
              </w:tc>
              <w:tc>
                <w:tcPr>
                  <w:tcW w:w="1158" w:type="dxa"/>
                  <w:tcBorders>
                    <w:tl2br w:val="nil"/>
                    <w:tr2bl w:val="nil"/>
                  </w:tcBorders>
                  <w:noWrap w:val="0"/>
                  <w:vAlign w:val="center"/>
                </w:tcPr>
                <w:p w14:paraId="42CF3E8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w:t>
                  </w:r>
                </w:p>
              </w:tc>
              <w:tc>
                <w:tcPr>
                  <w:tcW w:w="1158" w:type="dxa"/>
                  <w:tcBorders>
                    <w:tl2br w:val="nil"/>
                    <w:tr2bl w:val="nil"/>
                  </w:tcBorders>
                  <w:noWrap w:val="0"/>
                  <w:vAlign w:val="center"/>
                </w:tcPr>
                <w:p w14:paraId="025DD2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9.42E-03</w:t>
                  </w:r>
                </w:p>
              </w:tc>
              <w:tc>
                <w:tcPr>
                  <w:tcW w:w="1166" w:type="dxa"/>
                  <w:tcBorders>
                    <w:tl2br w:val="nil"/>
                    <w:tr2bl w:val="nil"/>
                  </w:tcBorders>
                  <w:noWrap w:val="0"/>
                  <w:vAlign w:val="center"/>
                </w:tcPr>
                <w:p w14:paraId="79F0737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0.79</w:t>
                  </w:r>
                </w:p>
              </w:tc>
            </w:tr>
            <w:tr w14:paraId="7E4246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57B5B57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900</w:t>
                  </w:r>
                </w:p>
              </w:tc>
              <w:tc>
                <w:tcPr>
                  <w:tcW w:w="1158" w:type="dxa"/>
                  <w:tcBorders>
                    <w:tl2br w:val="nil"/>
                    <w:tr2bl w:val="nil"/>
                  </w:tcBorders>
                  <w:noWrap w:val="0"/>
                  <w:vAlign w:val="center"/>
                </w:tcPr>
                <w:p w14:paraId="16E1E2F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7.47E-03</w:t>
                  </w:r>
                </w:p>
              </w:tc>
              <w:tc>
                <w:tcPr>
                  <w:tcW w:w="1158" w:type="dxa"/>
                  <w:tcBorders>
                    <w:tl2br w:val="nil"/>
                    <w:tr2bl w:val="nil"/>
                  </w:tcBorders>
                  <w:noWrap w:val="0"/>
                  <w:vAlign w:val="center"/>
                </w:tcPr>
                <w:p w14:paraId="47CEE6D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0.83</w:t>
                  </w:r>
                </w:p>
              </w:tc>
              <w:tc>
                <w:tcPr>
                  <w:tcW w:w="1158" w:type="dxa"/>
                  <w:tcBorders>
                    <w:tl2br w:val="nil"/>
                    <w:tr2bl w:val="nil"/>
                  </w:tcBorders>
                  <w:noWrap w:val="0"/>
                  <w:vAlign w:val="center"/>
                </w:tcPr>
                <w:p w14:paraId="6ABF4B6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4.86E-03</w:t>
                  </w:r>
                </w:p>
              </w:tc>
              <w:tc>
                <w:tcPr>
                  <w:tcW w:w="1158" w:type="dxa"/>
                  <w:tcBorders>
                    <w:tl2br w:val="nil"/>
                    <w:tr2bl w:val="nil"/>
                  </w:tcBorders>
                  <w:noWrap w:val="0"/>
                  <w:vAlign w:val="center"/>
                </w:tcPr>
                <w:p w14:paraId="56101AE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0.54</w:t>
                  </w:r>
                </w:p>
              </w:tc>
              <w:tc>
                <w:tcPr>
                  <w:tcW w:w="1158" w:type="dxa"/>
                  <w:tcBorders>
                    <w:tl2br w:val="nil"/>
                    <w:tr2bl w:val="nil"/>
                  </w:tcBorders>
                  <w:noWrap w:val="0"/>
                  <w:vAlign w:val="center"/>
                </w:tcPr>
                <w:p w14:paraId="2BD864F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7.06E-03</w:t>
                  </w:r>
                </w:p>
              </w:tc>
              <w:tc>
                <w:tcPr>
                  <w:tcW w:w="1158" w:type="dxa"/>
                  <w:tcBorders>
                    <w:tl2br w:val="nil"/>
                    <w:tr2bl w:val="nil"/>
                  </w:tcBorders>
                  <w:noWrap w:val="0"/>
                  <w:vAlign w:val="center"/>
                </w:tcPr>
                <w:p w14:paraId="2D154FA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0.78</w:t>
                  </w:r>
                </w:p>
              </w:tc>
              <w:tc>
                <w:tcPr>
                  <w:tcW w:w="1158" w:type="dxa"/>
                  <w:tcBorders>
                    <w:tl2br w:val="nil"/>
                    <w:tr2bl w:val="nil"/>
                  </w:tcBorders>
                  <w:noWrap w:val="0"/>
                  <w:vAlign w:val="center"/>
                </w:tcPr>
                <w:p w14:paraId="23A9555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1.66E-03</w:t>
                  </w:r>
                </w:p>
              </w:tc>
              <w:tc>
                <w:tcPr>
                  <w:tcW w:w="1158" w:type="dxa"/>
                  <w:tcBorders>
                    <w:tl2br w:val="nil"/>
                    <w:tr2bl w:val="nil"/>
                  </w:tcBorders>
                  <w:noWrap w:val="0"/>
                  <w:vAlign w:val="center"/>
                </w:tcPr>
                <w:p w14:paraId="5D439FD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0.18</w:t>
                  </w:r>
                </w:p>
              </w:tc>
              <w:tc>
                <w:tcPr>
                  <w:tcW w:w="1158" w:type="dxa"/>
                  <w:tcBorders>
                    <w:tl2br w:val="nil"/>
                    <w:tr2bl w:val="nil"/>
                  </w:tcBorders>
                  <w:noWrap w:val="0"/>
                  <w:vAlign w:val="center"/>
                </w:tcPr>
                <w:p w14:paraId="6EC18A2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8.19E-03</w:t>
                  </w:r>
                </w:p>
              </w:tc>
              <w:tc>
                <w:tcPr>
                  <w:tcW w:w="1166" w:type="dxa"/>
                  <w:tcBorders>
                    <w:tl2br w:val="nil"/>
                    <w:tr2bl w:val="nil"/>
                  </w:tcBorders>
                  <w:noWrap w:val="0"/>
                  <w:vAlign w:val="center"/>
                </w:tcPr>
                <w:p w14:paraId="1A34734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0.68</w:t>
                  </w:r>
                </w:p>
              </w:tc>
            </w:tr>
            <w:tr w14:paraId="2B5096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67E893E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1000</w:t>
                  </w:r>
                </w:p>
              </w:tc>
              <w:tc>
                <w:tcPr>
                  <w:tcW w:w="1158" w:type="dxa"/>
                  <w:tcBorders>
                    <w:tl2br w:val="nil"/>
                    <w:tr2bl w:val="nil"/>
                  </w:tcBorders>
                  <w:noWrap w:val="0"/>
                  <w:vAlign w:val="center"/>
                </w:tcPr>
                <w:p w14:paraId="44EA77D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7.07E-03</w:t>
                  </w:r>
                </w:p>
              </w:tc>
              <w:tc>
                <w:tcPr>
                  <w:tcW w:w="1158" w:type="dxa"/>
                  <w:tcBorders>
                    <w:tl2br w:val="nil"/>
                    <w:tr2bl w:val="nil"/>
                  </w:tcBorders>
                  <w:noWrap w:val="0"/>
                  <w:vAlign w:val="center"/>
                </w:tcPr>
                <w:p w14:paraId="497AC10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0.79</w:t>
                  </w:r>
                </w:p>
              </w:tc>
              <w:tc>
                <w:tcPr>
                  <w:tcW w:w="1158" w:type="dxa"/>
                  <w:tcBorders>
                    <w:tl2br w:val="nil"/>
                    <w:tr2bl w:val="nil"/>
                  </w:tcBorders>
                  <w:noWrap w:val="0"/>
                  <w:vAlign w:val="center"/>
                </w:tcPr>
                <w:p w14:paraId="52D65AC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4.51E-03</w:t>
                  </w:r>
                </w:p>
              </w:tc>
              <w:tc>
                <w:tcPr>
                  <w:tcW w:w="1158" w:type="dxa"/>
                  <w:tcBorders>
                    <w:tl2br w:val="nil"/>
                    <w:tr2bl w:val="nil"/>
                  </w:tcBorders>
                  <w:noWrap w:val="0"/>
                  <w:vAlign w:val="center"/>
                </w:tcPr>
                <w:p w14:paraId="70C1B21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1158" w:type="dxa"/>
                  <w:tcBorders>
                    <w:tl2br w:val="nil"/>
                    <w:tr2bl w:val="nil"/>
                  </w:tcBorders>
                  <w:noWrap w:val="0"/>
                  <w:vAlign w:val="center"/>
                </w:tcPr>
                <w:p w14:paraId="7E8A3CAF">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6.58E-03</w:t>
                  </w:r>
                </w:p>
              </w:tc>
              <w:tc>
                <w:tcPr>
                  <w:tcW w:w="1158" w:type="dxa"/>
                  <w:tcBorders>
                    <w:tl2br w:val="nil"/>
                    <w:tr2bl w:val="nil"/>
                  </w:tcBorders>
                  <w:noWrap w:val="0"/>
                  <w:vAlign w:val="center"/>
                </w:tcPr>
                <w:p w14:paraId="0BA46DE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0.73</w:t>
                  </w:r>
                </w:p>
              </w:tc>
              <w:tc>
                <w:tcPr>
                  <w:tcW w:w="1158" w:type="dxa"/>
                  <w:tcBorders>
                    <w:tl2br w:val="nil"/>
                    <w:tr2bl w:val="nil"/>
                  </w:tcBorders>
                  <w:noWrap w:val="0"/>
                  <w:vAlign w:val="center"/>
                </w:tcPr>
                <w:p w14:paraId="72F7567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1.54E-03</w:t>
                  </w:r>
                </w:p>
              </w:tc>
              <w:tc>
                <w:tcPr>
                  <w:tcW w:w="1158" w:type="dxa"/>
                  <w:tcBorders>
                    <w:tl2br w:val="nil"/>
                    <w:tr2bl w:val="nil"/>
                  </w:tcBorders>
                  <w:noWrap w:val="0"/>
                  <w:vAlign w:val="center"/>
                </w:tcPr>
                <w:p w14:paraId="614A55C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0.17</w:t>
                  </w:r>
                </w:p>
              </w:tc>
              <w:tc>
                <w:tcPr>
                  <w:tcW w:w="1158" w:type="dxa"/>
                  <w:tcBorders>
                    <w:tl2br w:val="nil"/>
                    <w:tr2bl w:val="nil"/>
                  </w:tcBorders>
                  <w:noWrap w:val="0"/>
                  <w:vAlign w:val="center"/>
                </w:tcPr>
                <w:p w14:paraId="3D9E435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7.92E-03</w:t>
                  </w:r>
                </w:p>
              </w:tc>
              <w:tc>
                <w:tcPr>
                  <w:tcW w:w="1166" w:type="dxa"/>
                  <w:tcBorders>
                    <w:tl2br w:val="nil"/>
                    <w:tr2bl w:val="nil"/>
                  </w:tcBorders>
                  <w:noWrap w:val="0"/>
                  <w:vAlign w:val="center"/>
                </w:tcPr>
                <w:p w14:paraId="1F0425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0.66</w:t>
                  </w:r>
                </w:p>
              </w:tc>
            </w:tr>
            <w:tr w14:paraId="72386E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4270CD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下风向最大浓度及占标率</w:t>
                  </w:r>
                </w:p>
              </w:tc>
              <w:tc>
                <w:tcPr>
                  <w:tcW w:w="1158" w:type="dxa"/>
                  <w:tcBorders>
                    <w:tl2br w:val="nil"/>
                    <w:tr2bl w:val="nil"/>
                  </w:tcBorders>
                  <w:noWrap w:val="0"/>
                  <w:vAlign w:val="center"/>
                </w:tcPr>
                <w:p w14:paraId="69C08E7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5.40E-02</w:t>
                  </w:r>
                </w:p>
              </w:tc>
              <w:tc>
                <w:tcPr>
                  <w:tcW w:w="1158" w:type="dxa"/>
                  <w:tcBorders>
                    <w:tl2br w:val="nil"/>
                    <w:tr2bl w:val="nil"/>
                  </w:tcBorders>
                  <w:noWrap w:val="0"/>
                  <w:vAlign w:val="center"/>
                </w:tcPr>
                <w:p w14:paraId="41F92CF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w:t>
                  </w:r>
                </w:p>
              </w:tc>
              <w:tc>
                <w:tcPr>
                  <w:tcW w:w="1158" w:type="dxa"/>
                  <w:tcBorders>
                    <w:tl2br w:val="nil"/>
                    <w:tr2bl w:val="nil"/>
                  </w:tcBorders>
                  <w:noWrap w:val="0"/>
                  <w:vAlign w:val="center"/>
                </w:tcPr>
                <w:p w14:paraId="7212E48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4.50E-02</w:t>
                  </w:r>
                </w:p>
              </w:tc>
              <w:tc>
                <w:tcPr>
                  <w:tcW w:w="1158" w:type="dxa"/>
                  <w:tcBorders>
                    <w:tl2br w:val="nil"/>
                    <w:tr2bl w:val="nil"/>
                  </w:tcBorders>
                  <w:noWrap w:val="0"/>
                  <w:vAlign w:val="center"/>
                </w:tcPr>
                <w:p w14:paraId="2AD6007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w:t>
                  </w:r>
                </w:p>
              </w:tc>
              <w:tc>
                <w:tcPr>
                  <w:tcW w:w="1158" w:type="dxa"/>
                  <w:tcBorders>
                    <w:tl2br w:val="nil"/>
                    <w:tr2bl w:val="nil"/>
                  </w:tcBorders>
                  <w:noWrap w:val="0"/>
                  <w:vAlign w:val="center"/>
                </w:tcPr>
                <w:p w14:paraId="02BCEAB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7.29E-02</w:t>
                  </w:r>
                </w:p>
              </w:tc>
              <w:tc>
                <w:tcPr>
                  <w:tcW w:w="1158" w:type="dxa"/>
                  <w:tcBorders>
                    <w:tl2br w:val="nil"/>
                    <w:tr2bl w:val="nil"/>
                  </w:tcBorders>
                  <w:noWrap w:val="0"/>
                  <w:vAlign w:val="center"/>
                </w:tcPr>
                <w:p w14:paraId="10D5463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8.1</w:t>
                  </w:r>
                </w:p>
              </w:tc>
              <w:tc>
                <w:tcPr>
                  <w:tcW w:w="1158" w:type="dxa"/>
                  <w:tcBorders>
                    <w:tl2br w:val="nil"/>
                    <w:tr2bl w:val="nil"/>
                  </w:tcBorders>
                  <w:noWrap w:val="0"/>
                  <w:vAlign w:val="center"/>
                </w:tcPr>
                <w:p w14:paraId="43B2A96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3.04E-02</w:t>
                  </w:r>
                </w:p>
              </w:tc>
              <w:tc>
                <w:tcPr>
                  <w:tcW w:w="1158" w:type="dxa"/>
                  <w:tcBorders>
                    <w:tl2br w:val="nil"/>
                    <w:tr2bl w:val="nil"/>
                  </w:tcBorders>
                  <w:noWrap w:val="0"/>
                  <w:vAlign w:val="center"/>
                </w:tcPr>
                <w:p w14:paraId="289E1BE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3.38</w:t>
                  </w:r>
                </w:p>
              </w:tc>
              <w:tc>
                <w:tcPr>
                  <w:tcW w:w="1158" w:type="dxa"/>
                  <w:tcBorders>
                    <w:tl2br w:val="nil"/>
                    <w:tr2bl w:val="nil"/>
                  </w:tcBorders>
                  <w:noWrap w:val="0"/>
                  <w:vAlign w:val="center"/>
                </w:tcPr>
                <w:p w14:paraId="0EACE4F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7.73E-02</w:t>
                  </w:r>
                </w:p>
              </w:tc>
              <w:tc>
                <w:tcPr>
                  <w:tcW w:w="1166" w:type="dxa"/>
                  <w:tcBorders>
                    <w:tl2br w:val="nil"/>
                    <w:tr2bl w:val="nil"/>
                  </w:tcBorders>
                  <w:noWrap w:val="0"/>
                  <w:vAlign w:val="center"/>
                </w:tcPr>
                <w:p w14:paraId="4D988DF0">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6.44</w:t>
                  </w:r>
                </w:p>
              </w:tc>
            </w:tr>
            <w:tr w14:paraId="7A8ACA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58EE00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最大浓度出现距离</w:t>
                  </w:r>
                </w:p>
              </w:tc>
              <w:tc>
                <w:tcPr>
                  <w:tcW w:w="2316" w:type="dxa"/>
                  <w:gridSpan w:val="2"/>
                  <w:tcBorders>
                    <w:tl2br w:val="nil"/>
                    <w:tr2bl w:val="nil"/>
                  </w:tcBorders>
                  <w:noWrap w:val="0"/>
                  <w:vAlign w:val="center"/>
                </w:tcPr>
                <w:p w14:paraId="13E169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47</w:t>
                  </w:r>
                </w:p>
              </w:tc>
              <w:tc>
                <w:tcPr>
                  <w:tcW w:w="2316" w:type="dxa"/>
                  <w:gridSpan w:val="2"/>
                  <w:tcBorders>
                    <w:tl2br w:val="nil"/>
                    <w:tr2bl w:val="nil"/>
                  </w:tcBorders>
                  <w:noWrap w:val="0"/>
                  <w:vAlign w:val="center"/>
                </w:tcPr>
                <w:p w14:paraId="297674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40</w:t>
                  </w:r>
                </w:p>
              </w:tc>
              <w:tc>
                <w:tcPr>
                  <w:tcW w:w="2316" w:type="dxa"/>
                  <w:gridSpan w:val="2"/>
                  <w:tcBorders>
                    <w:tl2br w:val="nil"/>
                    <w:tr2bl w:val="nil"/>
                  </w:tcBorders>
                  <w:noWrap w:val="0"/>
                  <w:vAlign w:val="center"/>
                </w:tcPr>
                <w:p w14:paraId="2CB343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25</w:t>
                  </w:r>
                </w:p>
              </w:tc>
              <w:tc>
                <w:tcPr>
                  <w:tcW w:w="2316" w:type="dxa"/>
                  <w:gridSpan w:val="2"/>
                  <w:tcBorders>
                    <w:tl2br w:val="nil"/>
                    <w:tr2bl w:val="nil"/>
                  </w:tcBorders>
                  <w:noWrap w:val="0"/>
                  <w:vAlign w:val="center"/>
                </w:tcPr>
                <w:p w14:paraId="4E220A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10</w:t>
                  </w:r>
                </w:p>
              </w:tc>
              <w:tc>
                <w:tcPr>
                  <w:tcW w:w="2324" w:type="dxa"/>
                  <w:gridSpan w:val="2"/>
                  <w:tcBorders>
                    <w:tl2br w:val="nil"/>
                    <w:tr2bl w:val="nil"/>
                  </w:tcBorders>
                  <w:noWrap w:val="0"/>
                  <w:vAlign w:val="center"/>
                </w:tcPr>
                <w:p w14:paraId="26B9D0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57</w:t>
                  </w:r>
                </w:p>
              </w:tc>
            </w:tr>
            <w:tr w14:paraId="5081B2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5" w:type="dxa"/>
                  <w:tcBorders>
                    <w:tl2br w:val="nil"/>
                    <w:tr2bl w:val="nil"/>
                  </w:tcBorders>
                  <w:noWrap w:val="0"/>
                  <w:vAlign w:val="center"/>
                </w:tcPr>
                <w:p w14:paraId="468C34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D10%（m）的最远距离</w:t>
                  </w:r>
                </w:p>
              </w:tc>
              <w:tc>
                <w:tcPr>
                  <w:tcW w:w="2316" w:type="dxa"/>
                  <w:gridSpan w:val="2"/>
                  <w:tcBorders>
                    <w:tl2br w:val="nil"/>
                    <w:tr2bl w:val="nil"/>
                  </w:tcBorders>
                  <w:noWrap w:val="0"/>
                  <w:vAlign w:val="center"/>
                </w:tcPr>
                <w:p w14:paraId="36B017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2316" w:type="dxa"/>
                  <w:gridSpan w:val="2"/>
                  <w:tcBorders>
                    <w:tl2br w:val="nil"/>
                    <w:tr2bl w:val="nil"/>
                  </w:tcBorders>
                  <w:noWrap w:val="0"/>
                  <w:vAlign w:val="center"/>
                </w:tcPr>
                <w:p w14:paraId="68C8C7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2316" w:type="dxa"/>
                  <w:gridSpan w:val="2"/>
                  <w:tcBorders>
                    <w:tl2br w:val="nil"/>
                    <w:tr2bl w:val="nil"/>
                  </w:tcBorders>
                  <w:noWrap w:val="0"/>
                  <w:vAlign w:val="center"/>
                </w:tcPr>
                <w:p w14:paraId="20529C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2316" w:type="dxa"/>
                  <w:gridSpan w:val="2"/>
                  <w:tcBorders>
                    <w:tl2br w:val="nil"/>
                    <w:tr2bl w:val="nil"/>
                  </w:tcBorders>
                  <w:noWrap w:val="0"/>
                  <w:vAlign w:val="center"/>
                </w:tcPr>
                <w:p w14:paraId="077B5D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c>
                <w:tcPr>
                  <w:tcW w:w="2324" w:type="dxa"/>
                  <w:gridSpan w:val="2"/>
                  <w:tcBorders>
                    <w:tl2br w:val="nil"/>
                    <w:tr2bl w:val="nil"/>
                  </w:tcBorders>
                  <w:noWrap w:val="0"/>
                  <w:vAlign w:val="center"/>
                </w:tcPr>
                <w:p w14:paraId="40A209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p>
              </w:tc>
            </w:tr>
          </w:tbl>
          <w:p w14:paraId="344613A0">
            <w:pPr>
              <w:keepNext w:val="0"/>
              <w:keepLines w:val="0"/>
              <w:pageBreakBefore w:val="0"/>
              <w:widowControl w:val="0"/>
              <w:tabs>
                <w:tab w:val="left" w:pos="1825"/>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由预测结果可知：</w:t>
            </w:r>
          </w:p>
          <w:p w14:paraId="1672EC1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项目运营期</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有组织</w:t>
            </w:r>
            <w:r>
              <w:rPr>
                <w:rFonts w:hint="default" w:ascii="Times New Roman" w:hAnsi="Times New Roman" w:cs="Times New Roman"/>
                <w:color w:val="000000" w:themeColor="text1"/>
                <w:kern w:val="0"/>
                <w:sz w:val="24"/>
                <w:szCs w:val="24"/>
                <w:highlight w:val="none"/>
                <w14:textFill>
                  <w14:solidFill>
                    <w14:schemeClr w14:val="tx1"/>
                  </w14:solidFill>
                </w14:textFill>
              </w:rPr>
              <w:t>废气</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颗粒物</w:t>
            </w:r>
            <w:r>
              <w:rPr>
                <w:rFonts w:hint="default" w:ascii="Times New Roman" w:hAnsi="Times New Roman" w:cs="Times New Roman"/>
                <w:color w:val="000000" w:themeColor="text1"/>
                <w:kern w:val="0"/>
                <w:sz w:val="24"/>
                <w:szCs w:val="24"/>
                <w:highlight w:val="none"/>
                <w14:textFill>
                  <w14:solidFill>
                    <w14:schemeClr w14:val="tx1"/>
                  </w14:solidFill>
                </w14:textFill>
              </w:rPr>
              <w:t>最大浓度为</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1.</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25</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×10</w:t>
            </w:r>
            <w:r>
              <w:rPr>
                <w:rFonts w:hint="default" w:ascii="Times New Roman" w:hAnsi="Times New Roman" w:cs="Times New Roman"/>
                <w:color w:val="000000" w:themeColor="text1"/>
                <w:kern w:val="0"/>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kern w:val="0"/>
                <w:sz w:val="24"/>
                <w:szCs w:val="24"/>
                <w:highlight w:val="none"/>
                <w14:textFill>
                  <w14:solidFill>
                    <w14:schemeClr w14:val="tx1"/>
                  </w14:solidFill>
                </w14:textFill>
              </w:rPr>
              <w:t>g/m</w:t>
            </w:r>
            <w:r>
              <w:rPr>
                <w:rFonts w:hint="default" w:ascii="Times New Roman" w:hAnsi="Times New Roman" w:cs="Times New Roman"/>
                <w:color w:val="000000" w:themeColor="text1"/>
                <w:kern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kern w:val="0"/>
                <w:sz w:val="24"/>
                <w:szCs w:val="24"/>
                <w:highlight w:val="none"/>
                <w14:textFill>
                  <w14:solidFill>
                    <w14:schemeClr w14:val="tx1"/>
                  </w14:solidFill>
                </w14:textFill>
              </w:rPr>
              <w:t>，占标率为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0.14</w:t>
            </w:r>
            <w:r>
              <w:rPr>
                <w:rFonts w:hint="default" w:ascii="Times New Roman" w:hAnsi="Times New Roman" w:cs="Times New Roman"/>
                <w:color w:val="000000" w:themeColor="text1"/>
                <w:kern w:val="0"/>
                <w:sz w:val="24"/>
                <w:szCs w:val="24"/>
                <w:highlight w:val="none"/>
                <w14:textFill>
                  <w14:solidFill>
                    <w14:schemeClr w14:val="tx1"/>
                  </w14:solidFill>
                </w14:textFill>
              </w:rPr>
              <w:t>%，出现在下风向</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168</w:t>
            </w:r>
            <w:r>
              <w:rPr>
                <w:rFonts w:hint="default" w:ascii="Times New Roman" w:hAnsi="Times New Roman" w:cs="Times New Roman"/>
                <w:color w:val="000000" w:themeColor="text1"/>
                <w:kern w:val="0"/>
                <w:sz w:val="24"/>
                <w:szCs w:val="24"/>
                <w:highlight w:val="none"/>
                <w14:textFill>
                  <w14:solidFill>
                    <w14:schemeClr w14:val="tx1"/>
                  </w14:solidFill>
                </w14:textFill>
              </w:rPr>
              <w:t>m</w:t>
            </w:r>
            <w:r>
              <w:rPr>
                <w:rFonts w:hint="eastAsia" w:cs="Times New Roman"/>
                <w:color w:val="000000" w:themeColor="text1"/>
                <w:kern w:val="0"/>
                <w:sz w:val="24"/>
                <w:szCs w:val="24"/>
                <w:highlight w:val="none"/>
                <w:lang w:eastAsia="zh-CN"/>
                <w14:textFill>
                  <w14:solidFill>
                    <w14:schemeClr w14:val="tx1"/>
                  </w14:solidFill>
                </w14:textFill>
              </w:rPr>
              <w:t>；</w:t>
            </w:r>
          </w:p>
          <w:p w14:paraId="29EA24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项目运营期无组织</w:t>
            </w:r>
            <w:r>
              <w:rPr>
                <w:rFonts w:hint="default" w:ascii="Times New Roman" w:hAnsi="Times New Roman" w:cs="Times New Roman"/>
                <w:color w:val="000000" w:themeColor="text1"/>
                <w:kern w:val="0"/>
                <w:sz w:val="24"/>
                <w:szCs w:val="24"/>
                <w:highlight w:val="none"/>
                <w14:textFill>
                  <w14:solidFill>
                    <w14:schemeClr w14:val="tx1"/>
                  </w14:solidFill>
                </w14:textFill>
              </w:rPr>
              <w:t>废气</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颗粒物</w:t>
            </w:r>
            <w:r>
              <w:rPr>
                <w:rFonts w:hint="default" w:ascii="Times New Roman" w:hAnsi="Times New Roman" w:cs="Times New Roman"/>
                <w:color w:val="000000" w:themeColor="text1"/>
                <w:kern w:val="0"/>
                <w:sz w:val="24"/>
                <w:szCs w:val="24"/>
                <w:highlight w:val="none"/>
                <w14:textFill>
                  <w14:solidFill>
                    <w14:schemeClr w14:val="tx1"/>
                  </w14:solidFill>
                </w14:textFill>
              </w:rPr>
              <w:t>最大浓度为</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4.50</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×10</w:t>
            </w:r>
            <w:r>
              <w:rPr>
                <w:rFonts w:hint="default" w:ascii="Times New Roman" w:hAnsi="Times New Roman" w:cs="Times New Roman"/>
                <w:color w:val="000000" w:themeColor="text1"/>
                <w:kern w:val="0"/>
                <w:sz w:val="24"/>
                <w:szCs w:val="24"/>
                <w:highlight w:val="none"/>
                <w:vertAlign w:val="superscript"/>
                <w:lang w:val="en-US" w:eastAsia="zh-CN"/>
                <w14:textFill>
                  <w14:solidFill>
                    <w14:schemeClr w14:val="tx1"/>
                  </w14:solidFill>
                </w14:textFill>
              </w:rPr>
              <w:t>-</w:t>
            </w:r>
            <w:r>
              <w:rPr>
                <w:rFonts w:hint="eastAsia" w:ascii="Times New Roman" w:hAnsi="Times New Roman" w:cs="Times New Roman"/>
                <w:color w:val="000000" w:themeColor="text1"/>
                <w:kern w:val="0"/>
                <w:sz w:val="24"/>
                <w:szCs w:val="24"/>
                <w:highlight w:val="none"/>
                <w:vertAlign w:val="superscript"/>
                <w:lang w:val="en-US" w:eastAsia="zh-CN"/>
                <w14:textFill>
                  <w14:solidFill>
                    <w14:schemeClr w14:val="tx1"/>
                  </w14:solidFill>
                </w14:textFill>
              </w:rPr>
              <w:t>2</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kern w:val="0"/>
                <w:sz w:val="24"/>
                <w:szCs w:val="24"/>
                <w:highlight w:val="none"/>
                <w14:textFill>
                  <w14:solidFill>
                    <w14:schemeClr w14:val="tx1"/>
                  </w14:solidFill>
                </w14:textFill>
              </w:rPr>
              <w:t>g/m</w:t>
            </w:r>
            <w:r>
              <w:rPr>
                <w:rFonts w:hint="default" w:ascii="Times New Roman" w:hAnsi="Times New Roman" w:cs="Times New Roman"/>
                <w:color w:val="000000" w:themeColor="text1"/>
                <w:kern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kern w:val="0"/>
                <w:sz w:val="24"/>
                <w:szCs w:val="24"/>
                <w:highlight w:val="none"/>
                <w14:textFill>
                  <w14:solidFill>
                    <w14:schemeClr w14:val="tx1"/>
                  </w14:solidFill>
                </w14:textFill>
              </w:rPr>
              <w:t>，占标率为</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kern w:val="0"/>
                <w:sz w:val="24"/>
                <w:szCs w:val="24"/>
                <w:highlight w:val="none"/>
                <w14:textFill>
                  <w14:solidFill>
                    <w14:schemeClr w14:val="tx1"/>
                  </w14:solidFill>
                </w14:textFill>
              </w:rPr>
              <w:t>%，出现在下风向</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40</w:t>
            </w:r>
            <w:r>
              <w:rPr>
                <w:rFonts w:hint="default" w:ascii="Times New Roman" w:hAnsi="Times New Roman" w:cs="Times New Roman"/>
                <w:color w:val="000000" w:themeColor="text1"/>
                <w:kern w:val="0"/>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14:textFill>
                  <w14:solidFill>
                    <w14:schemeClr w14:val="tx1"/>
                  </w14:solidFill>
                </w14:textFill>
              </w:rPr>
              <w:t>无组织</w:t>
            </w:r>
            <w:r>
              <w:rPr>
                <w:rFonts w:hint="default" w:ascii="Times New Roman" w:hAnsi="Times New Roman" w:cs="Times New Roman"/>
                <w:color w:val="000000" w:themeColor="text1"/>
                <w:kern w:val="0"/>
                <w:sz w:val="24"/>
                <w:szCs w:val="24"/>
                <w:highlight w:val="none"/>
                <w14:textFill>
                  <w14:solidFill>
                    <w14:schemeClr w14:val="tx1"/>
                  </w14:solidFill>
                </w14:textFill>
              </w:rPr>
              <w:t>废气</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非甲烷总烃</w:t>
            </w:r>
            <w:r>
              <w:rPr>
                <w:rFonts w:hint="default" w:ascii="Times New Roman" w:hAnsi="Times New Roman" w:cs="Times New Roman"/>
                <w:color w:val="000000" w:themeColor="text1"/>
                <w:kern w:val="0"/>
                <w:sz w:val="24"/>
                <w:szCs w:val="24"/>
                <w:highlight w:val="none"/>
                <w14:textFill>
                  <w14:solidFill>
                    <w14:schemeClr w14:val="tx1"/>
                  </w14:solidFill>
                </w14:textFill>
              </w:rPr>
              <w:t>最大浓度为</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7.73</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×10</w:t>
            </w:r>
            <w:r>
              <w:rPr>
                <w:rFonts w:hint="default" w:ascii="Times New Roman" w:hAnsi="Times New Roman" w:cs="Times New Roman"/>
                <w:color w:val="000000" w:themeColor="text1"/>
                <w:kern w:val="0"/>
                <w:sz w:val="24"/>
                <w:szCs w:val="24"/>
                <w:highlight w:val="none"/>
                <w:vertAlign w:val="superscript"/>
                <w:lang w:val="en-US" w:eastAsia="zh-CN"/>
                <w14:textFill>
                  <w14:solidFill>
                    <w14:schemeClr w14:val="tx1"/>
                  </w14:solidFill>
                </w14:textFill>
              </w:rPr>
              <w:t>-</w:t>
            </w:r>
            <w:r>
              <w:rPr>
                <w:rFonts w:hint="eastAsia" w:ascii="Times New Roman" w:hAnsi="Times New Roman" w:cs="Times New Roman"/>
                <w:color w:val="000000" w:themeColor="text1"/>
                <w:kern w:val="0"/>
                <w:sz w:val="24"/>
                <w:szCs w:val="24"/>
                <w:highlight w:val="none"/>
                <w:vertAlign w:val="superscript"/>
                <w:lang w:val="en-US" w:eastAsia="zh-CN"/>
                <w14:textFill>
                  <w14:solidFill>
                    <w14:schemeClr w14:val="tx1"/>
                  </w14:solidFill>
                </w14:textFill>
              </w:rPr>
              <w:t>2</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kern w:val="0"/>
                <w:sz w:val="24"/>
                <w:szCs w:val="24"/>
                <w:highlight w:val="none"/>
                <w14:textFill>
                  <w14:solidFill>
                    <w14:schemeClr w14:val="tx1"/>
                  </w14:solidFill>
                </w14:textFill>
              </w:rPr>
              <w:t>g/m</w:t>
            </w:r>
            <w:r>
              <w:rPr>
                <w:rFonts w:hint="default" w:ascii="Times New Roman" w:hAnsi="Times New Roman" w:cs="Times New Roman"/>
                <w:color w:val="000000" w:themeColor="text1"/>
                <w:kern w:val="0"/>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kern w:val="0"/>
                <w:sz w:val="24"/>
                <w:szCs w:val="24"/>
                <w:highlight w:val="none"/>
                <w14:textFill>
                  <w14:solidFill>
                    <w14:schemeClr w14:val="tx1"/>
                  </w14:solidFill>
                </w14:textFill>
              </w:rPr>
              <w:t>，占标率为</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6.44</w:t>
            </w:r>
            <w:r>
              <w:rPr>
                <w:rFonts w:hint="default" w:ascii="Times New Roman" w:hAnsi="Times New Roman" w:cs="Times New Roman"/>
                <w:color w:val="000000" w:themeColor="text1"/>
                <w:kern w:val="0"/>
                <w:sz w:val="24"/>
                <w:szCs w:val="24"/>
                <w:highlight w:val="none"/>
                <w14:textFill>
                  <w14:solidFill>
                    <w14:schemeClr w14:val="tx1"/>
                  </w14:solidFill>
                </w14:textFill>
              </w:rPr>
              <w:t>%，出现在下风向</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57</w:t>
            </w:r>
            <w:r>
              <w:rPr>
                <w:rFonts w:hint="default" w:ascii="Times New Roman" w:hAnsi="Times New Roman" w:cs="Times New Roman"/>
                <w:color w:val="000000" w:themeColor="text1"/>
                <w:kern w:val="0"/>
                <w:sz w:val="24"/>
                <w:szCs w:val="24"/>
                <w:highlight w:val="none"/>
                <w14:textFill>
                  <w14:solidFill>
                    <w14:schemeClr w14:val="tx1"/>
                  </w14:solidFill>
                </w14:textFill>
              </w:rPr>
              <w:t>m</w:t>
            </w:r>
            <w:r>
              <w:rPr>
                <w:rFonts w:hint="eastAsia" w:ascii="Times New Roman" w:hAnsi="Times New Roman" w:cs="Times New Roman"/>
                <w:color w:val="000000" w:themeColor="text1"/>
                <w:kern w:val="0"/>
                <w:sz w:val="24"/>
                <w:szCs w:val="24"/>
                <w:highlight w:val="none"/>
                <w:lang w:eastAsia="zh-CN"/>
                <w14:textFill>
                  <w14:solidFill>
                    <w14:schemeClr w14:val="tx1"/>
                  </w14:solidFill>
                </w14:textFill>
              </w:rPr>
              <w:t>。</w:t>
            </w:r>
          </w:p>
          <w:p w14:paraId="5C0E9314">
            <w:pPr>
              <w:keepNext w:val="0"/>
              <w:keepLines w:val="0"/>
              <w:pageBreakBefore w:val="0"/>
              <w:widowControl w:val="0"/>
              <w:tabs>
                <w:tab w:val="left" w:pos="1825"/>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项目废气最大地面浓度占标率为</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无</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组织P</w:t>
            </w:r>
            <w:r>
              <w:rPr>
                <w:rFonts w:hint="eastAsia" w:ascii="Times New Roman" w:hAnsi="Times New Roman" w:cs="Times New Roman"/>
                <w:color w:val="000000" w:themeColor="text1"/>
                <w:kern w:val="0"/>
                <w:sz w:val="24"/>
                <w:szCs w:val="24"/>
                <w:highlight w:val="none"/>
                <w:vertAlign w:val="subscript"/>
                <w:lang w:val="en-US" w:eastAsia="zh-CN"/>
                <w14:textFill>
                  <w14:solidFill>
                    <w14:schemeClr w14:val="tx1"/>
                  </w14:solidFill>
                </w14:textFill>
              </w:rPr>
              <w:t>非甲烷总烃</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（1%＜P</w:t>
            </w:r>
            <w:r>
              <w:rPr>
                <w:rFonts w:hint="eastAsia" w:ascii="Times New Roman" w:hAnsi="Times New Roman" w:cs="Times New Roman"/>
                <w:color w:val="000000" w:themeColor="text1"/>
                <w:kern w:val="0"/>
                <w:sz w:val="24"/>
                <w:szCs w:val="24"/>
                <w:highlight w:val="none"/>
                <w:vertAlign w:val="subscript"/>
                <w:lang w:val="en-US" w:eastAsia="zh-CN"/>
                <w14:textFill>
                  <w14:solidFill>
                    <w14:schemeClr w14:val="tx1"/>
                  </w14:solidFill>
                </w14:textFill>
              </w:rPr>
              <w:t>非甲烷总烃</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6.44</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%＜10%），根据导则中评价工作等级的判定依据，环境空气影响评价等级确定为二级评价。</w:t>
            </w:r>
          </w:p>
          <w:p w14:paraId="7A33D69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根据估算模型AERSCREEN预测结果，本项目运营期无组织排放的各污染物最大落地浓度均满足相应标准限值要求：厂界无组织TSP、非甲烷总烃周界外浓度最高点满足《大气污染物综合排放标准》（GB16297-1996）表2二级标准限值（分别为1.0mg/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和4.0mg/m</w:t>
            </w:r>
            <w:r>
              <w:rPr>
                <w:rFonts w:hint="eastAsia"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）。各无组织面源排放均能达标排放，对周边大气环境影响可接受。</w:t>
            </w:r>
          </w:p>
          <w:p w14:paraId="0CB76F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根据表3-3主要环境保护目标，本项目大气主要环境保护目</w:t>
            </w:r>
            <w:r>
              <w:rPr>
                <w:rFonts w:hint="eastAsia" w:ascii="Times New Roman" w:hAnsi="Times New Roman" w:cs="Times New Roman"/>
                <w:color w:val="000000" w:themeColor="text1"/>
                <w:kern w:val="0"/>
                <w:sz w:val="24"/>
                <w:highlight w:val="none"/>
                <w:lang w:val="en-US" w:eastAsia="zh-CN"/>
                <w14:textFill>
                  <w14:solidFill>
                    <w14:schemeClr w14:val="tx1"/>
                  </w14:solidFill>
                </w14:textFill>
              </w:rPr>
              <w:t>标为厂址北侧105~535m的红柳塘村四队、厂址西侧15~155m的新疆元鲜记食品科技有限公司；</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但根据上述预测结果，项目主要废气污染物颗粒物、</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NMHC</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污染物浓度数量级为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9</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，均满足相应标准，</w:t>
            </w:r>
            <w:r>
              <w:rPr>
                <w:rFonts w:hint="eastAsia" w:cs="Times New Roman"/>
                <w:color w:val="000000" w:themeColor="text1"/>
                <w:sz w:val="24"/>
                <w:szCs w:val="24"/>
                <w:highlight w:val="none"/>
                <w:lang w:val="en-US" w:eastAsia="zh-CN"/>
                <w14:textFill>
                  <w14:solidFill>
                    <w14:schemeClr w14:val="tx1"/>
                  </w14:solidFill>
                </w14:textFill>
              </w:rPr>
              <w:t>且与</w:t>
            </w:r>
            <w:r>
              <w:rPr>
                <w:rFonts w:hint="eastAsia" w:ascii="Times New Roman" w:hAnsi="Times New Roman" w:cs="Times New Roman"/>
                <w:color w:val="000000" w:themeColor="text1"/>
                <w:kern w:val="0"/>
                <w:sz w:val="24"/>
                <w:highlight w:val="none"/>
                <w:lang w:val="en-US" w:eastAsia="zh-CN"/>
                <w14:textFill>
                  <w14:solidFill>
                    <w14:schemeClr w14:val="tx1"/>
                  </w14:solidFill>
                </w14:textFill>
              </w:rPr>
              <w:t>新疆元鲜记食品科技有限公司</w:t>
            </w:r>
            <w:r>
              <w:rPr>
                <w:rFonts w:hint="eastAsia" w:cs="Times New Roman"/>
                <w:color w:val="000000" w:themeColor="text1"/>
                <w:kern w:val="0"/>
                <w:sz w:val="24"/>
                <w:highlight w:val="none"/>
                <w:lang w:val="en-US" w:eastAsia="zh-CN"/>
                <w14:textFill>
                  <w14:solidFill>
                    <w14:schemeClr w14:val="tx1"/>
                  </w14:solidFill>
                </w14:textFill>
              </w:rPr>
              <w:t>错峰生产，</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因此，</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本项目</w:t>
            </w:r>
            <w:r>
              <w:rPr>
                <w:rFonts w:hint="eastAsia" w:ascii="Times New Roman" w:hAnsi="Times New Roman" w:cs="Times New Roman"/>
                <w:color w:val="000000" w:themeColor="text1"/>
                <w:kern w:val="0"/>
                <w:sz w:val="24"/>
                <w:highlight w:val="none"/>
                <w:lang w:val="en-US" w:eastAsia="zh-CN"/>
                <w14:textFill>
                  <w14:solidFill>
                    <w14:schemeClr w14:val="tx1"/>
                  </w14:solidFill>
                </w14:textFill>
              </w:rPr>
              <w:t>主要废气污染物</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对</w:t>
            </w:r>
            <w:r>
              <w:rPr>
                <w:rFonts w:hint="eastAsia" w:ascii="Times New Roman" w:hAnsi="Times New Roman" w:cs="Times New Roman"/>
                <w:color w:val="000000" w:themeColor="text1"/>
                <w:kern w:val="0"/>
                <w:sz w:val="24"/>
                <w:highlight w:val="none"/>
                <w:lang w:val="en-US" w:eastAsia="zh-CN"/>
                <w14:textFill>
                  <w14:solidFill>
                    <w14:schemeClr w14:val="tx1"/>
                  </w14:solidFill>
                </w14:textFill>
              </w:rPr>
              <w:t>敏感目标影响</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较小。</w:t>
            </w:r>
          </w:p>
          <w:p w14:paraId="498676C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kern w:val="0"/>
                <w:sz w:val="24"/>
                <w:highlight w:val="none"/>
                <w:lang w:val="en-US" w:eastAsia="zh-CN"/>
                <w14:textFill>
                  <w14:solidFill>
                    <w14:schemeClr w14:val="tx1"/>
                  </w14:solidFill>
                </w14:textFill>
              </w:rPr>
            </w:pPr>
          </w:p>
          <w:p w14:paraId="36818BD1">
            <w:pPr>
              <w:tabs>
                <w:tab w:val="left" w:pos="5109"/>
              </w:tabs>
              <w:bidi w:val="0"/>
              <w:jc w:val="left"/>
              <w:rPr>
                <w:rFonts w:hint="eastAsia" w:eastAsia="宋体"/>
                <w:color w:val="000000" w:themeColor="text1"/>
                <w:lang w:eastAsia="zh-CN"/>
                <w14:textFill>
                  <w14:solidFill>
                    <w14:schemeClr w14:val="tx1"/>
                  </w14:solidFill>
                </w14:textFill>
              </w:rPr>
            </w:pPr>
          </w:p>
        </w:tc>
      </w:tr>
    </w:tbl>
    <w:p w14:paraId="4B8F17D6">
      <w:pPr>
        <w:pStyle w:val="21"/>
        <w:rPr>
          <w:rFonts w:hint="default"/>
          <w:color w:val="000000" w:themeColor="text1"/>
          <w14:textFill>
            <w14:solidFill>
              <w14:schemeClr w14:val="tx1"/>
            </w14:solidFill>
          </w14:textFill>
        </w:rPr>
        <w:sectPr>
          <w:pgSz w:w="16840" w:h="11907" w:orient="landscape"/>
          <w:pgMar w:top="1531" w:right="1701" w:bottom="1531" w:left="212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011923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10" w:hRule="atLeast"/>
          <w:jc w:val="center"/>
        </w:trPr>
        <w:tc>
          <w:tcPr>
            <w:tcW w:w="746" w:type="dxa"/>
            <w:noWrap w:val="0"/>
            <w:tcMar>
              <w:left w:w="28" w:type="dxa"/>
              <w:right w:w="28" w:type="dxa"/>
            </w:tcMar>
            <w:vAlign w:val="center"/>
          </w:tcPr>
          <w:p w14:paraId="2413E78A">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运营</w:t>
            </w:r>
          </w:p>
          <w:p w14:paraId="2F42D6A4">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期环</w:t>
            </w:r>
          </w:p>
          <w:p w14:paraId="508618F8">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境影</w:t>
            </w:r>
          </w:p>
          <w:p w14:paraId="79D9C208">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响和</w:t>
            </w:r>
          </w:p>
          <w:p w14:paraId="782C807F">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保护</w:t>
            </w:r>
          </w:p>
          <w:p w14:paraId="388E64C3">
            <w:pPr>
              <w:adjustRightInd w:val="0"/>
              <w:snapToGrid w:val="0"/>
              <w:jc w:val="center"/>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措施</w:t>
            </w:r>
          </w:p>
        </w:tc>
        <w:tc>
          <w:tcPr>
            <w:tcW w:w="8162" w:type="dxa"/>
            <w:noWrap w:val="0"/>
            <w:vAlign w:val="center"/>
          </w:tcPr>
          <w:p w14:paraId="0A74EA4F">
            <w:pPr>
              <w:pStyle w:val="78"/>
              <w:ind w:left="0" w:leftChars="0" w:firstLine="482" w:firstLineChars="200"/>
              <w:rPr>
                <w:rFonts w:hint="default" w:ascii="Times New Roman" w:hAnsi="Times New Roman" w:eastAsia="宋体" w:cs="Times New Roman"/>
                <w:b/>
                <w:bCs/>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Cs w:val="24"/>
                <w:highlight w:val="none"/>
                <w:lang w:val="en-US" w:eastAsia="zh-CN"/>
                <w14:textFill>
                  <w14:solidFill>
                    <w14:schemeClr w14:val="tx1"/>
                  </w14:solidFill>
                </w14:textFill>
              </w:rPr>
              <w:t>1.4大气环境防护距离</w:t>
            </w:r>
          </w:p>
          <w:p w14:paraId="5FC4CBA6">
            <w:pPr>
              <w:pStyle w:val="3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根据《环境影响评价技术导则大气环境》（HJ2.2-2018）中的相关规定：</w:t>
            </w:r>
          </w:p>
          <w:p w14:paraId="0773B8F0">
            <w:pPr>
              <w:pStyle w:val="39"/>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对于项目厂界浓度满足大气污染物厂界浓度限值，但厂界外大气污染物短期贡献浓度超过环境质量浓度限值的，可以自厂界向外设置一定范围的大气环境防护距离，以确保大气环境防护区域外的污染物贡献浓度满足环境质量标准；</w:t>
            </w:r>
          </w:p>
          <w:p w14:paraId="4F3918EC">
            <w:pPr>
              <w:pStyle w:val="39"/>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对于项目厂界浓度超过大气污染物厂界浓度限值的，应要求削减排放源强或调整工程布局，待满足厂界浓度限值后，再核算大气环境防护距离。</w:t>
            </w:r>
          </w:p>
          <w:p w14:paraId="409A9F6C">
            <w:pPr>
              <w:pStyle w:val="3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由</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上述预测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可知，本项目废气污染物地面浓度占标率</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为</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无</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组织P</w:t>
            </w:r>
            <w:r>
              <w:rPr>
                <w:rFonts w:hint="eastAsia" w:ascii="Times New Roman" w:hAnsi="Times New Roman" w:cs="Times New Roman"/>
                <w:color w:val="000000" w:themeColor="text1"/>
                <w:kern w:val="0"/>
                <w:sz w:val="24"/>
                <w:szCs w:val="24"/>
                <w:highlight w:val="none"/>
                <w:vertAlign w:val="subscript"/>
                <w:lang w:val="en-US" w:eastAsia="zh-CN"/>
                <w14:textFill>
                  <w14:solidFill>
                    <w14:schemeClr w14:val="tx1"/>
                  </w14:solidFill>
                </w14:textFill>
              </w:rPr>
              <w:t>非甲烷总烃</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（1%＜P</w:t>
            </w:r>
            <w:r>
              <w:rPr>
                <w:rFonts w:hint="eastAsia" w:ascii="Times New Roman" w:hAnsi="Times New Roman" w:cs="Times New Roman"/>
                <w:color w:val="000000" w:themeColor="text1"/>
                <w:kern w:val="0"/>
                <w:sz w:val="24"/>
                <w:szCs w:val="24"/>
                <w:highlight w:val="none"/>
                <w:vertAlign w:val="subscript"/>
                <w:lang w:val="en-US" w:eastAsia="zh-CN"/>
                <w14:textFill>
                  <w14:solidFill>
                    <w14:schemeClr w14:val="tx1"/>
                  </w14:solidFill>
                </w14:textFill>
              </w:rPr>
              <w:t>非甲烷总烃</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6.44</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%＜10%）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，即项目废气污染物短期最大贡献浓度小于环境质量浓度限值，不属于上述需要设置大气环境防护距离的情况，故本项目无需设置大气环境防护距离。</w:t>
            </w:r>
          </w:p>
          <w:p w14:paraId="2336D045">
            <w:pPr>
              <w:pStyle w:val="78"/>
              <w:ind w:left="0" w:leftChars="0" w:firstLine="482" w:firstLineChars="200"/>
              <w:rPr>
                <w:rFonts w:hint="default" w:ascii="Times New Roman" w:hAnsi="Times New Roman" w:eastAsia="宋体" w:cs="Times New Roman"/>
                <w:b/>
                <w:bCs/>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Cs w:val="24"/>
                <w:highlight w:val="none"/>
                <w:lang w:val="en-US" w:eastAsia="zh-CN"/>
                <w14:textFill>
                  <w14:solidFill>
                    <w14:schemeClr w14:val="tx1"/>
                  </w14:solidFill>
                </w14:textFill>
              </w:rPr>
              <w:t>1.5</w:t>
            </w:r>
            <w:r>
              <w:rPr>
                <w:rFonts w:hint="default" w:ascii="Times New Roman" w:hAnsi="Times New Roman" w:eastAsia="宋体" w:cs="Times New Roman"/>
                <w:b/>
                <w:bCs/>
                <w:color w:val="000000" w:themeColor="text1"/>
                <w:kern w:val="0"/>
                <w:szCs w:val="24"/>
                <w:highlight w:val="none"/>
                <w:lang w:val="en-US" w:eastAsia="zh-CN"/>
                <w14:textFill>
                  <w14:solidFill>
                    <w14:schemeClr w14:val="tx1"/>
                  </w14:solidFill>
                </w14:textFill>
              </w:rPr>
              <w:t>废气污染防治措施可行性分析</w:t>
            </w:r>
          </w:p>
          <w:p w14:paraId="40DB6B15">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（1）有组织废气</w:t>
            </w:r>
          </w:p>
          <w:p w14:paraId="55689106">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宋体" w:hAnsi="宋体" w:eastAsia="宋体" w:cs="宋体"/>
                <w:color w:val="000000" w:themeColor="text1"/>
                <w:spacing w:val="2"/>
                <w:kern w:val="2"/>
                <w:sz w:val="24"/>
                <w:szCs w:val="24"/>
                <w:lang w:val="en-US" w:eastAsia="zh-CN" w:bidi="ar-SA"/>
                <w14:textFill>
                  <w14:solidFill>
                    <w14:schemeClr w14:val="tx1"/>
                  </w14:solidFill>
                </w14:textFill>
              </w:rPr>
              <w:t>①</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农林秸秆废弃物破碎</w:t>
            </w:r>
            <w:r>
              <w:rPr>
                <w:rFonts w:hint="eastAsia" w:cs="Times New Roman"/>
                <w:color w:val="000000" w:themeColor="text1"/>
                <w:spacing w:val="2"/>
                <w:kern w:val="2"/>
                <w:sz w:val="24"/>
                <w:szCs w:val="24"/>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、炭块粉碎、有机肥（筛分、造粒、灌装）</w:t>
            </w:r>
            <w:r>
              <w:rPr>
                <w:rFonts w:hint="eastAsia" w:cs="Times New Roman"/>
                <w:color w:val="000000" w:themeColor="text1"/>
                <w:spacing w:val="2"/>
                <w:kern w:val="2"/>
                <w:sz w:val="24"/>
                <w:szCs w:val="24"/>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、炭化炉秸秆下料</w:t>
            </w:r>
            <w:r>
              <w:rPr>
                <w:rFonts w:hint="eastAsia" w:cs="Times New Roman"/>
                <w:color w:val="000000" w:themeColor="text1"/>
                <w:spacing w:val="2"/>
                <w:kern w:val="2"/>
                <w:sz w:val="24"/>
                <w:szCs w:val="24"/>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防治可行性分析</w:t>
            </w:r>
          </w:p>
          <w:p w14:paraId="4F5AF552">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8" w:firstLineChars="200"/>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农林秸秆废弃物破碎</w:t>
            </w:r>
            <w:r>
              <w:rPr>
                <w:rFonts w:hint="eastAsia" w:cs="Times New Roman"/>
                <w:color w:val="000000" w:themeColor="text1"/>
                <w:spacing w:val="2"/>
                <w:kern w:val="2"/>
                <w:sz w:val="24"/>
                <w:szCs w:val="24"/>
                <w:lang w:val="en-US" w:eastAsia="zh-CN" w:bidi="ar-SA"/>
                <w14:textFill>
                  <w14:solidFill>
                    <w14:schemeClr w14:val="tx1"/>
                  </w14:solidFill>
                </w14:textFill>
              </w:rPr>
              <w:t>颗粒物</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采用</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“集气罩+袋式除尘器”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净化处理后的废气经15m</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（DA001）</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高排气筒排放</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56B8F497">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8" w:firstLineChars="200"/>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炭块粉碎、有机肥（筛分、造粒、灌装）</w:t>
            </w:r>
            <w:r>
              <w:rPr>
                <w:rFonts w:hint="eastAsia" w:cs="Times New Roman"/>
                <w:color w:val="000000" w:themeColor="text1"/>
                <w:spacing w:val="2"/>
                <w:kern w:val="2"/>
                <w:sz w:val="24"/>
                <w:szCs w:val="24"/>
                <w:lang w:val="en-US" w:eastAsia="zh-CN" w:bidi="ar-SA"/>
                <w14:textFill>
                  <w14:solidFill>
                    <w14:schemeClr w14:val="tx1"/>
                  </w14:solidFill>
                </w14:textFill>
              </w:rPr>
              <w:t>颗粒物</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采用</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“集气罩+袋式除尘器”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净化处理后的废气经15m</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（DA002）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高排气筒排放</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50B559C8">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8" w:firstLineChars="200"/>
              <w:textAlignment w:val="auto"/>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炭化炉秸秆下料</w:t>
            </w:r>
            <w:r>
              <w:rPr>
                <w:rFonts w:hint="eastAsia" w:cs="Times New Roman"/>
                <w:color w:val="000000" w:themeColor="text1"/>
                <w:spacing w:val="2"/>
                <w:kern w:val="2"/>
                <w:sz w:val="24"/>
                <w:szCs w:val="24"/>
                <w:lang w:val="en-US" w:eastAsia="zh-CN" w:bidi="ar-SA"/>
                <w14:textFill>
                  <w14:solidFill>
                    <w14:schemeClr w14:val="tx1"/>
                  </w14:solidFill>
                </w14:textFill>
              </w:rPr>
              <w:t>颗粒物</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采用</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“集气罩+袋式除尘器”</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净化处理后的废气经15m</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（DA003）</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高排气筒排放</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w:t>
            </w:r>
          </w:p>
          <w:p w14:paraId="7A289DAE">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textAlignment w:val="auto"/>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DA001</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DA003废气（颗粒物）治理措施为袋式除尘</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法，排气筒均为15m，属于</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《排污许可证申请与核发技术规范磷肥、钾肥、复混肥料、有机肥料及微生物肥料工业》（HJ 864.2-2018）表15</w:t>
            </w: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中推荐</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措施；</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排气筒</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高度满足《大气污染物综合排放标准》（GB16297-1996）中要求。</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属于技术可行。</w:t>
            </w:r>
          </w:p>
          <w:p w14:paraId="10703380">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宋体" w:hAnsi="宋体" w:eastAsia="宋体" w:cs="宋体"/>
                <w:color w:val="000000" w:themeColor="text1"/>
                <w:spacing w:val="2"/>
                <w:kern w:val="2"/>
                <w:sz w:val="24"/>
                <w:szCs w:val="24"/>
                <w:lang w:val="en-US" w:eastAsia="zh-CN" w:bidi="ar-SA"/>
                <w14:textFill>
                  <w14:solidFill>
                    <w14:schemeClr w14:val="tx1"/>
                  </w14:solidFill>
                </w14:textFill>
              </w:rPr>
              <w:t>②</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热风炉废气防治可行性分析</w:t>
            </w:r>
          </w:p>
          <w:p w14:paraId="45BCB9E3">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8" w:firstLineChars="200"/>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本项目热风炉废气采用“静电式除尘器”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净化处理后的废气经15m</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（DA004）</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高排气筒排放</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50EB104B">
            <w:pPr>
              <w:pStyle w:val="78"/>
              <w:ind w:left="0" w:leftChars="0" w:firstLine="488" w:firstLineChars="200"/>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项目热风炉燃料为冷凝后的洁净木煤气，属低硫燃料；废气</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处理后颗粒物</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、二氧化硫、氮氧化物均满足《新疆维吾尔自治区工业炉窑大气污染综合治理实施方案》（新大气发〔2019〕127号）中重点区域工业炉窑大气排放浓度限值。</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属于技术可行。</w:t>
            </w:r>
          </w:p>
          <w:p w14:paraId="1A193BD3">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（2）无组织废气</w:t>
            </w:r>
          </w:p>
          <w:p w14:paraId="41B7DD07">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①炭化车间及固体肥车间</w:t>
            </w:r>
            <w:r>
              <w:rPr>
                <w:rFonts w:hint="eastAsia" w:cs="Times New Roman"/>
                <w:color w:val="000000" w:themeColor="text1"/>
                <w:spacing w:val="2"/>
                <w:kern w:val="2"/>
                <w:sz w:val="24"/>
                <w:szCs w:val="24"/>
                <w:lang w:val="en-US" w:eastAsia="zh-CN" w:bidi="ar-SA"/>
                <w14:textFill>
                  <w14:solidFill>
                    <w14:schemeClr w14:val="tx1"/>
                  </w14:solidFill>
                </w14:textFill>
              </w:rPr>
              <w:t>等</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未收集到的逸散的</w:t>
            </w:r>
            <w:r>
              <w:rPr>
                <w:rFonts w:hint="eastAsia" w:cs="Times New Roman"/>
                <w:color w:val="000000" w:themeColor="text1"/>
                <w:spacing w:val="2"/>
                <w:kern w:val="2"/>
                <w:sz w:val="24"/>
                <w:szCs w:val="24"/>
                <w:lang w:val="en-US" w:eastAsia="zh-CN" w:bidi="ar-SA"/>
                <w14:textFill>
                  <w14:solidFill>
                    <w14:schemeClr w14:val="tx1"/>
                  </w14:solidFill>
                </w14:textFill>
              </w:rPr>
              <w:t>颗粒物</w:t>
            </w:r>
          </w:p>
          <w:p w14:paraId="51DA51C3">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炭化车间及固体肥车间未收集到的逸散的粉尘为无组织排放，从设备设计及安装、生产中做好日常设备维护管理、加强操作管理、厂房密闭等方面采取有效措施，加强有组织收集，尽最大可能减少无组织排放。</w:t>
            </w:r>
          </w:p>
          <w:p w14:paraId="6275CA92">
            <w:pPr>
              <w:pStyle w:val="78"/>
              <w:ind w:left="0" w:leftChars="0" w:firstLine="488" w:firstLineChars="200"/>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②炭化炉炭化</w:t>
            </w:r>
            <w:r>
              <w:rPr>
                <w:rFonts w:hint="eastAsia" w:cs="Times New Roman"/>
                <w:color w:val="000000" w:themeColor="text1"/>
                <w:spacing w:val="2"/>
                <w:kern w:val="2"/>
                <w:sz w:val="24"/>
                <w:szCs w:val="24"/>
                <w:lang w:val="en-US" w:eastAsia="zh-CN" w:bidi="ar-SA"/>
                <w14:textFill>
                  <w14:solidFill>
                    <w14:schemeClr w14:val="tx1"/>
                  </w14:solidFill>
                </w14:textFill>
              </w:rPr>
              <w:t>及出碳</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、双膜储气柜逸散废气</w:t>
            </w:r>
          </w:p>
          <w:p w14:paraId="6E057260">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炭化炉出料口、炭块密闭输送管道全程设置负压收集系统，炭块从炭化炉排出后在密闭通道内输送，出料口、缓冲仓、输送管道各点位均保持微负压状态，出料过程产生的含可燃组分废气统一负压收集；</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炭化炉和双膜储气柜之间为负压收集，生产中做好日常设备维护管理，使系统间始终保持负压收集状态；双膜储气柜小呼吸废气通过管道引入热风炉燃烧处理，大呼吸废气在装卸料时通过快速接头密闭收集，一并引入燃烧系统焚烧处置。炭化工序产生的木煤气、木焦油及木醋液混合气体经冷凝分离后，可燃气体进入双膜储气柜暂存，储气柜采用全密闭结构，配备自动调压装置和安全放散阀，正常运行时无组织逸散量极少，仅设备检修、异常工况下可能有极少量废气以无组织形式逸散，通过加强设备密封、定期巡检、设置可燃气体报警装置等措施，可有效控制无组织排放。</w:t>
            </w:r>
          </w:p>
          <w:p w14:paraId="4F0C13E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8" w:firstLineChars="200"/>
              <w:jc w:val="left"/>
              <w:textAlignment w:val="auto"/>
              <w:rPr>
                <w:rFonts w:hint="default" w:ascii="Times New Roman" w:hAnsi="Times New Roman" w:eastAsia="宋体" w:cs="Times New Roman"/>
                <w:b w:val="0"/>
                <w:b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spacing w:val="2"/>
                <w:kern w:val="2"/>
                <w:sz w:val="24"/>
                <w:szCs w:val="24"/>
                <w:lang w:val="en-US" w:eastAsia="zh-CN" w:bidi="ar-SA"/>
                <w14:textFill>
                  <w14:solidFill>
                    <w14:schemeClr w14:val="tx1"/>
                  </w14:solidFill>
                </w14:textFill>
              </w:rPr>
              <w:t>③</w:t>
            </w:r>
            <w:r>
              <w:rPr>
                <w:rFonts w:hint="eastAsia" w:cs="Times New Roman"/>
                <w:b w:val="0"/>
                <w:bCs w:val="0"/>
                <w:color w:val="000000" w:themeColor="text1"/>
                <w:kern w:val="0"/>
                <w:sz w:val="24"/>
                <w:szCs w:val="24"/>
                <w:lang w:val="en-US" w:eastAsia="zh-CN" w:bidi="ar"/>
                <w14:textFill>
                  <w14:solidFill>
                    <w14:schemeClr w14:val="tx1"/>
                  </w14:solidFill>
                </w14:textFill>
              </w:rPr>
              <w:t>氢氧化钙烘干逸散的颗粒物</w:t>
            </w:r>
          </w:p>
          <w:p w14:paraId="086BC361">
            <w:pPr>
              <w:pStyle w:val="78"/>
              <w:ind w:left="0" w:leftChars="0" w:firstLine="480" w:firstLineChars="200"/>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eastAsia" w:cs="Times New Roman"/>
                <w:b w:val="0"/>
                <w:bCs w:val="0"/>
                <w:color w:val="000000" w:themeColor="text1"/>
                <w:kern w:val="0"/>
                <w:sz w:val="24"/>
                <w:szCs w:val="24"/>
                <w:lang w:val="en-US" w:eastAsia="zh-CN" w:bidi="ar"/>
                <w14:textFill>
                  <w14:solidFill>
                    <w14:schemeClr w14:val="tx1"/>
                  </w14:solidFill>
                </w14:textFill>
              </w:rPr>
              <w:t>氢氧化钙烘</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干工序为填充封闭式（留有呼吸口），且位于封闭车间内，可有效控制无组织排放；</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项目采用套管式储热热风炉，内层为燃烧炉，外层为填充室。填充室内封闭填装固体氢氧化钙，利用其分解储热原理制备氧化钙（生石灰）。</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填充室预留呼吸口，用于排出氢氧化钙分解产生的水蒸气，该呼吸口独立设置，确保水蒸气不进入热风炉内层，从而避免蒸汽对燃烧及换热效率产生不良影响。通过此套管结构设计，实现了燃烧供热与介质储热的功能分区，保证工艺连续性与操作安全性</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。因此，</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水蒸气</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不进入静电除尘器，不会对治理设施造成的影响。</w:t>
            </w:r>
          </w:p>
          <w:p w14:paraId="720D762C">
            <w:pPr>
              <w:pStyle w:val="78"/>
              <w:ind w:left="0" w:leftChars="0" w:firstLine="488" w:firstLineChars="200"/>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宋体" w:hAnsi="宋体" w:eastAsia="宋体" w:cs="宋体"/>
                <w:color w:val="000000" w:themeColor="text1"/>
                <w:spacing w:val="2"/>
                <w:kern w:val="2"/>
                <w:sz w:val="24"/>
                <w:szCs w:val="24"/>
                <w:lang w:val="en-US" w:eastAsia="zh-CN" w:bidi="ar-SA"/>
                <w14:textFill>
                  <w14:solidFill>
                    <w14:schemeClr w14:val="tx1"/>
                  </w14:solidFill>
                </w14:textFill>
              </w:rPr>
              <w:t>④</w:t>
            </w:r>
            <w:r>
              <w:rPr>
                <w:rFonts w:hint="eastAsia" w:cs="Times New Roman"/>
                <w:color w:val="000000" w:themeColor="text1"/>
                <w:sz w:val="24"/>
                <w:highlight w:val="none"/>
                <w:lang w:val="en-US" w:eastAsia="zh-CN"/>
                <w14:textFill>
                  <w14:solidFill>
                    <w14:schemeClr w14:val="tx1"/>
                  </w14:solidFill>
                </w14:textFill>
              </w:rPr>
              <w:t>生石灰（氧化钙）包装和装运逸散的颗粒物</w:t>
            </w:r>
          </w:p>
          <w:p w14:paraId="7DDD4271">
            <w:pPr>
              <w:pStyle w:val="78"/>
              <w:ind w:left="0" w:leftChars="0" w:firstLine="480" w:firstLineChars="200"/>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bCs/>
                <w:color w:val="000000" w:themeColor="text1"/>
                <w:sz w:val="24"/>
                <w:u w:val="none" w:color="auto"/>
                <w:lang w:val="en-US" w:eastAsia="zh-CN"/>
                <w14:textFill>
                  <w14:solidFill>
                    <w14:schemeClr w14:val="tx1"/>
                  </w14:solidFill>
                </w14:textFill>
              </w:rPr>
              <w:t>本项目石灰石</w:t>
            </w:r>
            <w:r>
              <w:rPr>
                <w:rFonts w:hint="eastAsia" w:ascii="Times New Roman" w:hAnsi="Times New Roman" w:cs="Times New Roman"/>
                <w:bCs/>
                <w:color w:val="000000" w:themeColor="text1"/>
                <w:sz w:val="24"/>
                <w:u w:val="none" w:color="auto"/>
                <w:lang w:val="en-US" w:eastAsia="zh-CN"/>
                <w14:textFill>
                  <w14:solidFill>
                    <w14:schemeClr w14:val="tx1"/>
                  </w14:solidFill>
                </w14:textFill>
              </w:rPr>
              <w:t>（</w:t>
            </w:r>
            <w:r>
              <w:rPr>
                <w:rFonts w:hint="eastAsia" w:ascii="Times New Roman" w:hAnsi="Times New Roman" w:eastAsia="宋体" w:cs="Times New Roman"/>
                <w:bCs/>
                <w:color w:val="000000" w:themeColor="text1"/>
                <w:sz w:val="24"/>
                <w:u w:val="none" w:color="auto"/>
                <w:lang w:val="en-US" w:eastAsia="zh-CN"/>
                <w14:textFill>
                  <w14:solidFill>
                    <w14:schemeClr w14:val="tx1"/>
                  </w14:solidFill>
                </w14:textFill>
              </w:rPr>
              <w:t>氧化钙</w:t>
            </w:r>
            <w:r>
              <w:rPr>
                <w:rFonts w:hint="eastAsia" w:ascii="Times New Roman" w:hAnsi="Times New Roman" w:cs="Times New Roman"/>
                <w:bCs/>
                <w:color w:val="000000" w:themeColor="text1"/>
                <w:sz w:val="24"/>
                <w:u w:val="none" w:color="auto"/>
                <w:lang w:val="en-US" w:eastAsia="zh-CN"/>
                <w14:textFill>
                  <w14:solidFill>
                    <w14:schemeClr w14:val="tx1"/>
                  </w14:solidFill>
                </w14:textFill>
              </w:rPr>
              <w:t>）</w:t>
            </w:r>
            <w:r>
              <w:rPr>
                <w:rFonts w:hint="eastAsia" w:ascii="Times New Roman" w:hAnsi="Times New Roman" w:eastAsia="宋体" w:cs="Times New Roman"/>
                <w:bCs/>
                <w:color w:val="000000" w:themeColor="text1"/>
                <w:sz w:val="24"/>
                <w:u w:val="none" w:color="auto"/>
                <w:lang w:val="en-US" w:eastAsia="zh-CN"/>
                <w14:textFill>
                  <w14:solidFill>
                    <w14:schemeClr w14:val="tx1"/>
                  </w14:solidFill>
                </w14:textFill>
              </w:rPr>
              <w:t>采用密闭专用运输车运出，通过气泵经密闭管道由料仓输送至运输车内</w:t>
            </w:r>
            <w:r>
              <w:rPr>
                <w:rFonts w:hint="eastAsia" w:ascii="Times New Roman" w:hAnsi="Times New Roman" w:cs="Times New Roman"/>
                <w:bCs/>
                <w:color w:val="000000" w:themeColor="text1"/>
                <w:sz w:val="24"/>
                <w:u w:val="none" w:color="auto"/>
                <w:lang w:val="en-US" w:eastAsia="zh-CN"/>
                <w14:textFill>
                  <w14:solidFill>
                    <w14:schemeClr w14:val="tx1"/>
                  </w14:solidFill>
                </w14:textFill>
              </w:rPr>
              <w:t>，少量逸散；</w:t>
            </w:r>
            <w:r>
              <w:rPr>
                <w:rFonts w:hint="eastAsia" w:cs="Times New Roman"/>
                <w:color w:val="000000" w:themeColor="text1"/>
                <w:sz w:val="24"/>
                <w:highlight w:val="none"/>
                <w:lang w:val="en-US" w:eastAsia="zh-CN"/>
                <w14:textFill>
                  <w14:solidFill>
                    <w14:schemeClr w14:val="tx1"/>
                  </w14:solidFill>
                </w14:textFill>
              </w:rPr>
              <w:t>料仓顶部自带布袋除尘器，颗粒物</w:t>
            </w:r>
            <w:r>
              <w:rPr>
                <w:rFonts w:hint="eastAsia" w:ascii="Times New Roman" w:hAnsi="Times New Roman" w:eastAsia="宋体" w:cs="Times New Roman"/>
                <w:bCs/>
                <w:color w:val="000000" w:themeColor="text1"/>
                <w:sz w:val="24"/>
                <w:u w:val="none" w:color="auto"/>
                <w:lang w:val="en-US" w:eastAsia="zh-CN"/>
                <w14:textFill>
                  <w14:solidFill>
                    <w14:schemeClr w14:val="tx1"/>
                  </w14:solidFill>
                </w14:textFill>
              </w:rPr>
              <w:t>经除尘处理后由顶端呼吸口无组织排放，除尘器收集的</w:t>
            </w:r>
            <w:r>
              <w:rPr>
                <w:rFonts w:hint="eastAsia" w:ascii="Times New Roman" w:hAnsi="Times New Roman" w:cs="Times New Roman"/>
                <w:bCs/>
                <w:color w:val="000000" w:themeColor="text1"/>
                <w:sz w:val="24"/>
                <w:u w:val="none" w:color="auto"/>
                <w:lang w:val="en-US" w:eastAsia="zh-CN"/>
                <w14:textFill>
                  <w14:solidFill>
                    <w14:schemeClr w14:val="tx1"/>
                  </w14:solidFill>
                </w14:textFill>
              </w:rPr>
              <w:t>颗粒物落回料仓。</w:t>
            </w: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可有效控制无组织排放。</w:t>
            </w:r>
          </w:p>
          <w:p w14:paraId="4BCE8BED">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本项目氧化钙（生石灰）储存于4个密闭料仓内，物料通过气力输送系统经密闭管道由料仓输送至专用运输车，料仓顶部自带布袋除尘器，颗粒物经除尘处理后由顶端呼吸口排放，除尘器收集的物料回落料仓，回收利用。对照DB65/T 4061-2017，密闭料仓属于该标准表2中Ⅰ类料堆场首选整治方案（第（1）种措施</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筒仓</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），为全封闭式贮存设施，可完全避免堆场作业起尘和风蚀起尘，是规范中最高等级的扬尘防治措施。料仓结构形式符合GB 50077《钢筋混凝土筒仓设计规范》要求；物料进出采用密闭管道气力输送，装料、卸料环节无裸露作业，仅在料仓呼吸口有极少量排气，经仓顶布袋除尘器净化后排放，满足</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密闭输送物料必须在装料、卸料处配备吸尘、喷淋防尘措施</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的规范要求。此外，厂区库房内氢氧化钙原料为25kg/袋颗粒状，袋装堆存于库房内，最大储存量5t，物料不裸露，不产生风力扬尘。综上，本项目氧化钙储存同时涵盖</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袋装库房堆存</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与</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筒仓全封闭贮存</w:t>
            </w:r>
            <w:r>
              <w:rPr>
                <w:rFonts w:hint="eastAsia"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两种方式，均属于DB65/T 4061-2017规定的封闭式或优于封闭式的管控措施，扬尘防治水平达到且优于规范要求，无需额外增设防风抑尘网、覆盖或洒水等辅助措施，技术可行。</w:t>
            </w:r>
          </w:p>
          <w:p w14:paraId="0C889EB9">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⑤木焦油储罐、分装逸散废气</w:t>
            </w:r>
          </w:p>
          <w:p w14:paraId="22E3FDE8">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木焦油储罐采用固定顶密闭储罐，设置气相平衡管</w:t>
            </w:r>
            <w:r>
              <w:rPr>
                <w:rFonts w:hint="eastAsia" w:ascii="Times New Roman" w:hAnsi="Times New Roman"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木焦油分装作业在密闭</w:t>
            </w:r>
            <w:r>
              <w:rPr>
                <w:rFonts w:hint="eastAsia" w:ascii="Times New Roman" w:hAnsi="Times New Roman" w:cs="Times New Roman"/>
                <w:color w:val="000000" w:themeColor="text1"/>
                <w:spacing w:val="2"/>
                <w:kern w:val="2"/>
                <w:sz w:val="24"/>
                <w:szCs w:val="24"/>
                <w:lang w:val="en-US" w:eastAsia="zh-CN" w:bidi="ar-SA"/>
                <w14:textFill>
                  <w14:solidFill>
                    <w14:schemeClr w14:val="tx1"/>
                  </w14:solidFill>
                </w14:textFill>
              </w:rPr>
              <w:t>液体肥车间</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内开展，分装</w:t>
            </w:r>
            <w:r>
              <w:rPr>
                <w:rFonts w:hint="eastAsia" w:ascii="Times New Roman" w:hAnsi="Times New Roman" w:cs="Times New Roman"/>
                <w:color w:val="000000" w:themeColor="text1"/>
                <w:spacing w:val="2"/>
                <w:kern w:val="2"/>
                <w:sz w:val="24"/>
                <w:szCs w:val="24"/>
                <w:lang w:val="en-US" w:eastAsia="zh-CN" w:bidi="ar-SA"/>
                <w14:textFill>
                  <w14:solidFill>
                    <w14:schemeClr w14:val="tx1"/>
                  </w14:solidFill>
                </w14:textFill>
              </w:rPr>
              <w:t>全部为自动化；</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储罐、管道、阀门及法兰等连接部位选用耐油密封件；分装采用快速接头密闭对接，减少敞口操作</w:t>
            </w:r>
            <w:r>
              <w:rPr>
                <w:rFonts w:hint="eastAsia" w:ascii="Times New Roman" w:hAnsi="Times New Roman" w:cs="Times New Roman"/>
                <w:color w:val="000000" w:themeColor="text1"/>
                <w:spacing w:val="2"/>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正常工况下无组织逸散量较低，通过加强储罐及管路密封巡检、可燃及异味气体监测，规范分装操作管理，有效控制木焦油储罐及分装环节废气无组织排放。</w:t>
            </w:r>
          </w:p>
          <w:p w14:paraId="4EF8D6AF">
            <w:pPr>
              <w:pStyle w:val="78"/>
              <w:ind w:left="0" w:leftChars="0" w:firstLine="488" w:firstLineChars="200"/>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综上所述，本项目废气污染防治措施是技术可行的。</w:t>
            </w:r>
          </w:p>
          <w:p w14:paraId="5B3F55CD">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Times New Roman" w:hAnsi="Times New Roman" w:eastAsia="宋体" w:cs="Times New Roman"/>
                <w:b/>
                <w:bCs/>
                <w:color w:val="000000" w:themeColor="text1"/>
                <w:sz w:val="24"/>
                <w:szCs w:val="32"/>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32"/>
                <w:highlight w:val="none"/>
                <w:lang w:val="en-US" w:eastAsia="zh-CN"/>
                <w14:textFill>
                  <w14:solidFill>
                    <w14:schemeClr w14:val="tx1"/>
                  </w14:solidFill>
                </w14:textFill>
              </w:rPr>
              <w:t>1.6非正常工况</w:t>
            </w:r>
          </w:p>
          <w:p w14:paraId="415851DA">
            <w:pPr>
              <w:pStyle w:val="78"/>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非正常工况是指工艺运行中所有生产运行技术参数未达到设计范围的情况。包括生产运行阶段的开停车、检修，工艺设备的运转异常、污染物排放控制措施达不到应有的效率、一般性事故和泄漏，以及发生严重的环境事故等。</w:t>
            </w:r>
          </w:p>
          <w:p w14:paraId="7441EF3B">
            <w:pPr>
              <w:pStyle w:val="78"/>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本项目非正常工况主要考虑停电、设备故障等原因，导致污染物在一段时间内排放量增加。本着最不利影响原则，将非正常工况确定为废气处理设施处理效率为0，污染物排放情况见表4-</w:t>
            </w:r>
            <w:r>
              <w:rPr>
                <w:rFonts w:hint="eastAsia" w:cs="Times New Roman"/>
                <w:color w:val="000000" w:themeColor="text1"/>
                <w:sz w:val="24"/>
                <w:szCs w:val="24"/>
                <w:highlight w:val="none"/>
                <w:lang w:val="en-US" w:eastAsia="zh-CN"/>
                <w14:textFill>
                  <w14:solidFill>
                    <w14:schemeClr w14:val="tx1"/>
                  </w14:solidFill>
                </w14:textFill>
              </w:rPr>
              <w:t>11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6D5E173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sz w:val="21"/>
                <w:szCs w:val="21"/>
                <w:lang w:eastAsia="zh-CN"/>
                <w14:textFill>
                  <w14:solidFill>
                    <w14:schemeClr w14:val="tx1"/>
                  </w14:solidFill>
                </w14:textFill>
              </w:rPr>
            </w:pPr>
            <w:r>
              <w:rPr>
                <w:rFonts w:hint="default" w:ascii="Times New Roman" w:hAnsi="Times New Roman" w:eastAsia="宋体" w:cs="Times New Roman"/>
                <w:b/>
                <w:color w:val="000000" w:themeColor="text1"/>
                <w:sz w:val="21"/>
                <w:szCs w:val="21"/>
                <w:lang w:eastAsia="zh-CN"/>
                <w14:textFill>
                  <w14:solidFill>
                    <w14:schemeClr w14:val="tx1"/>
                  </w14:solidFill>
                </w14:textFill>
              </w:rPr>
              <w:t>表</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4-</w:t>
            </w:r>
            <w:r>
              <w:rPr>
                <w:rFonts w:hint="eastAsia" w:cs="Times New Roman"/>
                <w:b/>
                <w:color w:val="000000" w:themeColor="text1"/>
                <w:sz w:val="21"/>
                <w:szCs w:val="21"/>
                <w:lang w:val="en-US" w:eastAsia="zh-CN"/>
                <w14:textFill>
                  <w14:solidFill>
                    <w14:schemeClr w14:val="tx1"/>
                  </w14:solidFill>
                </w14:textFill>
              </w:rPr>
              <w:t>11</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1"/>
                <w:szCs w:val="21"/>
                <w:lang w:eastAsia="zh-CN"/>
                <w14:textFill>
                  <w14:solidFill>
                    <w14:schemeClr w14:val="tx1"/>
                  </w14:solidFill>
                </w14:textFill>
              </w:rPr>
              <w:t>无组织废气产排情况一览表</w:t>
            </w:r>
          </w:p>
          <w:tbl>
            <w:tblPr>
              <w:tblStyle w:val="30"/>
              <w:tblW w:w="794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1074"/>
              <w:gridCol w:w="1292"/>
              <w:gridCol w:w="1135"/>
              <w:gridCol w:w="1135"/>
              <w:gridCol w:w="1136"/>
              <w:gridCol w:w="1137"/>
            </w:tblGrid>
            <w:tr w14:paraId="6A8190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8" w:type="dxa"/>
                  <w:tcBorders>
                    <w:tl2br w:val="nil"/>
                    <w:tr2bl w:val="nil"/>
                  </w:tcBorders>
                  <w:noWrap w:val="0"/>
                  <w:vAlign w:val="center"/>
                </w:tcPr>
                <w:p w14:paraId="53AA343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排放源</w:t>
                  </w:r>
                </w:p>
              </w:tc>
              <w:tc>
                <w:tcPr>
                  <w:tcW w:w="1074" w:type="dxa"/>
                  <w:tcBorders>
                    <w:tl2br w:val="nil"/>
                    <w:tr2bl w:val="nil"/>
                  </w:tcBorders>
                  <w:noWrap w:val="0"/>
                  <w:vAlign w:val="center"/>
                </w:tcPr>
                <w:p w14:paraId="521A9513">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污染物</w:t>
                  </w:r>
                </w:p>
              </w:tc>
              <w:tc>
                <w:tcPr>
                  <w:tcW w:w="1292" w:type="dxa"/>
                  <w:tcBorders>
                    <w:tl2br w:val="nil"/>
                    <w:tr2bl w:val="nil"/>
                  </w:tcBorders>
                  <w:noWrap w:val="0"/>
                  <w:vAlign w:val="center"/>
                </w:tcPr>
                <w:p w14:paraId="18254D88">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非正常排放速率（kg/h）</w:t>
                  </w:r>
                </w:p>
              </w:tc>
              <w:tc>
                <w:tcPr>
                  <w:tcW w:w="1135" w:type="dxa"/>
                  <w:tcBorders>
                    <w:tl2br w:val="nil"/>
                    <w:tr2bl w:val="nil"/>
                  </w:tcBorders>
                  <w:noWrap w:val="0"/>
                  <w:vAlign w:val="center"/>
                </w:tcPr>
                <w:p w14:paraId="473668D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非正常排放浓度（mg/m</w:t>
                  </w:r>
                  <w:r>
                    <w:rPr>
                      <w:rFonts w:hint="default" w:ascii="Times New Roman" w:hAnsi="Times New Roman" w:eastAsia="宋体" w:cs="Times New Roman"/>
                      <w:b/>
                      <w:bCs/>
                      <w:color w:val="000000" w:themeColor="text1"/>
                      <w:kern w:val="0"/>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w:t>
                  </w:r>
                </w:p>
              </w:tc>
              <w:tc>
                <w:tcPr>
                  <w:tcW w:w="1135" w:type="dxa"/>
                  <w:tcBorders>
                    <w:tl2br w:val="nil"/>
                    <w:tr2bl w:val="nil"/>
                  </w:tcBorders>
                  <w:noWrap w:val="0"/>
                  <w:vAlign w:val="center"/>
                </w:tcPr>
                <w:p w14:paraId="5C17782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单次持续</w:t>
                  </w:r>
                </w:p>
                <w:p w14:paraId="6E566B3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时间（h）</w:t>
                  </w:r>
                </w:p>
              </w:tc>
              <w:tc>
                <w:tcPr>
                  <w:tcW w:w="1136" w:type="dxa"/>
                  <w:tcBorders>
                    <w:tl2br w:val="nil"/>
                    <w:tr2bl w:val="nil"/>
                  </w:tcBorders>
                  <w:noWrap w:val="0"/>
                  <w:vAlign w:val="center"/>
                </w:tcPr>
                <w:p w14:paraId="1172CFD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年发生频</w:t>
                  </w:r>
                </w:p>
                <w:p w14:paraId="2FA5498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次</w:t>
                  </w:r>
                </w:p>
              </w:tc>
              <w:tc>
                <w:tcPr>
                  <w:tcW w:w="1137" w:type="dxa"/>
                  <w:tcBorders>
                    <w:tl2br w:val="nil"/>
                    <w:tr2bl w:val="nil"/>
                  </w:tcBorders>
                  <w:noWrap w:val="0"/>
                  <w:vAlign w:val="center"/>
                </w:tcPr>
                <w:p w14:paraId="721A44CA">
                  <w:pPr>
                    <w:keepNext w:val="0"/>
                    <w:keepLines w:val="0"/>
                    <w:widowControl/>
                    <w:suppressLineNumbers w:val="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对应措施</w:t>
                  </w:r>
                </w:p>
              </w:tc>
            </w:tr>
            <w:tr w14:paraId="7B1C7F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8" w:type="dxa"/>
                  <w:tcBorders>
                    <w:tl2br w:val="nil"/>
                    <w:tr2bl w:val="nil"/>
                  </w:tcBorders>
                  <w:noWrap w:val="0"/>
                  <w:vAlign w:val="center"/>
                </w:tcPr>
                <w:p w14:paraId="4640CD12">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DA001</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排气筒</w:t>
                  </w:r>
                </w:p>
              </w:tc>
              <w:tc>
                <w:tcPr>
                  <w:tcW w:w="1074" w:type="dxa"/>
                  <w:tcBorders>
                    <w:tl2br w:val="nil"/>
                    <w:tr2bl w:val="nil"/>
                  </w:tcBorders>
                  <w:noWrap w:val="0"/>
                  <w:vAlign w:val="center"/>
                </w:tcPr>
                <w:p w14:paraId="6E5C822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t>颗粒物</w:t>
                  </w:r>
                </w:p>
              </w:tc>
              <w:tc>
                <w:tcPr>
                  <w:tcW w:w="1292" w:type="dxa"/>
                  <w:tcBorders>
                    <w:tl2br w:val="nil"/>
                    <w:tr2bl w:val="nil"/>
                  </w:tcBorders>
                  <w:noWrap w:val="0"/>
                  <w:vAlign w:val="center"/>
                </w:tcPr>
                <w:p w14:paraId="4F5893A2">
                  <w:pPr>
                    <w:pStyle w:val="72"/>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0.888</w:t>
                  </w:r>
                </w:p>
              </w:tc>
              <w:tc>
                <w:tcPr>
                  <w:tcW w:w="1135" w:type="dxa"/>
                  <w:tcBorders>
                    <w:tl2br w:val="nil"/>
                    <w:tr2bl w:val="nil"/>
                  </w:tcBorders>
                  <w:noWrap w:val="0"/>
                  <w:vAlign w:val="center"/>
                </w:tcPr>
                <w:p w14:paraId="505ACF2D">
                  <w:pPr>
                    <w:pStyle w:val="72"/>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44.4</w:t>
                  </w:r>
                </w:p>
              </w:tc>
              <w:tc>
                <w:tcPr>
                  <w:tcW w:w="1135" w:type="dxa"/>
                  <w:tcBorders>
                    <w:tl2br w:val="nil"/>
                    <w:tr2bl w:val="nil"/>
                  </w:tcBorders>
                  <w:noWrap w:val="0"/>
                  <w:vAlign w:val="center"/>
                </w:tcPr>
                <w:p w14:paraId="74E0BCB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6" w:type="dxa"/>
                  <w:tcBorders>
                    <w:tl2br w:val="nil"/>
                    <w:tr2bl w:val="nil"/>
                  </w:tcBorders>
                  <w:noWrap w:val="0"/>
                  <w:vAlign w:val="center"/>
                </w:tcPr>
                <w:p w14:paraId="7FAFF03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7" w:type="dxa"/>
                  <w:vMerge w:val="restart"/>
                  <w:tcBorders>
                    <w:tl2br w:val="nil"/>
                    <w:tr2bl w:val="nil"/>
                  </w:tcBorders>
                  <w:noWrap w:val="0"/>
                  <w:vAlign w:val="center"/>
                </w:tcPr>
                <w:p w14:paraId="4860C5A0">
                  <w:pPr>
                    <w:keepNext w:val="0"/>
                    <w:keepLines w:val="0"/>
                    <w:widowControl/>
                    <w:suppressLineNumbers w:val="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及时停机，找相关技术人员维修</w:t>
                  </w:r>
                </w:p>
              </w:tc>
            </w:tr>
            <w:tr w14:paraId="453E2D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8" w:type="dxa"/>
                  <w:tcBorders>
                    <w:tl2br w:val="nil"/>
                    <w:tr2bl w:val="nil"/>
                  </w:tcBorders>
                  <w:noWrap w:val="0"/>
                  <w:vAlign w:val="center"/>
                </w:tcPr>
                <w:p w14:paraId="63C78696">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DA002</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排气筒</w:t>
                  </w:r>
                </w:p>
              </w:tc>
              <w:tc>
                <w:tcPr>
                  <w:tcW w:w="1074" w:type="dxa"/>
                  <w:tcBorders>
                    <w:tl2br w:val="nil"/>
                    <w:tr2bl w:val="nil"/>
                  </w:tcBorders>
                  <w:noWrap w:val="0"/>
                  <w:vAlign w:val="center"/>
                </w:tcPr>
                <w:p w14:paraId="3B21F46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t>颗粒物</w:t>
                  </w:r>
                </w:p>
              </w:tc>
              <w:tc>
                <w:tcPr>
                  <w:tcW w:w="1292" w:type="dxa"/>
                  <w:tcBorders>
                    <w:tl2br w:val="nil"/>
                    <w:tr2bl w:val="nil"/>
                  </w:tcBorders>
                  <w:noWrap w:val="0"/>
                  <w:vAlign w:val="center"/>
                </w:tcPr>
                <w:p w14:paraId="2AAE94F7">
                  <w:pPr>
                    <w:pStyle w:val="72"/>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1.437</w:t>
                  </w:r>
                </w:p>
              </w:tc>
              <w:tc>
                <w:tcPr>
                  <w:tcW w:w="1135" w:type="dxa"/>
                  <w:tcBorders>
                    <w:tl2br w:val="nil"/>
                    <w:tr2bl w:val="nil"/>
                  </w:tcBorders>
                  <w:noWrap w:val="0"/>
                  <w:vAlign w:val="center"/>
                </w:tcPr>
                <w:p w14:paraId="4DDD38EA">
                  <w:pPr>
                    <w:pStyle w:val="72"/>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71.85</w:t>
                  </w:r>
                </w:p>
              </w:tc>
              <w:tc>
                <w:tcPr>
                  <w:tcW w:w="1135" w:type="dxa"/>
                  <w:tcBorders>
                    <w:tl2br w:val="nil"/>
                    <w:tr2bl w:val="nil"/>
                  </w:tcBorders>
                  <w:noWrap w:val="0"/>
                  <w:vAlign w:val="center"/>
                </w:tcPr>
                <w:p w14:paraId="4AC199A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6" w:type="dxa"/>
                  <w:tcBorders>
                    <w:tl2br w:val="nil"/>
                    <w:tr2bl w:val="nil"/>
                  </w:tcBorders>
                  <w:noWrap w:val="0"/>
                  <w:vAlign w:val="center"/>
                </w:tcPr>
                <w:p w14:paraId="7D8015A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7" w:type="dxa"/>
                  <w:vMerge w:val="continue"/>
                  <w:tcBorders>
                    <w:tl2br w:val="nil"/>
                    <w:tr2bl w:val="nil"/>
                  </w:tcBorders>
                  <w:noWrap w:val="0"/>
                  <w:vAlign w:val="center"/>
                </w:tcPr>
                <w:p w14:paraId="7F7FE190">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3B90EC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8" w:type="dxa"/>
                  <w:tcBorders>
                    <w:tl2br w:val="nil"/>
                    <w:tr2bl w:val="nil"/>
                  </w:tcBorders>
                  <w:noWrap w:val="0"/>
                  <w:vAlign w:val="center"/>
                </w:tcPr>
                <w:p w14:paraId="5557AAC3">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DA003</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排气筒</w:t>
                  </w:r>
                </w:p>
              </w:tc>
              <w:tc>
                <w:tcPr>
                  <w:tcW w:w="1074" w:type="dxa"/>
                  <w:tcBorders>
                    <w:tl2br w:val="nil"/>
                    <w:tr2bl w:val="nil"/>
                  </w:tcBorders>
                  <w:noWrap w:val="0"/>
                  <w:vAlign w:val="center"/>
                </w:tcPr>
                <w:p w14:paraId="1FA6583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t>颗粒物</w:t>
                  </w:r>
                </w:p>
              </w:tc>
              <w:tc>
                <w:tcPr>
                  <w:tcW w:w="1292" w:type="dxa"/>
                  <w:tcBorders>
                    <w:tl2br w:val="nil"/>
                    <w:tr2bl w:val="nil"/>
                  </w:tcBorders>
                  <w:noWrap w:val="0"/>
                  <w:vAlign w:val="center"/>
                </w:tcPr>
                <w:p w14:paraId="06B44224">
                  <w:pPr>
                    <w:pStyle w:val="72"/>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1.200444</w:t>
                  </w:r>
                </w:p>
              </w:tc>
              <w:tc>
                <w:tcPr>
                  <w:tcW w:w="1135" w:type="dxa"/>
                  <w:tcBorders>
                    <w:tl2br w:val="nil"/>
                    <w:tr2bl w:val="nil"/>
                  </w:tcBorders>
                  <w:noWrap w:val="0"/>
                  <w:vAlign w:val="center"/>
                </w:tcPr>
                <w:p w14:paraId="09C3BD6D">
                  <w:pPr>
                    <w:pStyle w:val="72"/>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60.0222</w:t>
                  </w:r>
                </w:p>
              </w:tc>
              <w:tc>
                <w:tcPr>
                  <w:tcW w:w="1135" w:type="dxa"/>
                  <w:tcBorders>
                    <w:tl2br w:val="nil"/>
                    <w:tr2bl w:val="nil"/>
                  </w:tcBorders>
                  <w:noWrap w:val="0"/>
                  <w:vAlign w:val="center"/>
                </w:tcPr>
                <w:p w14:paraId="6BBB8ED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6" w:type="dxa"/>
                  <w:tcBorders>
                    <w:tl2br w:val="nil"/>
                    <w:tr2bl w:val="nil"/>
                  </w:tcBorders>
                  <w:noWrap w:val="0"/>
                  <w:vAlign w:val="center"/>
                </w:tcPr>
                <w:p w14:paraId="7803447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7" w:type="dxa"/>
                  <w:vMerge w:val="continue"/>
                  <w:tcBorders>
                    <w:tl2br w:val="nil"/>
                    <w:tr2bl w:val="nil"/>
                  </w:tcBorders>
                  <w:noWrap w:val="0"/>
                  <w:vAlign w:val="center"/>
                </w:tcPr>
                <w:p w14:paraId="5333740D">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60E3B6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8" w:type="dxa"/>
                  <w:vMerge w:val="restart"/>
                  <w:tcBorders>
                    <w:tl2br w:val="nil"/>
                    <w:tr2bl w:val="nil"/>
                  </w:tcBorders>
                  <w:noWrap w:val="0"/>
                  <w:vAlign w:val="center"/>
                </w:tcPr>
                <w:p w14:paraId="1960F0F1">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DA004</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排气筒</w:t>
                  </w:r>
                </w:p>
              </w:tc>
              <w:tc>
                <w:tcPr>
                  <w:tcW w:w="1074" w:type="dxa"/>
                  <w:tcBorders>
                    <w:tl2br w:val="nil"/>
                    <w:tr2bl w:val="nil"/>
                  </w:tcBorders>
                  <w:noWrap w:val="0"/>
                  <w:vAlign w:val="center"/>
                </w:tcPr>
                <w:p w14:paraId="23908A15">
                  <w:pPr>
                    <w:keepNext w:val="0"/>
                    <w:keepLines w:val="0"/>
                    <w:widowControl/>
                    <w:suppressLineNumbers w:val="0"/>
                    <w:wordWrap/>
                    <w:jc w:val="center"/>
                    <w:textAlignment w:val="cente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颗粒物</w:t>
                  </w:r>
                </w:p>
              </w:tc>
              <w:tc>
                <w:tcPr>
                  <w:tcW w:w="1292" w:type="dxa"/>
                  <w:tcBorders>
                    <w:tl2br w:val="nil"/>
                    <w:tr2bl w:val="nil"/>
                  </w:tcBorders>
                  <w:noWrap w:val="0"/>
                  <w:vAlign w:val="center"/>
                </w:tcPr>
                <w:p w14:paraId="0726FE76">
                  <w:pPr>
                    <w:keepNext w:val="0"/>
                    <w:keepLines w:val="0"/>
                    <w:widowControl/>
                    <w:suppressLineNumbers w:val="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0.077472</w:t>
                  </w:r>
                </w:p>
              </w:tc>
              <w:tc>
                <w:tcPr>
                  <w:tcW w:w="1135" w:type="dxa"/>
                  <w:tcBorders>
                    <w:tl2br w:val="nil"/>
                    <w:tr2bl w:val="nil"/>
                  </w:tcBorders>
                  <w:noWrap w:val="0"/>
                  <w:vAlign w:val="center"/>
                </w:tcPr>
                <w:p w14:paraId="44411245">
                  <w:pPr>
                    <w:keepNext w:val="0"/>
                    <w:keepLines w:val="0"/>
                    <w:widowControl/>
                    <w:suppressLineNumbers w:val="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151.53</w:t>
                  </w:r>
                </w:p>
              </w:tc>
              <w:tc>
                <w:tcPr>
                  <w:tcW w:w="1135" w:type="dxa"/>
                  <w:tcBorders>
                    <w:tl2br w:val="nil"/>
                    <w:tr2bl w:val="nil"/>
                  </w:tcBorders>
                  <w:noWrap w:val="0"/>
                  <w:vAlign w:val="center"/>
                </w:tcPr>
                <w:p w14:paraId="7ED8767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6" w:type="dxa"/>
                  <w:tcBorders>
                    <w:tl2br w:val="nil"/>
                    <w:tr2bl w:val="nil"/>
                  </w:tcBorders>
                  <w:noWrap w:val="0"/>
                  <w:vAlign w:val="center"/>
                </w:tcPr>
                <w:p w14:paraId="26A1657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7" w:type="dxa"/>
                  <w:vMerge w:val="continue"/>
                  <w:tcBorders>
                    <w:tl2br w:val="nil"/>
                    <w:tr2bl w:val="nil"/>
                  </w:tcBorders>
                  <w:noWrap w:val="0"/>
                  <w:vAlign w:val="center"/>
                </w:tcPr>
                <w:p w14:paraId="7D3AB16B">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160326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8" w:type="dxa"/>
                  <w:vMerge w:val="continue"/>
                  <w:tcBorders>
                    <w:tl2br w:val="nil"/>
                    <w:tr2bl w:val="nil"/>
                  </w:tcBorders>
                  <w:noWrap w:val="0"/>
                  <w:vAlign w:val="center"/>
                </w:tcPr>
                <w:p w14:paraId="49FB7C2A">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pPr>
                </w:p>
              </w:tc>
              <w:tc>
                <w:tcPr>
                  <w:tcW w:w="1074" w:type="dxa"/>
                  <w:tcBorders>
                    <w:tl2br w:val="nil"/>
                    <w:tr2bl w:val="nil"/>
                  </w:tcBorders>
                  <w:noWrap w:val="0"/>
                  <w:vAlign w:val="center"/>
                </w:tcPr>
                <w:p w14:paraId="2E7A9B48">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二氧</w:t>
                  </w:r>
                </w:p>
                <w:p w14:paraId="785948CD">
                  <w:pPr>
                    <w:keepNext w:val="0"/>
                    <w:keepLines w:val="0"/>
                    <w:widowControl/>
                    <w:suppressLineNumbers w:val="0"/>
                    <w:wordWrap/>
                    <w:jc w:val="center"/>
                    <w:textAlignment w:val="cente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化硫</w:t>
                  </w:r>
                </w:p>
              </w:tc>
              <w:tc>
                <w:tcPr>
                  <w:tcW w:w="1292" w:type="dxa"/>
                  <w:tcBorders>
                    <w:tl2br w:val="nil"/>
                    <w:tr2bl w:val="nil"/>
                  </w:tcBorders>
                  <w:noWrap w:val="0"/>
                  <w:vAlign w:val="center"/>
                </w:tcPr>
                <w:p w14:paraId="4498F61C">
                  <w:pPr>
                    <w:keepNext w:val="0"/>
                    <w:keepLines w:val="0"/>
                    <w:widowControl/>
                    <w:suppressLineNumbers w:val="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0.00587</w:t>
                  </w:r>
                </w:p>
              </w:tc>
              <w:tc>
                <w:tcPr>
                  <w:tcW w:w="1135" w:type="dxa"/>
                  <w:tcBorders>
                    <w:tl2br w:val="nil"/>
                    <w:tr2bl w:val="nil"/>
                  </w:tcBorders>
                  <w:noWrap w:val="0"/>
                  <w:vAlign w:val="center"/>
                </w:tcPr>
                <w:p w14:paraId="68277667">
                  <w:pPr>
                    <w:keepNext w:val="0"/>
                    <w:keepLines w:val="0"/>
                    <w:widowControl/>
                    <w:suppressLineNumbers w:val="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vertAlign w:val="baseline"/>
                      <w:lang w:val="en-US" w:eastAsia="zh-CN" w:bidi="ar"/>
                      <w14:textFill>
                        <w14:solidFill>
                          <w14:schemeClr w14:val="tx1"/>
                        </w14:solidFill>
                      </w14:textFill>
                    </w:rPr>
                    <w:t>11.47</w:t>
                  </w:r>
                </w:p>
              </w:tc>
              <w:tc>
                <w:tcPr>
                  <w:tcW w:w="1135" w:type="dxa"/>
                  <w:tcBorders>
                    <w:tl2br w:val="nil"/>
                    <w:tr2bl w:val="nil"/>
                  </w:tcBorders>
                  <w:noWrap w:val="0"/>
                  <w:vAlign w:val="center"/>
                </w:tcPr>
                <w:p w14:paraId="1D96E12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6" w:type="dxa"/>
                  <w:tcBorders>
                    <w:tl2br w:val="nil"/>
                    <w:tr2bl w:val="nil"/>
                  </w:tcBorders>
                  <w:noWrap w:val="0"/>
                  <w:vAlign w:val="center"/>
                </w:tcPr>
                <w:p w14:paraId="07C24D7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7" w:type="dxa"/>
                  <w:vMerge w:val="continue"/>
                  <w:tcBorders>
                    <w:tl2br w:val="nil"/>
                    <w:tr2bl w:val="nil"/>
                  </w:tcBorders>
                  <w:noWrap w:val="0"/>
                  <w:vAlign w:val="center"/>
                </w:tcPr>
                <w:p w14:paraId="2A87DE7F">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4B9048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8" w:type="dxa"/>
                  <w:vMerge w:val="continue"/>
                  <w:tcBorders>
                    <w:tl2br w:val="nil"/>
                    <w:tr2bl w:val="nil"/>
                  </w:tcBorders>
                  <w:noWrap w:val="0"/>
                  <w:vAlign w:val="center"/>
                </w:tcPr>
                <w:p w14:paraId="7929790E">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pPr>
                </w:p>
              </w:tc>
              <w:tc>
                <w:tcPr>
                  <w:tcW w:w="1074" w:type="dxa"/>
                  <w:tcBorders>
                    <w:tl2br w:val="nil"/>
                    <w:tr2bl w:val="nil"/>
                  </w:tcBorders>
                  <w:noWrap w:val="0"/>
                  <w:vAlign w:val="center"/>
                </w:tcPr>
                <w:p w14:paraId="42A8ECDF">
                  <w:pPr>
                    <w:keepNext w:val="0"/>
                    <w:keepLines w:val="0"/>
                    <w:widowControl/>
                    <w:suppressLineNumbers w:val="0"/>
                    <w:wordWrap/>
                    <w:jc w:val="center"/>
                    <w:textAlignment w:val="cente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氮氧</w:t>
                  </w:r>
                </w:p>
                <w:p w14:paraId="75A72800">
                  <w:pPr>
                    <w:keepNext w:val="0"/>
                    <w:keepLines w:val="0"/>
                    <w:widowControl/>
                    <w:suppressLineNumbers w:val="0"/>
                    <w:wordWrap/>
                    <w:jc w:val="center"/>
                    <w:textAlignment w:val="cente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lang w:val="en-US" w:eastAsia="zh-CN" w:bidi="ar"/>
                      <w14:textFill>
                        <w14:solidFill>
                          <w14:schemeClr w14:val="tx1"/>
                        </w14:solidFill>
                      </w14:textFill>
                    </w:rPr>
                    <w:t>化物</w:t>
                  </w:r>
                </w:p>
              </w:tc>
              <w:tc>
                <w:tcPr>
                  <w:tcW w:w="1292" w:type="dxa"/>
                  <w:tcBorders>
                    <w:tl2br w:val="nil"/>
                    <w:tr2bl w:val="nil"/>
                  </w:tcBorders>
                  <w:noWrap w:val="0"/>
                  <w:vAlign w:val="center"/>
                </w:tcPr>
                <w:p w14:paraId="063A1EBB">
                  <w:pPr>
                    <w:keepNext w:val="0"/>
                    <w:keepLines w:val="0"/>
                    <w:widowControl/>
                    <w:suppressLineNumbers w:val="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0.02775</w:t>
                  </w:r>
                </w:p>
              </w:tc>
              <w:tc>
                <w:tcPr>
                  <w:tcW w:w="1135" w:type="dxa"/>
                  <w:tcBorders>
                    <w:tl2br w:val="nil"/>
                    <w:tr2bl w:val="nil"/>
                  </w:tcBorders>
                  <w:noWrap w:val="0"/>
                  <w:vAlign w:val="center"/>
                </w:tcPr>
                <w:p w14:paraId="5107822C">
                  <w:pPr>
                    <w:keepNext w:val="0"/>
                    <w:keepLines w:val="0"/>
                    <w:widowControl/>
                    <w:suppressLineNumbers w:val="0"/>
                    <w:jc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vertAlign w:val="baseline"/>
                      <w:lang w:val="en-US" w:eastAsia="zh-CN" w:bidi="ar"/>
                      <w14:textFill>
                        <w14:solidFill>
                          <w14:schemeClr w14:val="tx1"/>
                        </w14:solidFill>
                      </w14:textFill>
                    </w:rPr>
                    <w:t>54.28</w:t>
                  </w:r>
                </w:p>
              </w:tc>
              <w:tc>
                <w:tcPr>
                  <w:tcW w:w="1135" w:type="dxa"/>
                  <w:tcBorders>
                    <w:tl2br w:val="nil"/>
                    <w:tr2bl w:val="nil"/>
                  </w:tcBorders>
                  <w:noWrap w:val="0"/>
                  <w:vAlign w:val="center"/>
                </w:tcPr>
                <w:p w14:paraId="3A98EC4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6" w:type="dxa"/>
                  <w:tcBorders>
                    <w:tl2br w:val="nil"/>
                    <w:tr2bl w:val="nil"/>
                  </w:tcBorders>
                  <w:noWrap w:val="0"/>
                  <w:vAlign w:val="center"/>
                </w:tcPr>
                <w:p w14:paraId="060C2FA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t>1</w:t>
                  </w:r>
                </w:p>
              </w:tc>
              <w:tc>
                <w:tcPr>
                  <w:tcW w:w="1137" w:type="dxa"/>
                  <w:vMerge w:val="continue"/>
                  <w:tcBorders>
                    <w:tl2br w:val="nil"/>
                    <w:tr2bl w:val="nil"/>
                  </w:tcBorders>
                  <w:noWrap w:val="0"/>
                  <w:vAlign w:val="center"/>
                </w:tcPr>
                <w:p w14:paraId="29C84DF5">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bl>
          <w:p w14:paraId="7C491ED2">
            <w:pPr>
              <w:pStyle w:val="78"/>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根据上表，项目非正常排放情况下对区域空气环境会产生一定影响。本环评要求建设单位采取严格的管理措施和应急措施，当发生此种情况时，立即停止相关工序的生产，待故障解除后方可恢复生产。</w:t>
            </w:r>
          </w:p>
          <w:p w14:paraId="220119EC">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default" w:ascii="Times New Roman" w:hAnsi="Times New Roman" w:eastAsia="宋体" w:cs="Times New Roman"/>
                <w:b/>
                <w:color w:val="000000" w:themeColor="text1"/>
                <w:sz w:val="24"/>
                <w:highlight w:val="none"/>
                <w14:textFill>
                  <w14:solidFill>
                    <w14:schemeClr w14:val="tx1"/>
                  </w14:solidFill>
                </w14:textFill>
              </w:rPr>
            </w:pPr>
            <w:r>
              <w:rPr>
                <w:rFonts w:hint="eastAsia" w:ascii="Times New Roman" w:hAnsi="Times New Roman" w:eastAsia="宋体" w:cs="Times New Roman"/>
                <w:b/>
                <w:color w:val="000000" w:themeColor="text1"/>
                <w:sz w:val="24"/>
                <w:highlight w:val="none"/>
                <w:lang w:val="en-US" w:eastAsia="zh-CN"/>
                <w14:textFill>
                  <w14:solidFill>
                    <w14:schemeClr w14:val="tx1"/>
                  </w14:solidFill>
                </w14:textFill>
              </w:rPr>
              <w:t>1.7</w:t>
            </w:r>
            <w:r>
              <w:rPr>
                <w:rFonts w:hint="default" w:ascii="Times New Roman" w:hAnsi="Times New Roman" w:eastAsia="宋体" w:cs="Times New Roman"/>
                <w:b/>
                <w:color w:val="000000" w:themeColor="text1"/>
                <w:sz w:val="24"/>
                <w:highlight w:val="none"/>
                <w14:textFill>
                  <w14:solidFill>
                    <w14:schemeClr w14:val="tx1"/>
                  </w14:solidFill>
                </w14:textFill>
              </w:rPr>
              <w:t>废气监测计划</w:t>
            </w:r>
          </w:p>
          <w:p w14:paraId="094FBFDE">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根据《排污单位自行监测技术指南总则》（HJ819-2017）</w:t>
            </w:r>
            <w:r>
              <w:rPr>
                <w:rFonts w:hint="eastAsia" w:ascii="Times New Roman" w:hAnsi="Times New Roman" w:eastAsia="宋体" w:cs="Times New Roman"/>
                <w:b w:val="0"/>
                <w:bCs w:val="0"/>
                <w:color w:val="000000" w:themeColor="text1"/>
                <w:kern w:val="0"/>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2"/>
                <w:kern w:val="2"/>
                <w:sz w:val="24"/>
                <w:szCs w:val="24"/>
                <w:lang w:val="en-US" w:eastAsia="zh-CN" w:bidi="ar-SA"/>
                <w14:textFill>
                  <w14:solidFill>
                    <w14:schemeClr w14:val="tx1"/>
                  </w14:solidFill>
                </w14:textFill>
              </w:rPr>
              <w:t>《排污许可证申请与核发技术规范磷肥、钾肥、复混肥料、有机肥料及微生物肥料工业》（HJ 864.2-2018）</w:t>
            </w:r>
            <w:r>
              <w:rPr>
                <w:rFonts w:hint="default" w:ascii="Times New Roman" w:hAnsi="Times New Roman" w:eastAsia="宋体" w:cs="Times New Roman"/>
                <w:b w:val="0"/>
                <w:bCs w:val="0"/>
                <w:color w:val="000000" w:themeColor="text1"/>
                <w:kern w:val="0"/>
                <w:sz w:val="24"/>
                <w:szCs w:val="24"/>
                <w:lang w:val="en-US" w:eastAsia="zh-CN" w:bidi="ar-SA"/>
                <w14:textFill>
                  <w14:solidFill>
                    <w14:schemeClr w14:val="tx1"/>
                  </w14:solidFill>
                </w14:textFill>
              </w:rPr>
              <w:t>的相关要求，</w:t>
            </w:r>
            <w:r>
              <w:rPr>
                <w:rFonts w:hint="eastAsia" w:ascii="Times New Roman" w:hAnsi="Times New Roman" w:eastAsia="宋体" w:cs="Times New Roman"/>
                <w:b w:val="0"/>
                <w:bCs w:val="0"/>
                <w:color w:val="000000" w:themeColor="text1"/>
                <w:kern w:val="0"/>
                <w:sz w:val="24"/>
                <w:szCs w:val="24"/>
                <w:lang w:val="en-US" w:eastAsia="zh-CN" w:bidi="ar-SA"/>
                <w14:textFill>
                  <w14:solidFill>
                    <w14:schemeClr w14:val="tx1"/>
                  </w14:solidFill>
                </w14:textFill>
              </w:rPr>
              <w:t>废</w:t>
            </w:r>
            <w:r>
              <w:rPr>
                <w:rFonts w:hint="default" w:ascii="Times New Roman" w:hAnsi="Times New Roman" w:eastAsia="宋体" w:cs="Times New Roman"/>
                <w:color w:val="000000" w:themeColor="text1"/>
                <w:kern w:val="0"/>
                <w:sz w:val="24"/>
                <w:highlight w:val="none"/>
                <w14:textFill>
                  <w14:solidFill>
                    <w14:schemeClr w14:val="tx1"/>
                  </w14:solidFill>
                </w14:textFill>
              </w:rPr>
              <w:t>气污染物自行监测计划详见表</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4-</w:t>
            </w:r>
            <w:r>
              <w:rPr>
                <w:rFonts w:hint="eastAsia" w:cs="Times New Roman"/>
                <w:color w:val="000000" w:themeColor="text1"/>
                <w:kern w:val="0"/>
                <w:sz w:val="24"/>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kern w:val="0"/>
                <w:sz w:val="24"/>
                <w:highlight w:val="none"/>
                <w14:textFill>
                  <w14:solidFill>
                    <w14:schemeClr w14:val="tx1"/>
                  </w14:solidFill>
                </w14:textFill>
              </w:rPr>
              <w:t>。</w:t>
            </w:r>
          </w:p>
          <w:p w14:paraId="2FDCEB55">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表4-</w:t>
            </w:r>
            <w:r>
              <w:rPr>
                <w:rFonts w:hint="eastAsia" w:cs="Times New Roman"/>
                <w:b/>
                <w:color w:val="000000" w:themeColor="text1"/>
                <w:sz w:val="21"/>
                <w:szCs w:val="21"/>
                <w:lang w:val="en-US" w:eastAsia="zh-CN"/>
                <w14:textFill>
                  <w14:solidFill>
                    <w14:schemeClr w14:val="tx1"/>
                  </w14:solidFill>
                </w14:textFill>
              </w:rPr>
              <w:t>12</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 xml:space="preserve">    废气</w:t>
            </w:r>
            <w:r>
              <w:rPr>
                <w:rFonts w:hint="default" w:ascii="Times New Roman" w:hAnsi="Times New Roman" w:cs="Times New Roman"/>
                <w:b/>
                <w:bCs/>
                <w:color w:val="000000" w:themeColor="text1"/>
                <w14:textFill>
                  <w14:solidFill>
                    <w14:schemeClr w14:val="tx1"/>
                  </w14:solidFill>
                </w14:textFill>
              </w:rPr>
              <w:t>污染源监测计划</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78"/>
              <w:gridCol w:w="1418"/>
              <w:gridCol w:w="2388"/>
              <w:gridCol w:w="2509"/>
              <w:gridCol w:w="1253"/>
            </w:tblGrid>
            <w:tr w14:paraId="406996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0" w:type="pct"/>
                  <w:gridSpan w:val="2"/>
                  <w:tcBorders>
                    <w:tl2br w:val="nil"/>
                    <w:tr2bl w:val="nil"/>
                  </w:tcBorders>
                  <w:noWrap w:val="0"/>
                  <w:vAlign w:val="center"/>
                </w:tcPr>
                <w:p w14:paraId="6273F65A">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污染类型</w:t>
                  </w:r>
                </w:p>
              </w:tc>
              <w:tc>
                <w:tcPr>
                  <w:tcW w:w="1502" w:type="pct"/>
                  <w:tcBorders>
                    <w:tl2br w:val="nil"/>
                    <w:tr2bl w:val="nil"/>
                  </w:tcBorders>
                  <w:noWrap w:val="0"/>
                  <w:vAlign w:val="center"/>
                </w:tcPr>
                <w:p w14:paraId="0AC38034">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监测点位</w:t>
                  </w:r>
                </w:p>
              </w:tc>
              <w:tc>
                <w:tcPr>
                  <w:tcW w:w="1578" w:type="pct"/>
                  <w:tcBorders>
                    <w:tl2br w:val="nil"/>
                    <w:tr2bl w:val="nil"/>
                  </w:tcBorders>
                  <w:noWrap w:val="0"/>
                  <w:vAlign w:val="center"/>
                </w:tcPr>
                <w:p w14:paraId="7490AAB1">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监测项目</w:t>
                  </w:r>
                </w:p>
              </w:tc>
              <w:tc>
                <w:tcPr>
                  <w:tcW w:w="788" w:type="pct"/>
                  <w:tcBorders>
                    <w:tl2br w:val="nil"/>
                    <w:tr2bl w:val="nil"/>
                  </w:tcBorders>
                  <w:noWrap w:val="0"/>
                  <w:vAlign w:val="center"/>
                </w:tcPr>
                <w:p w14:paraId="0FC29DB5">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监测频次</w:t>
                  </w:r>
                </w:p>
              </w:tc>
            </w:tr>
            <w:tr w14:paraId="4BA0EF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7" w:type="pct"/>
                  <w:vMerge w:val="restart"/>
                  <w:tcBorders>
                    <w:tl2br w:val="nil"/>
                    <w:tr2bl w:val="nil"/>
                  </w:tcBorders>
                  <w:noWrap w:val="0"/>
                  <w:vAlign w:val="center"/>
                </w:tcPr>
                <w:p w14:paraId="75B2ED88">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废气</w:t>
                  </w:r>
                </w:p>
              </w:tc>
              <w:tc>
                <w:tcPr>
                  <w:tcW w:w="892" w:type="pct"/>
                  <w:vMerge w:val="restart"/>
                  <w:tcBorders>
                    <w:tl2br w:val="nil"/>
                    <w:tr2bl w:val="nil"/>
                  </w:tcBorders>
                  <w:noWrap w:val="0"/>
                  <w:vAlign w:val="center"/>
                </w:tcPr>
                <w:p w14:paraId="3FE3298D">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有组织废气</w:t>
                  </w:r>
                </w:p>
              </w:tc>
              <w:tc>
                <w:tcPr>
                  <w:tcW w:w="1502" w:type="pct"/>
                  <w:tcBorders>
                    <w:tl2br w:val="nil"/>
                    <w:tr2bl w:val="nil"/>
                  </w:tcBorders>
                  <w:noWrap w:val="0"/>
                  <w:vAlign w:val="center"/>
                </w:tcPr>
                <w:p w14:paraId="3B262F91">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DA001</w:t>
                  </w:r>
                  <w:r>
                    <w:rPr>
                      <w:rFonts w:hint="default" w:ascii="Times New Roman" w:hAnsi="Times New Roman" w:eastAsia="宋体" w:cs="Times New Roman"/>
                      <w:color w:val="000000" w:themeColor="text1"/>
                      <w:szCs w:val="21"/>
                      <w:lang w:val="en-US" w:eastAsia="zh-CN"/>
                      <w14:textFill>
                        <w14:solidFill>
                          <w14:schemeClr w14:val="tx1"/>
                        </w14:solidFill>
                      </w14:textFill>
                    </w:rPr>
                    <w:t>排气筒</w:t>
                  </w:r>
                </w:p>
              </w:tc>
              <w:tc>
                <w:tcPr>
                  <w:tcW w:w="1578" w:type="pct"/>
                  <w:tcBorders>
                    <w:tl2br w:val="nil"/>
                    <w:tr2bl w:val="nil"/>
                  </w:tcBorders>
                  <w:noWrap w:val="0"/>
                  <w:vAlign w:val="center"/>
                </w:tcPr>
                <w:p w14:paraId="5DFD3691">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颗粒物</w:t>
                  </w:r>
                </w:p>
              </w:tc>
              <w:tc>
                <w:tcPr>
                  <w:tcW w:w="788" w:type="pct"/>
                  <w:tcBorders>
                    <w:tl2br w:val="nil"/>
                    <w:tr2bl w:val="nil"/>
                  </w:tcBorders>
                  <w:noWrap w:val="0"/>
                  <w:vAlign w:val="center"/>
                </w:tcPr>
                <w:p w14:paraId="3FA910C3">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1次/</w:t>
                  </w:r>
                  <w:r>
                    <w:rPr>
                      <w:rFonts w:hint="eastAsia" w:ascii="Times New Roman" w:hAnsi="Times New Roman" w:cs="Times New Roman"/>
                      <w:color w:val="000000" w:themeColor="text1"/>
                      <w:szCs w:val="21"/>
                      <w:lang w:val="en-US" w:eastAsia="zh-CN"/>
                      <w14:textFill>
                        <w14:solidFill>
                          <w14:schemeClr w14:val="tx1"/>
                        </w14:solidFill>
                      </w14:textFill>
                    </w:rPr>
                    <w:t>半</w:t>
                  </w:r>
                  <w:r>
                    <w:rPr>
                      <w:rFonts w:hint="default" w:ascii="Times New Roman" w:hAnsi="Times New Roman" w:cs="Times New Roman"/>
                      <w:color w:val="000000" w:themeColor="text1"/>
                      <w:szCs w:val="21"/>
                      <w14:textFill>
                        <w14:solidFill>
                          <w14:schemeClr w14:val="tx1"/>
                        </w14:solidFill>
                      </w14:textFill>
                    </w:rPr>
                    <w:t>年</w:t>
                  </w:r>
                </w:p>
              </w:tc>
            </w:tr>
            <w:tr w14:paraId="6B90DD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7" w:type="pct"/>
                  <w:vMerge w:val="continue"/>
                  <w:tcBorders>
                    <w:tl2br w:val="nil"/>
                    <w:tr2bl w:val="nil"/>
                  </w:tcBorders>
                  <w:noWrap w:val="0"/>
                  <w:vAlign w:val="center"/>
                </w:tcPr>
                <w:p w14:paraId="2347022F">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p>
              </w:tc>
              <w:tc>
                <w:tcPr>
                  <w:tcW w:w="892" w:type="pct"/>
                  <w:vMerge w:val="continue"/>
                  <w:tcBorders>
                    <w:tl2br w:val="nil"/>
                    <w:tr2bl w:val="nil"/>
                  </w:tcBorders>
                  <w:noWrap w:val="0"/>
                  <w:vAlign w:val="center"/>
                </w:tcPr>
                <w:p w14:paraId="60053D21">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p>
              </w:tc>
              <w:tc>
                <w:tcPr>
                  <w:tcW w:w="1502" w:type="pct"/>
                  <w:tcBorders>
                    <w:tl2br w:val="nil"/>
                    <w:tr2bl w:val="nil"/>
                  </w:tcBorders>
                  <w:noWrap w:val="0"/>
                  <w:vAlign w:val="center"/>
                </w:tcPr>
                <w:p w14:paraId="55F0C258">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DA002</w:t>
                  </w:r>
                  <w:r>
                    <w:rPr>
                      <w:rFonts w:hint="default" w:ascii="Times New Roman" w:hAnsi="Times New Roman" w:eastAsia="宋体" w:cs="Times New Roman"/>
                      <w:color w:val="000000" w:themeColor="text1"/>
                      <w:szCs w:val="21"/>
                      <w:lang w:val="en-US" w:eastAsia="zh-CN"/>
                      <w14:textFill>
                        <w14:solidFill>
                          <w14:schemeClr w14:val="tx1"/>
                        </w14:solidFill>
                      </w14:textFill>
                    </w:rPr>
                    <w:t>排气筒</w:t>
                  </w:r>
                </w:p>
              </w:tc>
              <w:tc>
                <w:tcPr>
                  <w:tcW w:w="1578" w:type="pct"/>
                  <w:tcBorders>
                    <w:tl2br w:val="nil"/>
                    <w:tr2bl w:val="nil"/>
                  </w:tcBorders>
                  <w:noWrap w:val="0"/>
                  <w:vAlign w:val="center"/>
                </w:tcPr>
                <w:p w14:paraId="407C62BA">
                  <w:pPr>
                    <w:pageBreakBefore w:val="0"/>
                    <w:widowControl w:val="0"/>
                    <w:shd w:val="clear" w:color="auto" w:fill="auto"/>
                    <w:kinsoku/>
                    <w:bidi w:val="0"/>
                    <w:snapToGrid w:val="0"/>
                    <w:spacing w:line="360" w:lineRule="exact"/>
                    <w:ind w:left="0" w:leftChars="0" w:right="0" w:rightChars="0" w:firstLine="0" w:firstLineChars="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颗粒物</w:t>
                  </w:r>
                </w:p>
              </w:tc>
              <w:tc>
                <w:tcPr>
                  <w:tcW w:w="788" w:type="pct"/>
                  <w:tcBorders>
                    <w:tl2br w:val="nil"/>
                    <w:tr2bl w:val="nil"/>
                  </w:tcBorders>
                  <w:noWrap w:val="0"/>
                  <w:vAlign w:val="center"/>
                </w:tcPr>
                <w:p w14:paraId="67B18E81">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1次/</w:t>
                  </w:r>
                  <w:r>
                    <w:rPr>
                      <w:rFonts w:hint="eastAsia" w:ascii="Times New Roman" w:hAnsi="Times New Roman" w:cs="Times New Roman"/>
                      <w:color w:val="000000" w:themeColor="text1"/>
                      <w:szCs w:val="21"/>
                      <w:lang w:val="en-US" w:eastAsia="zh-CN"/>
                      <w14:textFill>
                        <w14:solidFill>
                          <w14:schemeClr w14:val="tx1"/>
                        </w14:solidFill>
                      </w14:textFill>
                    </w:rPr>
                    <w:t>半</w:t>
                  </w:r>
                  <w:r>
                    <w:rPr>
                      <w:rFonts w:hint="default" w:ascii="Times New Roman" w:hAnsi="Times New Roman" w:cs="Times New Roman"/>
                      <w:color w:val="000000" w:themeColor="text1"/>
                      <w:szCs w:val="21"/>
                      <w14:textFill>
                        <w14:solidFill>
                          <w14:schemeClr w14:val="tx1"/>
                        </w14:solidFill>
                      </w14:textFill>
                    </w:rPr>
                    <w:t>年</w:t>
                  </w:r>
                </w:p>
              </w:tc>
            </w:tr>
            <w:tr w14:paraId="6D9F71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7" w:type="pct"/>
                  <w:vMerge w:val="continue"/>
                  <w:tcBorders>
                    <w:tl2br w:val="nil"/>
                    <w:tr2bl w:val="nil"/>
                  </w:tcBorders>
                  <w:noWrap w:val="0"/>
                  <w:vAlign w:val="center"/>
                </w:tcPr>
                <w:p w14:paraId="01DD940A">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p>
              </w:tc>
              <w:tc>
                <w:tcPr>
                  <w:tcW w:w="892" w:type="pct"/>
                  <w:vMerge w:val="continue"/>
                  <w:tcBorders>
                    <w:tl2br w:val="nil"/>
                    <w:tr2bl w:val="nil"/>
                  </w:tcBorders>
                  <w:noWrap w:val="0"/>
                  <w:vAlign w:val="center"/>
                </w:tcPr>
                <w:p w14:paraId="02EA628A">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p>
              </w:tc>
              <w:tc>
                <w:tcPr>
                  <w:tcW w:w="1502" w:type="pct"/>
                  <w:tcBorders>
                    <w:tl2br w:val="nil"/>
                    <w:tr2bl w:val="nil"/>
                  </w:tcBorders>
                  <w:noWrap w:val="0"/>
                  <w:vAlign w:val="center"/>
                </w:tcPr>
                <w:p w14:paraId="306F7107">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DA003</w:t>
                  </w:r>
                  <w:r>
                    <w:rPr>
                      <w:rFonts w:hint="default" w:ascii="Times New Roman" w:hAnsi="Times New Roman" w:eastAsia="宋体" w:cs="Times New Roman"/>
                      <w:color w:val="000000" w:themeColor="text1"/>
                      <w:szCs w:val="21"/>
                      <w:lang w:val="en-US" w:eastAsia="zh-CN"/>
                      <w14:textFill>
                        <w14:solidFill>
                          <w14:schemeClr w14:val="tx1"/>
                        </w14:solidFill>
                      </w14:textFill>
                    </w:rPr>
                    <w:t>排气筒</w:t>
                  </w:r>
                </w:p>
              </w:tc>
              <w:tc>
                <w:tcPr>
                  <w:tcW w:w="1578" w:type="pct"/>
                  <w:tcBorders>
                    <w:tl2br w:val="nil"/>
                    <w:tr2bl w:val="nil"/>
                  </w:tcBorders>
                  <w:noWrap w:val="0"/>
                  <w:vAlign w:val="center"/>
                </w:tcPr>
                <w:p w14:paraId="6992F05C">
                  <w:pPr>
                    <w:pageBreakBefore w:val="0"/>
                    <w:widowControl w:val="0"/>
                    <w:shd w:val="clear" w:color="auto" w:fill="auto"/>
                    <w:kinsoku/>
                    <w:bidi w:val="0"/>
                    <w:snapToGrid w:val="0"/>
                    <w:spacing w:line="360" w:lineRule="exact"/>
                    <w:ind w:left="0" w:leftChars="0" w:right="0" w:rightChars="0" w:firstLine="0" w:firstLineChars="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颗粒物</w:t>
                  </w:r>
                </w:p>
              </w:tc>
              <w:tc>
                <w:tcPr>
                  <w:tcW w:w="788" w:type="pct"/>
                  <w:tcBorders>
                    <w:tl2br w:val="nil"/>
                    <w:tr2bl w:val="nil"/>
                  </w:tcBorders>
                  <w:noWrap w:val="0"/>
                  <w:vAlign w:val="center"/>
                </w:tcPr>
                <w:p w14:paraId="6F6B52BF">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1次/</w:t>
                  </w:r>
                  <w:r>
                    <w:rPr>
                      <w:rFonts w:hint="eastAsia" w:ascii="Times New Roman" w:hAnsi="Times New Roman" w:cs="Times New Roman"/>
                      <w:color w:val="000000" w:themeColor="text1"/>
                      <w:szCs w:val="21"/>
                      <w:lang w:val="en-US" w:eastAsia="zh-CN"/>
                      <w14:textFill>
                        <w14:solidFill>
                          <w14:schemeClr w14:val="tx1"/>
                        </w14:solidFill>
                      </w14:textFill>
                    </w:rPr>
                    <w:t>半</w:t>
                  </w:r>
                  <w:r>
                    <w:rPr>
                      <w:rFonts w:hint="default" w:ascii="Times New Roman" w:hAnsi="Times New Roman" w:cs="Times New Roman"/>
                      <w:color w:val="000000" w:themeColor="text1"/>
                      <w:szCs w:val="21"/>
                      <w14:textFill>
                        <w14:solidFill>
                          <w14:schemeClr w14:val="tx1"/>
                        </w14:solidFill>
                      </w14:textFill>
                    </w:rPr>
                    <w:t>年</w:t>
                  </w:r>
                </w:p>
              </w:tc>
            </w:tr>
            <w:tr w14:paraId="6A2A6E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7" w:type="pct"/>
                  <w:vMerge w:val="continue"/>
                  <w:tcBorders>
                    <w:tl2br w:val="nil"/>
                    <w:tr2bl w:val="nil"/>
                  </w:tcBorders>
                  <w:noWrap w:val="0"/>
                  <w:vAlign w:val="center"/>
                </w:tcPr>
                <w:p w14:paraId="6D1F24C5">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p>
              </w:tc>
              <w:tc>
                <w:tcPr>
                  <w:tcW w:w="892" w:type="pct"/>
                  <w:vMerge w:val="continue"/>
                  <w:tcBorders>
                    <w:tl2br w:val="nil"/>
                    <w:tr2bl w:val="nil"/>
                  </w:tcBorders>
                  <w:noWrap w:val="0"/>
                  <w:vAlign w:val="center"/>
                </w:tcPr>
                <w:p w14:paraId="4BB6EC37">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p>
              </w:tc>
              <w:tc>
                <w:tcPr>
                  <w:tcW w:w="1502" w:type="pct"/>
                  <w:tcBorders>
                    <w:tl2br w:val="nil"/>
                    <w:tr2bl w:val="nil"/>
                  </w:tcBorders>
                  <w:noWrap w:val="0"/>
                  <w:vAlign w:val="center"/>
                </w:tcPr>
                <w:p w14:paraId="2F919FF4">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DA004</w:t>
                  </w:r>
                  <w:r>
                    <w:rPr>
                      <w:rFonts w:hint="default" w:ascii="Times New Roman" w:hAnsi="Times New Roman" w:eastAsia="宋体" w:cs="Times New Roman"/>
                      <w:color w:val="000000" w:themeColor="text1"/>
                      <w:szCs w:val="21"/>
                      <w:lang w:val="en-US" w:eastAsia="zh-CN"/>
                      <w14:textFill>
                        <w14:solidFill>
                          <w14:schemeClr w14:val="tx1"/>
                        </w14:solidFill>
                      </w14:textFill>
                    </w:rPr>
                    <w:t>排气筒</w:t>
                  </w:r>
                </w:p>
              </w:tc>
              <w:tc>
                <w:tcPr>
                  <w:tcW w:w="1578" w:type="pct"/>
                  <w:tcBorders>
                    <w:tl2br w:val="nil"/>
                    <w:tr2bl w:val="nil"/>
                  </w:tcBorders>
                  <w:noWrap w:val="0"/>
                  <w:vAlign w:val="center"/>
                </w:tcPr>
                <w:p w14:paraId="6C463778">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颗粒物</w:t>
                  </w:r>
                  <w:r>
                    <w:rPr>
                      <w:rFonts w:hint="eastAsia" w:ascii="Times New Roman" w:hAnsi="Times New Roman" w:cs="Times New Roman"/>
                      <w:color w:val="000000" w:themeColor="text1"/>
                      <w:szCs w:val="21"/>
                      <w:lang w:eastAsia="zh-CN"/>
                      <w14:textFill>
                        <w14:solidFill>
                          <w14:schemeClr w14:val="tx1"/>
                        </w14:solidFill>
                      </w14:textFill>
                    </w:rPr>
                    <w:t>、</w:t>
                  </w:r>
                  <w:r>
                    <w:rPr>
                      <w:rFonts w:hint="eastAsia" w:ascii="Times New Roman" w:hAnsi="Times New Roman" w:cs="Times New Roman"/>
                      <w:color w:val="000000" w:themeColor="text1"/>
                      <w:szCs w:val="21"/>
                      <w:lang w:val="en-US" w:eastAsia="zh-CN"/>
                      <w14:textFill>
                        <w14:solidFill>
                          <w14:schemeClr w14:val="tx1"/>
                        </w14:solidFill>
                      </w14:textFill>
                    </w:rPr>
                    <w:t>二氧化硫、氮氧化物</w:t>
                  </w:r>
                </w:p>
              </w:tc>
              <w:tc>
                <w:tcPr>
                  <w:tcW w:w="788" w:type="pct"/>
                  <w:tcBorders>
                    <w:tl2br w:val="nil"/>
                    <w:tr2bl w:val="nil"/>
                  </w:tcBorders>
                  <w:noWrap w:val="0"/>
                  <w:vAlign w:val="center"/>
                </w:tcPr>
                <w:p w14:paraId="4716DBA2">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1次/</w:t>
                  </w:r>
                  <w:r>
                    <w:rPr>
                      <w:rFonts w:hint="eastAsia" w:ascii="Times New Roman" w:hAnsi="Times New Roman" w:cs="Times New Roman"/>
                      <w:color w:val="000000" w:themeColor="text1"/>
                      <w:szCs w:val="21"/>
                      <w:lang w:val="en-US" w:eastAsia="zh-CN"/>
                      <w14:textFill>
                        <w14:solidFill>
                          <w14:schemeClr w14:val="tx1"/>
                        </w14:solidFill>
                      </w14:textFill>
                    </w:rPr>
                    <w:t>半</w:t>
                  </w:r>
                  <w:r>
                    <w:rPr>
                      <w:rFonts w:hint="default" w:ascii="Times New Roman" w:hAnsi="Times New Roman" w:cs="Times New Roman"/>
                      <w:color w:val="000000" w:themeColor="text1"/>
                      <w:szCs w:val="21"/>
                      <w14:textFill>
                        <w14:solidFill>
                          <w14:schemeClr w14:val="tx1"/>
                        </w14:solidFill>
                      </w14:textFill>
                    </w:rPr>
                    <w:t>年</w:t>
                  </w:r>
                </w:p>
              </w:tc>
            </w:tr>
            <w:tr w14:paraId="546C87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7" w:type="pct"/>
                  <w:vMerge w:val="continue"/>
                  <w:tcBorders>
                    <w:tl2br w:val="nil"/>
                    <w:tr2bl w:val="nil"/>
                  </w:tcBorders>
                  <w:noWrap w:val="0"/>
                  <w:vAlign w:val="center"/>
                </w:tcPr>
                <w:p w14:paraId="53679008">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p>
              </w:tc>
              <w:tc>
                <w:tcPr>
                  <w:tcW w:w="892" w:type="pct"/>
                  <w:tcBorders>
                    <w:tl2br w:val="nil"/>
                    <w:tr2bl w:val="nil"/>
                  </w:tcBorders>
                  <w:noWrap w:val="0"/>
                  <w:vAlign w:val="center"/>
                </w:tcPr>
                <w:p w14:paraId="30CB0BCD">
                  <w:pPr>
                    <w:pageBreakBefore w:val="0"/>
                    <w:widowControl w:val="0"/>
                    <w:shd w:val="clear" w:color="auto" w:fill="auto"/>
                    <w:kinsoku/>
                    <w:bidi w:val="0"/>
                    <w:snapToGrid w:val="0"/>
                    <w:spacing w:line="360" w:lineRule="exact"/>
                    <w:ind w:left="0" w:leftChars="0" w:right="0" w:rightChars="0" w:firstLine="0" w:firstLineChars="0"/>
                    <w:jc w:val="center"/>
                    <w:rPr>
                      <w:rFonts w:hint="eastAsia" w:ascii="Times New Roman" w:hAnsi="Times New Roman"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厂</w:t>
                  </w:r>
                  <w:r>
                    <w:rPr>
                      <w:rFonts w:hint="eastAsia" w:ascii="Times New Roman" w:hAnsi="Times New Roman" w:cs="Times New Roman"/>
                      <w:color w:val="000000" w:themeColor="text1"/>
                      <w:szCs w:val="21"/>
                      <w:lang w:val="en-US" w:eastAsia="zh-CN"/>
                      <w14:textFill>
                        <w14:solidFill>
                          <w14:schemeClr w14:val="tx1"/>
                        </w14:solidFill>
                      </w14:textFill>
                    </w:rPr>
                    <w:t>内</w:t>
                  </w:r>
                  <w:r>
                    <w:rPr>
                      <w:rFonts w:hint="default" w:ascii="Times New Roman" w:hAnsi="Times New Roman" w:cs="Times New Roman"/>
                      <w:color w:val="000000" w:themeColor="text1"/>
                      <w:szCs w:val="21"/>
                      <w14:textFill>
                        <w14:solidFill>
                          <w14:schemeClr w14:val="tx1"/>
                        </w14:solidFill>
                      </w14:textFill>
                    </w:rPr>
                    <w:t>无组织废气</w:t>
                  </w:r>
                </w:p>
              </w:tc>
              <w:tc>
                <w:tcPr>
                  <w:tcW w:w="1502" w:type="pct"/>
                  <w:tcBorders>
                    <w:tl2br w:val="nil"/>
                    <w:tr2bl w:val="nil"/>
                  </w:tcBorders>
                  <w:noWrap w:val="0"/>
                  <w:vAlign w:val="center"/>
                </w:tcPr>
                <w:p w14:paraId="422BD1A2">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厂房门窗或通风口、其他开口（孔）等排放口外</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14:textFill>
                        <w14:solidFill>
                          <w14:schemeClr w14:val="tx1"/>
                        </w14:solidFill>
                      </w14:textFill>
                    </w:rPr>
                    <w:t>m，距离地面1.5m以上位置处进行监测。若厂房不完整（如有顶无围墙），则在操作工位下风向1m，距离 地面1.5m以上位置处进行监测</w:t>
                  </w:r>
                </w:p>
              </w:tc>
              <w:tc>
                <w:tcPr>
                  <w:tcW w:w="1578" w:type="pct"/>
                  <w:tcBorders>
                    <w:tl2br w:val="nil"/>
                    <w:tr2bl w:val="nil"/>
                  </w:tcBorders>
                  <w:noWrap w:val="0"/>
                  <w:vAlign w:val="center"/>
                </w:tcPr>
                <w:p w14:paraId="457489A9">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非甲烷总烃</w:t>
                  </w:r>
                </w:p>
              </w:tc>
              <w:tc>
                <w:tcPr>
                  <w:tcW w:w="788" w:type="pct"/>
                  <w:tcBorders>
                    <w:tl2br w:val="nil"/>
                    <w:tr2bl w:val="nil"/>
                  </w:tcBorders>
                  <w:noWrap w:val="0"/>
                  <w:vAlign w:val="center"/>
                </w:tcPr>
                <w:p w14:paraId="0572DBBC">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1次/年</w:t>
                  </w:r>
                </w:p>
              </w:tc>
            </w:tr>
            <w:tr w14:paraId="7025A8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7" w:type="pct"/>
                  <w:vMerge w:val="continue"/>
                  <w:tcBorders>
                    <w:tl2br w:val="nil"/>
                    <w:tr2bl w:val="nil"/>
                  </w:tcBorders>
                  <w:noWrap w:val="0"/>
                  <w:vAlign w:val="center"/>
                </w:tcPr>
                <w:p w14:paraId="3A813D04">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p>
              </w:tc>
              <w:tc>
                <w:tcPr>
                  <w:tcW w:w="892" w:type="pct"/>
                  <w:tcBorders>
                    <w:tl2br w:val="nil"/>
                    <w:tr2bl w:val="nil"/>
                  </w:tcBorders>
                  <w:noWrap w:val="0"/>
                  <w:vAlign w:val="center"/>
                </w:tcPr>
                <w:p w14:paraId="701AB930">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厂</w:t>
                  </w:r>
                  <w:r>
                    <w:rPr>
                      <w:rFonts w:hint="eastAsia" w:ascii="Times New Roman" w:hAnsi="Times New Roman" w:cs="Times New Roman"/>
                      <w:color w:val="000000" w:themeColor="text1"/>
                      <w:szCs w:val="21"/>
                      <w:lang w:val="en-US" w:eastAsia="zh-CN"/>
                      <w14:textFill>
                        <w14:solidFill>
                          <w14:schemeClr w14:val="tx1"/>
                        </w14:solidFill>
                      </w14:textFill>
                    </w:rPr>
                    <w:t>界</w:t>
                  </w:r>
                  <w:r>
                    <w:rPr>
                      <w:rFonts w:hint="default" w:ascii="Times New Roman" w:hAnsi="Times New Roman" w:cs="Times New Roman"/>
                      <w:color w:val="000000" w:themeColor="text1"/>
                      <w:szCs w:val="21"/>
                      <w14:textFill>
                        <w14:solidFill>
                          <w14:schemeClr w14:val="tx1"/>
                        </w14:solidFill>
                      </w14:textFill>
                    </w:rPr>
                    <w:t>无组织废气</w:t>
                  </w:r>
                </w:p>
              </w:tc>
              <w:tc>
                <w:tcPr>
                  <w:tcW w:w="1502" w:type="pct"/>
                  <w:tcBorders>
                    <w:tl2br w:val="nil"/>
                    <w:tr2bl w:val="nil"/>
                  </w:tcBorders>
                  <w:noWrap w:val="0"/>
                  <w:vAlign w:val="center"/>
                </w:tcPr>
                <w:p w14:paraId="31A7411A">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厂</w:t>
                  </w:r>
                  <w:r>
                    <w:rPr>
                      <w:rFonts w:hint="default" w:ascii="Times New Roman" w:hAnsi="Times New Roman" w:cs="Times New Roman"/>
                      <w:color w:val="000000" w:themeColor="text1"/>
                      <w:szCs w:val="21"/>
                      <w:lang w:val="en-US" w:eastAsia="zh-CN"/>
                      <w14:textFill>
                        <w14:solidFill>
                          <w14:schemeClr w14:val="tx1"/>
                        </w14:solidFill>
                      </w14:textFill>
                    </w:rPr>
                    <w:t>界上风向1个点，下风向3个点</w:t>
                  </w:r>
                </w:p>
              </w:tc>
              <w:tc>
                <w:tcPr>
                  <w:tcW w:w="1578" w:type="pct"/>
                  <w:tcBorders>
                    <w:tl2br w:val="nil"/>
                    <w:tr2bl w:val="nil"/>
                  </w:tcBorders>
                  <w:noWrap w:val="0"/>
                  <w:vAlign w:val="center"/>
                </w:tcPr>
                <w:p w14:paraId="6FD767D5">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颗粒物、非甲烷总烃</w:t>
                  </w:r>
                </w:p>
              </w:tc>
              <w:tc>
                <w:tcPr>
                  <w:tcW w:w="788" w:type="pct"/>
                  <w:tcBorders>
                    <w:tl2br w:val="nil"/>
                    <w:tr2bl w:val="nil"/>
                  </w:tcBorders>
                  <w:noWrap w:val="0"/>
                  <w:vAlign w:val="center"/>
                </w:tcPr>
                <w:p w14:paraId="3CE0FC43">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1次/年</w:t>
                  </w:r>
                </w:p>
              </w:tc>
            </w:tr>
          </w:tbl>
          <w:p w14:paraId="0B1F0F41">
            <w:pPr>
              <w:pStyle w:val="27"/>
              <w:keepNext w:val="0"/>
              <w:keepLines w:val="0"/>
              <w:widowControl w:val="0"/>
              <w:suppressLineNumbers w:val="0"/>
              <w:spacing w:before="0" w:beforeAutospacing="0" w:after="0" w:afterAutospacing="0" w:line="360" w:lineRule="auto"/>
              <w:ind w:left="0" w:right="0" w:firstLine="482" w:firstLineChars="200"/>
              <w:jc w:val="both"/>
              <w:rPr>
                <w:rFonts w:hint="default" w:ascii="Times New Roman" w:hAnsi="Times New Roman" w:cs="Times New Roman"/>
                <w:b/>
                <w:bCs/>
                <w:color w:val="000000" w:themeColor="text1"/>
                <w:kern w:val="2"/>
                <w:sz w:val="24"/>
                <w:szCs w:val="22"/>
                <w:highlight w:val="none"/>
                <w:lang w:val="en-US" w:eastAsia="zh-CN" w:bidi="ar-SA"/>
                <w14:textFill>
                  <w14:solidFill>
                    <w14:schemeClr w14:val="tx1"/>
                  </w14:solidFill>
                </w14:textFill>
              </w:rPr>
            </w:pPr>
            <w:r>
              <w:rPr>
                <w:rFonts w:hint="eastAsia" w:ascii="Times New Roman" w:hAnsi="Times New Roman" w:cs="Times New Roman"/>
                <w:b/>
                <w:bCs/>
                <w:color w:val="000000" w:themeColor="text1"/>
                <w:kern w:val="2"/>
                <w:sz w:val="24"/>
                <w:szCs w:val="22"/>
                <w:highlight w:val="none"/>
                <w:lang w:val="en-US" w:eastAsia="zh-CN" w:bidi="ar-SA"/>
                <w14:textFill>
                  <w14:solidFill>
                    <w14:schemeClr w14:val="tx1"/>
                  </w14:solidFill>
                </w14:textFill>
              </w:rPr>
              <w:t>1.8大气排放口基本情况</w:t>
            </w:r>
          </w:p>
          <w:p w14:paraId="2C9A649E">
            <w:pPr>
              <w:pStyle w:val="39"/>
              <w:keepNext w:val="0"/>
              <w:keepLines w:val="0"/>
              <w:suppressLineNumbers w:val="0"/>
              <w:spacing w:before="0" w:beforeAutospacing="0" w:after="0" w:afterAutospacing="0" w:line="360" w:lineRule="auto"/>
              <w:ind w:left="0" w:right="0" w:firstLine="480"/>
              <w:jc w:val="both"/>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根据</w:t>
            </w:r>
            <w:r>
              <w:rPr>
                <w:rFonts w:hint="default" w:ascii="Times New Roman" w:hAnsi="Times New Roman" w:cs="Times New Roman"/>
                <w:b w:val="0"/>
                <w:bCs w:val="0"/>
                <w:color w:val="000000" w:themeColor="text1"/>
                <w:sz w:val="24"/>
                <w:szCs w:val="24"/>
                <w:highlight w:val="none"/>
                <w14:textFill>
                  <w14:solidFill>
                    <w14:schemeClr w14:val="tx1"/>
                  </w14:solidFill>
                </w14:textFill>
              </w:rPr>
              <w:t xml:space="preserve">《排污许可证申请与核发技术规范 </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总则</w:t>
            </w:r>
            <w:r>
              <w:rPr>
                <w:rFonts w:hint="default" w:ascii="Times New Roman" w:hAnsi="Times New Roman" w:cs="Times New Roman"/>
                <w:b w:val="0"/>
                <w:bCs w:val="0"/>
                <w:color w:val="000000" w:themeColor="text1"/>
                <w:sz w:val="24"/>
                <w:szCs w:val="24"/>
                <w:highlight w:val="none"/>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14:textFill>
                  <w14:solidFill>
                    <w14:schemeClr w14:val="tx1"/>
                  </w14:solidFill>
                </w14:textFill>
              </w:rPr>
              <w:t>本项目大气排放口基本情况见下表</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4-</w:t>
            </w:r>
            <w:r>
              <w:rPr>
                <w:rFonts w:hint="eastAsia" w:cs="Times New Roman"/>
                <w:b w:val="0"/>
                <w:bCs w:val="0"/>
                <w:color w:val="000000" w:themeColor="text1"/>
                <w:sz w:val="24"/>
                <w:szCs w:val="24"/>
                <w:highlight w:val="none"/>
                <w:lang w:val="en-US" w:eastAsia="zh-CN"/>
                <w14:textFill>
                  <w14:solidFill>
                    <w14:schemeClr w14:val="tx1"/>
                  </w14:solidFill>
                </w14:textFill>
              </w:rPr>
              <w:t>13</w:t>
            </w:r>
            <w:r>
              <w:rPr>
                <w:rFonts w:hint="default" w:ascii="Times New Roman" w:hAnsi="Times New Roman" w:cs="Times New Roman"/>
                <w:b w:val="0"/>
                <w:bCs w:val="0"/>
                <w:color w:val="000000" w:themeColor="text1"/>
                <w:sz w:val="24"/>
                <w:szCs w:val="24"/>
                <w:highlight w:val="none"/>
                <w14:textFill>
                  <w14:solidFill>
                    <w14:schemeClr w14:val="tx1"/>
                  </w14:solidFill>
                </w14:textFill>
              </w:rPr>
              <w:t>。</w:t>
            </w:r>
          </w:p>
          <w:p w14:paraId="4CF7CBA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表</w:t>
            </w: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4-</w:t>
            </w:r>
            <w:r>
              <w:rPr>
                <w:rFonts w:hint="eastAsia" w:cs="Times New Roman"/>
                <w:b/>
                <w:color w:val="000000" w:themeColor="text1"/>
                <w:sz w:val="21"/>
                <w:szCs w:val="21"/>
                <w:lang w:val="en-US" w:eastAsia="zh-CN"/>
                <w14:textFill>
                  <w14:solidFill>
                    <w14:schemeClr w14:val="tx1"/>
                  </w14:solidFill>
                </w14:textFill>
              </w:rPr>
              <w:t>13</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 xml:space="preserve">   大气排放口基本情况表</w:t>
            </w:r>
          </w:p>
          <w:tbl>
            <w:tblPr>
              <w:tblStyle w:val="29"/>
              <w:tblW w:w="507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343"/>
              <w:gridCol w:w="738"/>
              <w:gridCol w:w="1600"/>
              <w:gridCol w:w="1112"/>
              <w:gridCol w:w="1075"/>
              <w:gridCol w:w="1000"/>
              <w:gridCol w:w="1100"/>
              <w:gridCol w:w="1100"/>
            </w:tblGrid>
            <w:tr w14:paraId="29260F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787" w:hRule="atLeast"/>
                <w:jc w:val="center"/>
              </w:trPr>
              <w:tc>
                <w:tcPr>
                  <w:tcW w:w="212" w:type="pct"/>
                  <w:tcBorders>
                    <w:tl2br w:val="nil"/>
                    <w:tr2bl w:val="nil"/>
                  </w:tcBorders>
                  <w:noWrap w:val="0"/>
                  <w:vAlign w:val="center"/>
                </w:tcPr>
                <w:p w14:paraId="2D320539">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序号</w:t>
                  </w:r>
                </w:p>
              </w:tc>
              <w:tc>
                <w:tcPr>
                  <w:tcW w:w="457" w:type="pct"/>
                  <w:tcBorders>
                    <w:tl2br w:val="nil"/>
                    <w:tr2bl w:val="nil"/>
                  </w:tcBorders>
                  <w:noWrap w:val="0"/>
                  <w:vAlign w:val="center"/>
                </w:tcPr>
                <w:p w14:paraId="372866B6">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排放口编号</w:t>
                  </w:r>
                </w:p>
              </w:tc>
              <w:tc>
                <w:tcPr>
                  <w:tcW w:w="991" w:type="pct"/>
                  <w:tcBorders>
                    <w:tl2br w:val="nil"/>
                    <w:tr2bl w:val="nil"/>
                  </w:tcBorders>
                  <w:noWrap w:val="0"/>
                  <w:vAlign w:val="center"/>
                </w:tcPr>
                <w:p w14:paraId="16E5BFC8">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排放口名称</w:t>
                  </w:r>
                </w:p>
              </w:tc>
              <w:tc>
                <w:tcPr>
                  <w:tcW w:w="689" w:type="pct"/>
                  <w:tcBorders>
                    <w:tl2br w:val="nil"/>
                    <w:tr2bl w:val="nil"/>
                  </w:tcBorders>
                  <w:noWrap w:val="0"/>
                  <w:vAlign w:val="center"/>
                </w:tcPr>
                <w:p w14:paraId="73872928">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污染物种类</w:t>
                  </w:r>
                </w:p>
              </w:tc>
              <w:tc>
                <w:tcPr>
                  <w:tcW w:w="666" w:type="pct"/>
                  <w:tcBorders>
                    <w:tl2br w:val="nil"/>
                    <w:tr2bl w:val="nil"/>
                  </w:tcBorders>
                  <w:noWrap w:val="0"/>
                  <w:vAlign w:val="center"/>
                </w:tcPr>
                <w:p w14:paraId="70DEFB49">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排气筒高度（m）</w:t>
                  </w:r>
                </w:p>
              </w:tc>
              <w:tc>
                <w:tcPr>
                  <w:tcW w:w="619" w:type="pct"/>
                  <w:tcBorders>
                    <w:tl2br w:val="nil"/>
                    <w:tr2bl w:val="nil"/>
                  </w:tcBorders>
                  <w:noWrap w:val="0"/>
                  <w:vAlign w:val="center"/>
                </w:tcPr>
                <w:p w14:paraId="0115BA4F">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排气筒出口内径（m）</w:t>
                  </w:r>
                </w:p>
              </w:tc>
              <w:tc>
                <w:tcPr>
                  <w:tcW w:w="681" w:type="pct"/>
                  <w:tcBorders>
                    <w:tl2br w:val="nil"/>
                    <w:tr2bl w:val="nil"/>
                  </w:tcBorders>
                  <w:noWrap w:val="0"/>
                  <w:vAlign w:val="center"/>
                </w:tcPr>
                <w:p w14:paraId="3B17A496">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类型</w:t>
                  </w:r>
                </w:p>
              </w:tc>
              <w:tc>
                <w:tcPr>
                  <w:tcW w:w="681" w:type="pct"/>
                  <w:tcBorders>
                    <w:tl2br w:val="nil"/>
                    <w:tr2bl w:val="nil"/>
                  </w:tcBorders>
                  <w:noWrap w:val="0"/>
                  <w:vAlign w:val="center"/>
                </w:tcPr>
                <w:p w14:paraId="0A3FC5EB">
                  <w:pPr>
                    <w:pStyle w:val="79"/>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排放口</w:t>
                  </w:r>
                  <w:r>
                    <w:rPr>
                      <w:rFonts w:hint="eastAsia" w:cs="Times New Roman"/>
                      <w:b/>
                      <w:bCs/>
                      <w:color w:val="000000" w:themeColor="text1"/>
                      <w:sz w:val="21"/>
                      <w:szCs w:val="21"/>
                      <w:highlight w:val="none"/>
                      <w:lang w:val="en-US" w:eastAsia="zh-CN"/>
                      <w14:textFill>
                        <w14:solidFill>
                          <w14:schemeClr w14:val="tx1"/>
                        </w14:solidFill>
                      </w14:textFill>
                    </w:rPr>
                    <w:t>地理坐标</w:t>
                  </w:r>
                </w:p>
              </w:tc>
            </w:tr>
            <w:tr w14:paraId="55012B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12" w:type="pct"/>
                  <w:tcBorders>
                    <w:tl2br w:val="nil"/>
                    <w:tr2bl w:val="nil"/>
                  </w:tcBorders>
                  <w:noWrap w:val="0"/>
                  <w:vAlign w:val="center"/>
                </w:tcPr>
                <w:p w14:paraId="3CC34FE7">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w:t>
                  </w:r>
                </w:p>
              </w:tc>
              <w:tc>
                <w:tcPr>
                  <w:tcW w:w="457" w:type="pct"/>
                  <w:tcBorders>
                    <w:tl2br w:val="nil"/>
                    <w:tr2bl w:val="nil"/>
                  </w:tcBorders>
                  <w:noWrap w:val="0"/>
                  <w:vAlign w:val="center"/>
                </w:tcPr>
                <w:p w14:paraId="2F5FFFDA">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DA</w:t>
                  </w:r>
                  <w:r>
                    <w:rPr>
                      <w:rFonts w:hint="eastAsia" w:ascii="Times New Roman" w:hAnsi="Times New Roman" w:eastAsia="宋体" w:cs="Times New Roman"/>
                      <w:color w:val="000000" w:themeColor="text1"/>
                      <w:szCs w:val="21"/>
                      <w:lang w:val="en-US" w:eastAsia="zh-CN"/>
                      <w14:textFill>
                        <w14:solidFill>
                          <w14:schemeClr w14:val="tx1"/>
                        </w14:solidFill>
                      </w14:textFill>
                    </w:rPr>
                    <w:t>001</w:t>
                  </w:r>
                </w:p>
              </w:tc>
              <w:tc>
                <w:tcPr>
                  <w:tcW w:w="991" w:type="pct"/>
                  <w:tcBorders>
                    <w:tl2br w:val="nil"/>
                    <w:tr2bl w:val="nil"/>
                  </w:tcBorders>
                  <w:noWrap w:val="0"/>
                  <w:vAlign w:val="center"/>
                </w:tcPr>
                <w:p w14:paraId="578EFEAC">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农林秸秆废弃物破碎</w:t>
                  </w:r>
                  <w:r>
                    <w:rPr>
                      <w:rFonts w:hint="eastAsia" w:ascii="Times New Roman" w:hAnsi="Times New Roman" w:eastAsia="宋体" w:cs="Times New Roman"/>
                      <w:color w:val="000000" w:themeColor="text1"/>
                      <w:szCs w:val="21"/>
                      <w:lang w:val="en-US" w:eastAsia="zh-CN"/>
                      <w14:textFill>
                        <w14:solidFill>
                          <w14:schemeClr w14:val="tx1"/>
                        </w14:solidFill>
                      </w14:textFill>
                    </w:rPr>
                    <w:t>废气</w:t>
                  </w:r>
                  <w:r>
                    <w:rPr>
                      <w:rFonts w:hint="default" w:ascii="Times New Roman" w:hAnsi="Times New Roman" w:eastAsia="宋体" w:cs="Times New Roman"/>
                      <w:color w:val="000000" w:themeColor="text1"/>
                      <w:szCs w:val="21"/>
                      <w:lang w:val="en-US" w:eastAsia="zh-CN"/>
                      <w14:textFill>
                        <w14:solidFill>
                          <w14:schemeClr w14:val="tx1"/>
                        </w14:solidFill>
                      </w14:textFill>
                    </w:rPr>
                    <w:t>排放口</w:t>
                  </w:r>
                </w:p>
              </w:tc>
              <w:tc>
                <w:tcPr>
                  <w:tcW w:w="689" w:type="pct"/>
                  <w:tcBorders>
                    <w:tl2br w:val="nil"/>
                    <w:tr2bl w:val="nil"/>
                  </w:tcBorders>
                  <w:noWrap w:val="0"/>
                  <w:vAlign w:val="center"/>
                </w:tcPr>
                <w:p w14:paraId="7CCA8A32">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颗粒物</w:t>
                  </w:r>
                </w:p>
              </w:tc>
              <w:tc>
                <w:tcPr>
                  <w:tcW w:w="666" w:type="pct"/>
                  <w:tcBorders>
                    <w:tl2br w:val="nil"/>
                    <w:tr2bl w:val="nil"/>
                  </w:tcBorders>
                  <w:noWrap w:val="0"/>
                  <w:vAlign w:val="center"/>
                </w:tcPr>
                <w:p w14:paraId="1146A4D2">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15</w:t>
                  </w:r>
                </w:p>
              </w:tc>
              <w:tc>
                <w:tcPr>
                  <w:tcW w:w="619" w:type="pct"/>
                  <w:tcBorders>
                    <w:tl2br w:val="nil"/>
                    <w:tr2bl w:val="nil"/>
                  </w:tcBorders>
                  <w:noWrap w:val="0"/>
                  <w:vAlign w:val="center"/>
                </w:tcPr>
                <w:p w14:paraId="64E4997C">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0.3</w:t>
                  </w:r>
                </w:p>
              </w:tc>
              <w:tc>
                <w:tcPr>
                  <w:tcW w:w="681" w:type="pct"/>
                  <w:tcBorders>
                    <w:tl2br w:val="nil"/>
                    <w:tr2bl w:val="nil"/>
                  </w:tcBorders>
                  <w:noWrap w:val="0"/>
                  <w:vAlign w:val="center"/>
                </w:tcPr>
                <w:p w14:paraId="1E3065CA">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一般</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排放口</w:t>
                  </w:r>
                </w:p>
              </w:tc>
              <w:tc>
                <w:tcPr>
                  <w:tcW w:w="681" w:type="pct"/>
                  <w:tcBorders>
                    <w:tl2br w:val="nil"/>
                    <w:tr2bl w:val="nil"/>
                  </w:tcBorders>
                  <w:noWrap w:val="0"/>
                  <w:vAlign w:val="center"/>
                </w:tcPr>
                <w:p w14:paraId="02D7152E">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86.647966；44.174924</w:t>
                  </w:r>
                </w:p>
              </w:tc>
            </w:tr>
            <w:tr w14:paraId="51ED3A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12" w:type="pct"/>
                  <w:tcBorders>
                    <w:tl2br w:val="nil"/>
                    <w:tr2bl w:val="nil"/>
                  </w:tcBorders>
                  <w:noWrap w:val="0"/>
                  <w:vAlign w:val="center"/>
                </w:tcPr>
                <w:p w14:paraId="4E10DF90">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c>
                <w:tcPr>
                  <w:tcW w:w="457" w:type="pct"/>
                  <w:tcBorders>
                    <w:tl2br w:val="nil"/>
                    <w:tr2bl w:val="nil"/>
                  </w:tcBorders>
                  <w:noWrap w:val="0"/>
                  <w:vAlign w:val="center"/>
                </w:tcPr>
                <w:p w14:paraId="1EABF639">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DA002</w:t>
                  </w:r>
                </w:p>
              </w:tc>
              <w:tc>
                <w:tcPr>
                  <w:tcW w:w="991" w:type="pct"/>
                  <w:tcBorders>
                    <w:tl2br w:val="nil"/>
                    <w:tr2bl w:val="nil"/>
                  </w:tcBorders>
                  <w:noWrap w:val="0"/>
                  <w:vAlign w:val="center"/>
                </w:tcPr>
                <w:p w14:paraId="78175D92">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炭块粉碎、有机肥（筛分、造粒、灌装）</w:t>
                  </w:r>
                  <w:r>
                    <w:rPr>
                      <w:rFonts w:hint="eastAsia" w:ascii="Times New Roman" w:hAnsi="Times New Roman" w:eastAsia="宋体" w:cs="Times New Roman"/>
                      <w:color w:val="000000" w:themeColor="text1"/>
                      <w:szCs w:val="21"/>
                      <w:lang w:val="en-US" w:eastAsia="zh-CN"/>
                      <w14:textFill>
                        <w14:solidFill>
                          <w14:schemeClr w14:val="tx1"/>
                        </w14:solidFill>
                      </w14:textFill>
                    </w:rPr>
                    <w:t>废气</w:t>
                  </w:r>
                  <w:r>
                    <w:rPr>
                      <w:rFonts w:hint="default" w:ascii="Times New Roman" w:hAnsi="Times New Roman" w:eastAsia="宋体" w:cs="Times New Roman"/>
                      <w:color w:val="000000" w:themeColor="text1"/>
                      <w:szCs w:val="21"/>
                      <w14:textFill>
                        <w14:solidFill>
                          <w14:schemeClr w14:val="tx1"/>
                        </w14:solidFill>
                      </w14:textFill>
                    </w:rPr>
                    <w:t>排</w:t>
                  </w:r>
                  <w:r>
                    <w:rPr>
                      <w:rFonts w:hint="default" w:ascii="Times New Roman" w:hAnsi="Times New Roman" w:eastAsia="宋体" w:cs="Times New Roman"/>
                      <w:color w:val="000000" w:themeColor="text1"/>
                      <w:szCs w:val="21"/>
                      <w:lang w:val="en-US" w:eastAsia="zh-CN"/>
                      <w14:textFill>
                        <w14:solidFill>
                          <w14:schemeClr w14:val="tx1"/>
                        </w14:solidFill>
                      </w14:textFill>
                    </w:rPr>
                    <w:t>放口</w:t>
                  </w:r>
                </w:p>
              </w:tc>
              <w:tc>
                <w:tcPr>
                  <w:tcW w:w="689" w:type="pct"/>
                  <w:tcBorders>
                    <w:tl2br w:val="nil"/>
                    <w:tr2bl w:val="nil"/>
                  </w:tcBorders>
                  <w:noWrap w:val="0"/>
                  <w:vAlign w:val="center"/>
                </w:tcPr>
                <w:p w14:paraId="2DCCAEC2">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颗粒物</w:t>
                  </w:r>
                </w:p>
              </w:tc>
              <w:tc>
                <w:tcPr>
                  <w:tcW w:w="666" w:type="pct"/>
                  <w:tcBorders>
                    <w:tl2br w:val="nil"/>
                    <w:tr2bl w:val="nil"/>
                  </w:tcBorders>
                  <w:noWrap w:val="0"/>
                  <w:vAlign w:val="center"/>
                </w:tcPr>
                <w:p w14:paraId="6AF272CB">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15</w:t>
                  </w:r>
                </w:p>
              </w:tc>
              <w:tc>
                <w:tcPr>
                  <w:tcW w:w="619" w:type="pct"/>
                  <w:tcBorders>
                    <w:tl2br w:val="nil"/>
                    <w:tr2bl w:val="nil"/>
                  </w:tcBorders>
                  <w:noWrap w:val="0"/>
                  <w:vAlign w:val="center"/>
                </w:tcPr>
                <w:p w14:paraId="545F0E51">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0.3</w:t>
                  </w:r>
                </w:p>
              </w:tc>
              <w:tc>
                <w:tcPr>
                  <w:tcW w:w="681" w:type="pct"/>
                  <w:tcBorders>
                    <w:tl2br w:val="nil"/>
                    <w:tr2bl w:val="nil"/>
                  </w:tcBorders>
                  <w:noWrap w:val="0"/>
                  <w:vAlign w:val="center"/>
                </w:tcPr>
                <w:p w14:paraId="14A1EAC0">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一般排放口</w:t>
                  </w:r>
                </w:p>
              </w:tc>
              <w:tc>
                <w:tcPr>
                  <w:tcW w:w="681" w:type="pct"/>
                  <w:tcBorders>
                    <w:tl2br w:val="nil"/>
                    <w:tr2bl w:val="nil"/>
                  </w:tcBorders>
                  <w:noWrap w:val="0"/>
                  <w:vAlign w:val="center"/>
                </w:tcPr>
                <w:p w14:paraId="3A5A8ACC">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86.647900；44.175820</w:t>
                  </w:r>
                </w:p>
              </w:tc>
            </w:tr>
            <w:tr w14:paraId="4BEA56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12" w:type="pct"/>
                  <w:tcBorders>
                    <w:tl2br w:val="nil"/>
                    <w:tr2bl w:val="nil"/>
                  </w:tcBorders>
                  <w:noWrap w:val="0"/>
                  <w:vAlign w:val="center"/>
                </w:tcPr>
                <w:p w14:paraId="718AE8EE">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w:t>
                  </w:r>
                </w:p>
              </w:tc>
              <w:tc>
                <w:tcPr>
                  <w:tcW w:w="457" w:type="pct"/>
                  <w:tcBorders>
                    <w:tl2br w:val="nil"/>
                    <w:tr2bl w:val="nil"/>
                  </w:tcBorders>
                  <w:noWrap w:val="0"/>
                  <w:vAlign w:val="center"/>
                </w:tcPr>
                <w:p w14:paraId="1EBADB56">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DA</w:t>
                  </w:r>
                  <w:r>
                    <w:rPr>
                      <w:rFonts w:hint="eastAsia" w:ascii="Times New Roman" w:hAnsi="Times New Roman" w:eastAsia="宋体" w:cs="Times New Roman"/>
                      <w:color w:val="000000" w:themeColor="text1"/>
                      <w:szCs w:val="21"/>
                      <w:lang w:val="en-US" w:eastAsia="zh-CN"/>
                      <w14:textFill>
                        <w14:solidFill>
                          <w14:schemeClr w14:val="tx1"/>
                        </w14:solidFill>
                      </w14:textFill>
                    </w:rPr>
                    <w:t>003</w:t>
                  </w:r>
                </w:p>
              </w:tc>
              <w:tc>
                <w:tcPr>
                  <w:tcW w:w="991" w:type="pct"/>
                  <w:tcBorders>
                    <w:tl2br w:val="nil"/>
                    <w:tr2bl w:val="nil"/>
                  </w:tcBorders>
                  <w:noWrap w:val="0"/>
                  <w:vAlign w:val="center"/>
                </w:tcPr>
                <w:p w14:paraId="5A2A97DA">
                  <w:pPr>
                    <w:pageBreakBefore w:val="0"/>
                    <w:widowControl w:val="0"/>
                    <w:shd w:val="clear" w:color="auto" w:fill="auto"/>
                    <w:kinsoku/>
                    <w:bidi w:val="0"/>
                    <w:snapToGrid w:val="0"/>
                    <w:spacing w:line="360" w:lineRule="exact"/>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破碎后农林秸秆废弃物在炭化炉顶部下料</w:t>
                  </w:r>
                  <w:r>
                    <w:rPr>
                      <w:rFonts w:hint="eastAsia" w:ascii="Times New Roman" w:hAnsi="Times New Roman" w:eastAsia="宋体" w:cs="Times New Roman"/>
                      <w:color w:val="000000" w:themeColor="text1"/>
                      <w:szCs w:val="21"/>
                      <w:lang w:val="en-US" w:eastAsia="zh-CN"/>
                      <w14:textFill>
                        <w14:solidFill>
                          <w14:schemeClr w14:val="tx1"/>
                        </w14:solidFill>
                      </w14:textFill>
                    </w:rPr>
                    <w:t>废气</w:t>
                  </w:r>
                  <w:r>
                    <w:rPr>
                      <w:rFonts w:hint="default" w:ascii="Times New Roman" w:hAnsi="Times New Roman" w:eastAsia="宋体" w:cs="Times New Roman"/>
                      <w:color w:val="000000" w:themeColor="text1"/>
                      <w:szCs w:val="21"/>
                      <w14:textFill>
                        <w14:solidFill>
                          <w14:schemeClr w14:val="tx1"/>
                        </w14:solidFill>
                      </w14:textFill>
                    </w:rPr>
                    <w:t>排</w:t>
                  </w:r>
                  <w:r>
                    <w:rPr>
                      <w:rFonts w:hint="default" w:ascii="Times New Roman" w:hAnsi="Times New Roman" w:eastAsia="宋体" w:cs="Times New Roman"/>
                      <w:color w:val="000000" w:themeColor="text1"/>
                      <w:szCs w:val="21"/>
                      <w:lang w:val="en-US" w:eastAsia="zh-CN"/>
                      <w14:textFill>
                        <w14:solidFill>
                          <w14:schemeClr w14:val="tx1"/>
                        </w14:solidFill>
                      </w14:textFill>
                    </w:rPr>
                    <w:t>放口</w:t>
                  </w:r>
                </w:p>
              </w:tc>
              <w:tc>
                <w:tcPr>
                  <w:tcW w:w="689" w:type="pct"/>
                  <w:tcBorders>
                    <w:tl2br w:val="nil"/>
                    <w:tr2bl w:val="nil"/>
                  </w:tcBorders>
                  <w:noWrap w:val="0"/>
                  <w:vAlign w:val="center"/>
                </w:tcPr>
                <w:p w14:paraId="2CA152BA">
                  <w:pPr>
                    <w:pageBreakBefore w:val="0"/>
                    <w:widowControl w:val="0"/>
                    <w:shd w:val="clear" w:color="auto" w:fill="auto"/>
                    <w:kinsoku/>
                    <w:bidi w:val="0"/>
                    <w:snapToGrid w:val="0"/>
                    <w:spacing w:line="360" w:lineRule="exact"/>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颗粒物</w:t>
                  </w:r>
                </w:p>
              </w:tc>
              <w:tc>
                <w:tcPr>
                  <w:tcW w:w="666" w:type="pct"/>
                  <w:tcBorders>
                    <w:tl2br w:val="nil"/>
                    <w:tr2bl w:val="nil"/>
                  </w:tcBorders>
                  <w:noWrap w:val="0"/>
                  <w:vAlign w:val="center"/>
                </w:tcPr>
                <w:p w14:paraId="023B5A6D">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15</w:t>
                  </w:r>
                </w:p>
              </w:tc>
              <w:tc>
                <w:tcPr>
                  <w:tcW w:w="619" w:type="pct"/>
                  <w:tcBorders>
                    <w:tl2br w:val="nil"/>
                    <w:tr2bl w:val="nil"/>
                  </w:tcBorders>
                  <w:noWrap w:val="0"/>
                  <w:vAlign w:val="center"/>
                </w:tcPr>
                <w:p w14:paraId="6A430A2A">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0.3</w:t>
                  </w:r>
                </w:p>
              </w:tc>
              <w:tc>
                <w:tcPr>
                  <w:tcW w:w="681" w:type="pct"/>
                  <w:tcBorders>
                    <w:tl2br w:val="nil"/>
                    <w:tr2bl w:val="nil"/>
                  </w:tcBorders>
                  <w:noWrap w:val="0"/>
                  <w:vAlign w:val="center"/>
                </w:tcPr>
                <w:p w14:paraId="43368F77">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一般排放口</w:t>
                  </w:r>
                </w:p>
              </w:tc>
              <w:tc>
                <w:tcPr>
                  <w:tcW w:w="681" w:type="pct"/>
                  <w:tcBorders>
                    <w:tl2br w:val="nil"/>
                    <w:tr2bl w:val="nil"/>
                  </w:tcBorders>
                  <w:noWrap w:val="0"/>
                  <w:vAlign w:val="center"/>
                </w:tcPr>
                <w:p w14:paraId="12C5D32C">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86.647884；44.175351</w:t>
                  </w:r>
                </w:p>
              </w:tc>
            </w:tr>
            <w:tr w14:paraId="3A53C3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12" w:type="pct"/>
                  <w:tcBorders>
                    <w:tl2br w:val="nil"/>
                    <w:tr2bl w:val="nil"/>
                  </w:tcBorders>
                  <w:noWrap w:val="0"/>
                  <w:vAlign w:val="center"/>
                </w:tcPr>
                <w:p w14:paraId="57C08202">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w:t>
                  </w:r>
                </w:p>
              </w:tc>
              <w:tc>
                <w:tcPr>
                  <w:tcW w:w="457" w:type="pct"/>
                  <w:tcBorders>
                    <w:tl2br w:val="nil"/>
                    <w:tr2bl w:val="nil"/>
                  </w:tcBorders>
                  <w:noWrap w:val="0"/>
                  <w:vAlign w:val="center"/>
                </w:tcPr>
                <w:p w14:paraId="370E0478">
                  <w:pPr>
                    <w:pageBreakBefore w:val="0"/>
                    <w:widowControl w:val="0"/>
                    <w:shd w:val="clear" w:color="auto" w:fill="auto"/>
                    <w:kinsoku/>
                    <w:bidi w:val="0"/>
                    <w:snapToGrid w:val="0"/>
                    <w:spacing w:line="360" w:lineRule="exact"/>
                    <w:ind w:left="0" w:leftChars="0" w:right="0" w:rightChars="0" w:firstLine="0" w:firstLine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DA</w:t>
                  </w:r>
                  <w:r>
                    <w:rPr>
                      <w:rFonts w:hint="eastAsia" w:ascii="Times New Roman" w:hAnsi="Times New Roman" w:eastAsia="宋体" w:cs="Times New Roman"/>
                      <w:color w:val="000000" w:themeColor="text1"/>
                      <w:szCs w:val="21"/>
                      <w:lang w:val="en-US" w:eastAsia="zh-CN"/>
                      <w14:textFill>
                        <w14:solidFill>
                          <w14:schemeClr w14:val="tx1"/>
                        </w14:solidFill>
                      </w14:textFill>
                    </w:rPr>
                    <w:t>004</w:t>
                  </w:r>
                </w:p>
              </w:tc>
              <w:tc>
                <w:tcPr>
                  <w:tcW w:w="991" w:type="pct"/>
                  <w:tcBorders>
                    <w:tl2br w:val="nil"/>
                    <w:tr2bl w:val="nil"/>
                  </w:tcBorders>
                  <w:noWrap w:val="0"/>
                  <w:vAlign w:val="center"/>
                </w:tcPr>
                <w:p w14:paraId="20029217">
                  <w:pPr>
                    <w:pageBreakBefore w:val="0"/>
                    <w:widowControl w:val="0"/>
                    <w:shd w:val="clear" w:color="auto" w:fill="auto"/>
                    <w:kinsoku/>
                    <w:bidi w:val="0"/>
                    <w:snapToGrid w:val="0"/>
                    <w:spacing w:line="360" w:lineRule="exact"/>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热风炉废气</w:t>
                  </w:r>
                  <w:r>
                    <w:rPr>
                      <w:rFonts w:hint="default" w:ascii="Times New Roman" w:hAnsi="Times New Roman" w:eastAsia="宋体" w:cs="Times New Roman"/>
                      <w:color w:val="000000" w:themeColor="text1"/>
                      <w:szCs w:val="21"/>
                      <w14:textFill>
                        <w14:solidFill>
                          <w14:schemeClr w14:val="tx1"/>
                        </w14:solidFill>
                      </w14:textFill>
                    </w:rPr>
                    <w:t>排</w:t>
                  </w:r>
                  <w:r>
                    <w:rPr>
                      <w:rFonts w:hint="default" w:ascii="Times New Roman" w:hAnsi="Times New Roman" w:eastAsia="宋体" w:cs="Times New Roman"/>
                      <w:color w:val="000000" w:themeColor="text1"/>
                      <w:szCs w:val="21"/>
                      <w:lang w:val="en-US" w:eastAsia="zh-CN"/>
                      <w14:textFill>
                        <w14:solidFill>
                          <w14:schemeClr w14:val="tx1"/>
                        </w14:solidFill>
                      </w14:textFill>
                    </w:rPr>
                    <w:t>放口</w:t>
                  </w:r>
                </w:p>
              </w:tc>
              <w:tc>
                <w:tcPr>
                  <w:tcW w:w="689" w:type="pct"/>
                  <w:tcBorders>
                    <w:tl2br w:val="nil"/>
                    <w:tr2bl w:val="nil"/>
                  </w:tcBorders>
                  <w:noWrap w:val="0"/>
                  <w:vAlign w:val="center"/>
                </w:tcPr>
                <w:p w14:paraId="02F0BD43">
                  <w:pPr>
                    <w:pageBreakBefore w:val="0"/>
                    <w:widowControl w:val="0"/>
                    <w:shd w:val="clear" w:color="auto" w:fill="auto"/>
                    <w:kinsoku/>
                    <w:bidi w:val="0"/>
                    <w:snapToGrid w:val="0"/>
                    <w:spacing w:line="360" w:lineRule="exact"/>
                    <w:ind w:left="0" w:leftChars="0" w:right="0" w:rightChars="0" w:firstLine="0" w:firstLineChars="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颗粒物</w:t>
                  </w:r>
                  <w:r>
                    <w:rPr>
                      <w:rFonts w:hint="eastAsia" w:ascii="Times New Roman" w:hAnsi="Times New Roman" w:cs="Times New Roman"/>
                      <w:color w:val="000000" w:themeColor="text1"/>
                      <w:szCs w:val="21"/>
                      <w:lang w:eastAsia="zh-CN"/>
                      <w14:textFill>
                        <w14:solidFill>
                          <w14:schemeClr w14:val="tx1"/>
                        </w14:solidFill>
                      </w14:textFill>
                    </w:rPr>
                    <w:t>、</w:t>
                  </w:r>
                  <w:r>
                    <w:rPr>
                      <w:rFonts w:hint="eastAsia" w:ascii="Times New Roman" w:hAnsi="Times New Roman" w:cs="Times New Roman"/>
                      <w:color w:val="000000" w:themeColor="text1"/>
                      <w:szCs w:val="21"/>
                      <w:lang w:val="en-US" w:eastAsia="zh-CN"/>
                      <w14:textFill>
                        <w14:solidFill>
                          <w14:schemeClr w14:val="tx1"/>
                        </w14:solidFill>
                      </w14:textFill>
                    </w:rPr>
                    <w:t>二氧化硫、氮氧化物</w:t>
                  </w:r>
                </w:p>
              </w:tc>
              <w:tc>
                <w:tcPr>
                  <w:tcW w:w="666" w:type="pct"/>
                  <w:tcBorders>
                    <w:tl2br w:val="nil"/>
                    <w:tr2bl w:val="nil"/>
                  </w:tcBorders>
                  <w:noWrap w:val="0"/>
                  <w:vAlign w:val="center"/>
                </w:tcPr>
                <w:p w14:paraId="597BFABA">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15</w:t>
                  </w:r>
                </w:p>
              </w:tc>
              <w:tc>
                <w:tcPr>
                  <w:tcW w:w="619" w:type="pct"/>
                  <w:tcBorders>
                    <w:tl2br w:val="nil"/>
                    <w:tr2bl w:val="nil"/>
                  </w:tcBorders>
                  <w:noWrap w:val="0"/>
                  <w:vAlign w:val="center"/>
                </w:tcPr>
                <w:p w14:paraId="535FEE9A">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eastAsia="仿宋_GB2312" w:cs="Times New Roman"/>
                      <w:color w:val="000000" w:themeColor="text1"/>
                      <w:sz w:val="21"/>
                      <w:szCs w:val="21"/>
                      <w:highlight w:val="none"/>
                      <w:lang w:val="en-US" w:eastAsia="zh-CN"/>
                      <w14:textFill>
                        <w14:solidFill>
                          <w14:schemeClr w14:val="tx1"/>
                        </w14:solidFill>
                      </w14:textFill>
                    </w:rPr>
                  </w:pPr>
                  <w:r>
                    <w:rPr>
                      <w:rFonts w:hint="eastAsia" w:eastAsia="仿宋_GB2312" w:cs="Times New Roman"/>
                      <w:color w:val="000000" w:themeColor="text1"/>
                      <w:sz w:val="21"/>
                      <w:szCs w:val="21"/>
                      <w:highlight w:val="none"/>
                      <w:lang w:val="en-US" w:eastAsia="zh-CN"/>
                      <w14:textFill>
                        <w14:solidFill>
                          <w14:schemeClr w14:val="tx1"/>
                        </w14:solidFill>
                      </w14:textFill>
                    </w:rPr>
                    <w:t>0.3</w:t>
                  </w:r>
                </w:p>
              </w:tc>
              <w:tc>
                <w:tcPr>
                  <w:tcW w:w="681" w:type="pct"/>
                  <w:tcBorders>
                    <w:tl2br w:val="nil"/>
                    <w:tr2bl w:val="nil"/>
                  </w:tcBorders>
                  <w:noWrap w:val="0"/>
                  <w:vAlign w:val="center"/>
                </w:tcPr>
                <w:p w14:paraId="5DA8E7D6">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一般排放口</w:t>
                  </w:r>
                </w:p>
              </w:tc>
              <w:tc>
                <w:tcPr>
                  <w:tcW w:w="681" w:type="pct"/>
                  <w:tcBorders>
                    <w:tl2br w:val="nil"/>
                    <w:tr2bl w:val="nil"/>
                  </w:tcBorders>
                  <w:noWrap w:val="0"/>
                  <w:vAlign w:val="center"/>
                </w:tcPr>
                <w:p w14:paraId="67DA4614">
                  <w:pPr>
                    <w:pStyle w:val="7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86.647960；44.174416</w:t>
                  </w:r>
                </w:p>
              </w:tc>
            </w:tr>
          </w:tbl>
          <w:p w14:paraId="41290A7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、废水环境影响和保护措施</w:t>
            </w:r>
          </w:p>
          <w:p w14:paraId="5E5FE70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本项目营运期</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无生产废水，废水主要为生活污水。</w:t>
            </w:r>
          </w:p>
          <w:p w14:paraId="1CC81D7D">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2.1生活污水</w:t>
            </w:r>
          </w:p>
          <w:p w14:paraId="60702BE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根据工程分析，本项目</w:t>
            </w:r>
            <w:r>
              <w:rPr>
                <w:rFonts w:hint="default" w:ascii="Times New Roman" w:hAnsi="Times New Roman" w:eastAsia="宋体" w:cs="Times New Roman"/>
                <w:snapToGrid w:val="0"/>
                <w:color w:val="000000" w:themeColor="text1"/>
                <w:sz w:val="24"/>
                <w:highlight w:val="none"/>
                <w14:textFill>
                  <w14:solidFill>
                    <w14:schemeClr w14:val="tx1"/>
                  </w14:solidFill>
                </w14:textFill>
              </w:rPr>
              <w:t>生活污水排放量</w:t>
            </w:r>
            <w:r>
              <w:rPr>
                <w:rFonts w:hint="eastAsia" w:ascii="Times New Roman" w:hAnsi="Times New Roman" w:eastAsia="宋体" w:cs="Times New Roman"/>
                <w:snapToGrid w:val="0"/>
                <w:color w:val="000000" w:themeColor="text1"/>
                <w:sz w:val="24"/>
                <w:highlight w:val="none"/>
                <w:lang w:val="en-US" w:eastAsia="zh-CN"/>
                <w14:textFill>
                  <w14:solidFill>
                    <w14:schemeClr w14:val="tx1"/>
                  </w14:solidFill>
                </w14:textFill>
              </w:rPr>
              <w:t>为0.768</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/d</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（230.4</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/a</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w:t>
            </w:r>
          </w:p>
          <w:p w14:paraId="4C36E14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参考《建设项目环境影响评价培训教材》中“我国城市生活污水水质统计数据”的数据，项目生活污水污染物浓度及产排量见表4-</w:t>
            </w:r>
            <w:r>
              <w:rPr>
                <w:rFonts w:hint="eastAsia" w:cs="Times New Roman"/>
                <w:b w:val="0"/>
                <w:bCs w:val="0"/>
                <w:color w:val="000000" w:themeColor="text1"/>
                <w:sz w:val="24"/>
                <w:szCs w:val="24"/>
                <w:highlight w:val="none"/>
                <w:lang w:val="en-US" w:eastAsia="zh-CN"/>
                <w14:textFill>
                  <w14:solidFill>
                    <w14:schemeClr w14:val="tx1"/>
                  </w14:solidFill>
                </w14:textFill>
              </w:rPr>
              <w:t>14</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p>
          <w:p w14:paraId="00BE4C7C">
            <w:pPr>
              <w:spacing w:line="240" w:lineRule="auto"/>
              <w:ind w:firstLine="422"/>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表</w:t>
            </w:r>
            <w:r>
              <w:rPr>
                <w:rFonts w:hint="eastAsia"/>
                <w:b/>
                <w:bCs/>
                <w:color w:val="000000" w:themeColor="text1"/>
                <w:szCs w:val="21"/>
                <w:highlight w:val="none"/>
                <w:lang w:val="en-US" w:eastAsia="zh-CN"/>
                <w14:textFill>
                  <w14:solidFill>
                    <w14:schemeClr w14:val="tx1"/>
                  </w14:solidFill>
                </w14:textFill>
              </w:rPr>
              <w:t>4-14</w:t>
            </w:r>
            <w:r>
              <w:rPr>
                <w:b/>
                <w:bCs/>
                <w:color w:val="000000" w:themeColor="text1"/>
                <w:szCs w:val="21"/>
                <w:highlight w:val="none"/>
                <w14:textFill>
                  <w14:solidFill>
                    <w14:schemeClr w14:val="tx1"/>
                  </w14:solidFill>
                </w14:textFill>
              </w:rPr>
              <w:t xml:space="preserve">  </w:t>
            </w:r>
            <w:r>
              <w:rPr>
                <w:rFonts w:hint="eastAsia"/>
                <w:b/>
                <w:bCs/>
                <w:color w:val="000000" w:themeColor="text1"/>
                <w:szCs w:val="21"/>
                <w:highlight w:val="none"/>
                <w:lang w:val="en-US" w:eastAsia="zh-CN"/>
                <w14:textFill>
                  <w14:solidFill>
                    <w14:schemeClr w14:val="tx1"/>
                  </w14:solidFill>
                </w14:textFill>
              </w:rPr>
              <w:t xml:space="preserve">  </w:t>
            </w:r>
            <w:r>
              <w:rPr>
                <w:b/>
                <w:bCs/>
                <w:color w:val="000000" w:themeColor="text1"/>
                <w:szCs w:val="21"/>
                <w:highlight w:val="none"/>
                <w14:textFill>
                  <w14:solidFill>
                    <w14:schemeClr w14:val="tx1"/>
                  </w14:solidFill>
                </w14:textFill>
              </w:rPr>
              <w:t>生活污水污染物情况一览表</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78"/>
              <w:gridCol w:w="991"/>
              <w:gridCol w:w="1691"/>
              <w:gridCol w:w="1150"/>
              <w:gridCol w:w="1656"/>
              <w:gridCol w:w="1177"/>
            </w:tblGrid>
            <w:tr w14:paraId="1DB480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tcBorders>
                    <w:tl2br w:val="nil"/>
                    <w:tr2bl w:val="nil"/>
                  </w:tcBorders>
                  <w:noWrap w:val="0"/>
                  <w:vAlign w:val="center"/>
                </w:tcPr>
                <w:p w14:paraId="50FC5B30">
                  <w:pPr>
                    <w:spacing w:line="240" w:lineRule="auto"/>
                    <w:ind w:firstLine="0" w:firstLineChars="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废水量</w:t>
                  </w:r>
                </w:p>
              </w:tc>
              <w:tc>
                <w:tcPr>
                  <w:tcW w:w="623" w:type="pct"/>
                  <w:tcBorders>
                    <w:tl2br w:val="nil"/>
                    <w:tr2bl w:val="nil"/>
                  </w:tcBorders>
                  <w:noWrap w:val="0"/>
                  <w:vAlign w:val="center"/>
                </w:tcPr>
                <w:p w14:paraId="7C2B6258">
                  <w:pPr>
                    <w:spacing w:line="240" w:lineRule="auto"/>
                    <w:ind w:firstLine="0" w:firstLineChars="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w:t>
                  </w:r>
                </w:p>
              </w:tc>
              <w:tc>
                <w:tcPr>
                  <w:tcW w:w="1064" w:type="pct"/>
                  <w:tcBorders>
                    <w:tl2br w:val="nil"/>
                    <w:tr2bl w:val="nil"/>
                  </w:tcBorders>
                  <w:noWrap w:val="0"/>
                  <w:vAlign w:val="center"/>
                </w:tcPr>
                <w:p w14:paraId="7166654E">
                  <w:pPr>
                    <w:spacing w:line="240" w:lineRule="auto"/>
                    <w:ind w:firstLine="0" w:firstLineChars="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产生浓度mg/L</w:t>
                  </w:r>
                </w:p>
              </w:tc>
              <w:tc>
                <w:tcPr>
                  <w:tcW w:w="723" w:type="pct"/>
                  <w:tcBorders>
                    <w:tl2br w:val="nil"/>
                    <w:tr2bl w:val="nil"/>
                  </w:tcBorders>
                  <w:noWrap w:val="0"/>
                  <w:vAlign w:val="center"/>
                </w:tcPr>
                <w:p w14:paraId="56B7C266">
                  <w:pPr>
                    <w:spacing w:line="240" w:lineRule="auto"/>
                    <w:ind w:firstLine="0" w:firstLineChars="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产生量t/a</w:t>
                  </w:r>
                </w:p>
              </w:tc>
              <w:tc>
                <w:tcPr>
                  <w:tcW w:w="1042" w:type="pct"/>
                  <w:tcBorders>
                    <w:tl2br w:val="nil"/>
                    <w:tr2bl w:val="nil"/>
                  </w:tcBorders>
                  <w:noWrap w:val="0"/>
                  <w:vAlign w:val="center"/>
                </w:tcPr>
                <w:p w14:paraId="171D45DB">
                  <w:pPr>
                    <w:spacing w:line="240" w:lineRule="auto"/>
                    <w:ind w:firstLine="0" w:firstLineChars="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排放浓度mg/L</w:t>
                  </w:r>
                </w:p>
              </w:tc>
              <w:tc>
                <w:tcPr>
                  <w:tcW w:w="740" w:type="pct"/>
                  <w:tcBorders>
                    <w:tl2br w:val="nil"/>
                    <w:tr2bl w:val="nil"/>
                  </w:tcBorders>
                  <w:noWrap w:val="0"/>
                  <w:vAlign w:val="center"/>
                </w:tcPr>
                <w:p w14:paraId="4E097510">
                  <w:pPr>
                    <w:spacing w:line="240" w:lineRule="auto"/>
                    <w:ind w:firstLine="0" w:firstLineChars="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排放量t/a</w:t>
                  </w:r>
                </w:p>
              </w:tc>
            </w:tr>
            <w:tr w14:paraId="674089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vMerge w:val="restart"/>
                  <w:tcBorders>
                    <w:tl2br w:val="nil"/>
                    <w:tr2bl w:val="nil"/>
                  </w:tcBorders>
                  <w:noWrap w:val="0"/>
                  <w:vAlign w:val="center"/>
                </w:tcPr>
                <w:p w14:paraId="1C042461">
                  <w:pPr>
                    <w:spacing w:line="240" w:lineRule="auto"/>
                    <w:ind w:firstLine="0" w:firstLineChars="0"/>
                    <w:jc w:val="center"/>
                    <w:rPr>
                      <w:color w:val="000000" w:themeColor="text1"/>
                      <w:szCs w:val="21"/>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230.4</w:t>
                  </w:r>
                  <w:r>
                    <w:rPr>
                      <w:color w:val="000000" w:themeColor="text1"/>
                      <w:sz w:val="24"/>
                      <w:szCs w:val="24"/>
                      <w:highlight w:val="none"/>
                      <w14:textFill>
                        <w14:solidFill>
                          <w14:schemeClr w14:val="tx1"/>
                        </w14:solidFill>
                      </w14:textFill>
                    </w:rPr>
                    <w:t>m</w:t>
                  </w:r>
                  <w:r>
                    <w:rPr>
                      <w:color w:val="000000" w:themeColor="text1"/>
                      <w:sz w:val="24"/>
                      <w:szCs w:val="24"/>
                      <w:highlight w:val="none"/>
                      <w:vertAlign w:val="superscript"/>
                      <w14:textFill>
                        <w14:solidFill>
                          <w14:schemeClr w14:val="tx1"/>
                        </w14:solidFill>
                      </w14:textFill>
                    </w:rPr>
                    <w:t>3</w:t>
                  </w:r>
                  <w:r>
                    <w:rPr>
                      <w:color w:val="000000" w:themeColor="text1"/>
                      <w:sz w:val="24"/>
                      <w:szCs w:val="24"/>
                      <w:highlight w:val="none"/>
                      <w14:textFill>
                        <w14:solidFill>
                          <w14:schemeClr w14:val="tx1"/>
                        </w14:solidFill>
                      </w14:textFill>
                    </w:rPr>
                    <w:t>/a</w:t>
                  </w:r>
                </w:p>
              </w:tc>
              <w:tc>
                <w:tcPr>
                  <w:tcW w:w="623" w:type="pct"/>
                  <w:tcBorders>
                    <w:tl2br w:val="nil"/>
                    <w:tr2bl w:val="nil"/>
                  </w:tcBorders>
                  <w:noWrap w:val="0"/>
                  <w:vAlign w:val="center"/>
                </w:tcPr>
                <w:p w14:paraId="68218F3B">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COD</w:t>
                  </w:r>
                </w:p>
              </w:tc>
              <w:tc>
                <w:tcPr>
                  <w:tcW w:w="1064" w:type="pct"/>
                  <w:tcBorders>
                    <w:tl2br w:val="nil"/>
                    <w:tr2bl w:val="nil"/>
                  </w:tcBorders>
                  <w:noWrap w:val="0"/>
                  <w:vAlign w:val="center"/>
                </w:tcPr>
                <w:p w14:paraId="15BC4ED2">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350</w:t>
                  </w:r>
                </w:p>
              </w:tc>
              <w:tc>
                <w:tcPr>
                  <w:tcW w:w="1150" w:type="dxa"/>
                  <w:tcBorders>
                    <w:tl2br w:val="nil"/>
                    <w:tr2bl w:val="nil"/>
                  </w:tcBorders>
                  <w:noWrap w:val="0"/>
                  <w:vAlign w:val="center"/>
                </w:tcPr>
                <w:p w14:paraId="52D601AD">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0.08064</w:t>
                  </w:r>
                </w:p>
              </w:tc>
              <w:tc>
                <w:tcPr>
                  <w:tcW w:w="1042" w:type="pct"/>
                  <w:tcBorders>
                    <w:tl2br w:val="nil"/>
                    <w:tr2bl w:val="nil"/>
                  </w:tcBorders>
                  <w:noWrap w:val="0"/>
                  <w:vAlign w:val="center"/>
                </w:tcPr>
                <w:p w14:paraId="2FD8B6EB">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300</w:t>
                  </w:r>
                </w:p>
              </w:tc>
              <w:tc>
                <w:tcPr>
                  <w:tcW w:w="1177" w:type="dxa"/>
                  <w:tcBorders>
                    <w:tl2br w:val="nil"/>
                    <w:tr2bl w:val="nil"/>
                  </w:tcBorders>
                  <w:noWrap w:val="0"/>
                  <w:vAlign w:val="center"/>
                </w:tcPr>
                <w:p w14:paraId="73BF11C7">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0.06912</w:t>
                  </w:r>
                </w:p>
              </w:tc>
            </w:tr>
            <w:tr w14:paraId="61B51F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vMerge w:val="continue"/>
                  <w:tcBorders>
                    <w:tl2br w:val="nil"/>
                    <w:tr2bl w:val="nil"/>
                  </w:tcBorders>
                  <w:noWrap w:val="0"/>
                  <w:vAlign w:val="center"/>
                </w:tcPr>
                <w:p w14:paraId="720980EB">
                  <w:pPr>
                    <w:spacing w:line="240" w:lineRule="auto"/>
                    <w:ind w:firstLine="0" w:firstLineChars="0"/>
                    <w:jc w:val="center"/>
                    <w:rPr>
                      <w:color w:val="000000" w:themeColor="text1"/>
                      <w:szCs w:val="21"/>
                      <w:highlight w:val="none"/>
                      <w14:textFill>
                        <w14:solidFill>
                          <w14:schemeClr w14:val="tx1"/>
                        </w14:solidFill>
                      </w14:textFill>
                    </w:rPr>
                  </w:pPr>
                </w:p>
              </w:tc>
              <w:tc>
                <w:tcPr>
                  <w:tcW w:w="623" w:type="pct"/>
                  <w:tcBorders>
                    <w:tl2br w:val="nil"/>
                    <w:tr2bl w:val="nil"/>
                  </w:tcBorders>
                  <w:noWrap w:val="0"/>
                  <w:vAlign w:val="center"/>
                </w:tcPr>
                <w:p w14:paraId="6A9BDD8F">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SS</w:t>
                  </w:r>
                </w:p>
              </w:tc>
              <w:tc>
                <w:tcPr>
                  <w:tcW w:w="1064" w:type="pct"/>
                  <w:tcBorders>
                    <w:tl2br w:val="nil"/>
                    <w:tr2bl w:val="nil"/>
                  </w:tcBorders>
                  <w:noWrap w:val="0"/>
                  <w:vAlign w:val="center"/>
                </w:tcPr>
                <w:p w14:paraId="1FCE74B4">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220</w:t>
                  </w:r>
                </w:p>
              </w:tc>
              <w:tc>
                <w:tcPr>
                  <w:tcW w:w="1150" w:type="dxa"/>
                  <w:tcBorders>
                    <w:tl2br w:val="nil"/>
                    <w:tr2bl w:val="nil"/>
                  </w:tcBorders>
                  <w:noWrap w:val="0"/>
                  <w:vAlign w:val="center"/>
                </w:tcPr>
                <w:p w14:paraId="2E4C169B">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0.050688</w:t>
                  </w:r>
                </w:p>
              </w:tc>
              <w:tc>
                <w:tcPr>
                  <w:tcW w:w="1042" w:type="pct"/>
                  <w:tcBorders>
                    <w:tl2br w:val="nil"/>
                    <w:tr2bl w:val="nil"/>
                  </w:tcBorders>
                  <w:noWrap w:val="0"/>
                  <w:vAlign w:val="center"/>
                </w:tcPr>
                <w:p w14:paraId="07372A7F">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180</w:t>
                  </w:r>
                </w:p>
              </w:tc>
              <w:tc>
                <w:tcPr>
                  <w:tcW w:w="1177" w:type="dxa"/>
                  <w:tcBorders>
                    <w:tl2br w:val="nil"/>
                    <w:tr2bl w:val="nil"/>
                  </w:tcBorders>
                  <w:noWrap w:val="0"/>
                  <w:vAlign w:val="center"/>
                </w:tcPr>
                <w:p w14:paraId="76373CCC">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0.041472</w:t>
                  </w:r>
                </w:p>
              </w:tc>
            </w:tr>
            <w:tr w14:paraId="1C1AB5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vMerge w:val="continue"/>
                  <w:tcBorders>
                    <w:tl2br w:val="nil"/>
                    <w:tr2bl w:val="nil"/>
                  </w:tcBorders>
                  <w:noWrap w:val="0"/>
                  <w:vAlign w:val="center"/>
                </w:tcPr>
                <w:p w14:paraId="2E2A8BA0">
                  <w:pPr>
                    <w:spacing w:line="240" w:lineRule="auto"/>
                    <w:ind w:firstLine="0" w:firstLineChars="0"/>
                    <w:jc w:val="center"/>
                    <w:rPr>
                      <w:color w:val="000000" w:themeColor="text1"/>
                      <w:szCs w:val="21"/>
                      <w:highlight w:val="none"/>
                      <w14:textFill>
                        <w14:solidFill>
                          <w14:schemeClr w14:val="tx1"/>
                        </w14:solidFill>
                      </w14:textFill>
                    </w:rPr>
                  </w:pPr>
                </w:p>
              </w:tc>
              <w:tc>
                <w:tcPr>
                  <w:tcW w:w="623" w:type="pct"/>
                  <w:tcBorders>
                    <w:tl2br w:val="nil"/>
                    <w:tr2bl w:val="nil"/>
                  </w:tcBorders>
                  <w:noWrap w:val="0"/>
                  <w:vAlign w:val="center"/>
                </w:tcPr>
                <w:p w14:paraId="0CEED12D">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BOD</w:t>
                  </w:r>
                  <w:r>
                    <w:rPr>
                      <w:color w:val="000000" w:themeColor="text1"/>
                      <w:szCs w:val="21"/>
                      <w:highlight w:val="none"/>
                      <w:vertAlign w:val="subscript"/>
                      <w14:textFill>
                        <w14:solidFill>
                          <w14:schemeClr w14:val="tx1"/>
                        </w14:solidFill>
                      </w14:textFill>
                    </w:rPr>
                    <w:t>5</w:t>
                  </w:r>
                </w:p>
              </w:tc>
              <w:tc>
                <w:tcPr>
                  <w:tcW w:w="1064" w:type="pct"/>
                  <w:tcBorders>
                    <w:tl2br w:val="nil"/>
                    <w:tr2bl w:val="nil"/>
                  </w:tcBorders>
                  <w:noWrap w:val="0"/>
                  <w:vAlign w:val="center"/>
                </w:tcPr>
                <w:p w14:paraId="0E488D5B">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200</w:t>
                  </w:r>
                </w:p>
              </w:tc>
              <w:tc>
                <w:tcPr>
                  <w:tcW w:w="1150" w:type="dxa"/>
                  <w:tcBorders>
                    <w:tl2br w:val="nil"/>
                    <w:tr2bl w:val="nil"/>
                  </w:tcBorders>
                  <w:noWrap w:val="0"/>
                  <w:vAlign w:val="center"/>
                </w:tcPr>
                <w:p w14:paraId="1331E101">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0.04608</w:t>
                  </w:r>
                </w:p>
              </w:tc>
              <w:tc>
                <w:tcPr>
                  <w:tcW w:w="1042" w:type="pct"/>
                  <w:tcBorders>
                    <w:tl2br w:val="nil"/>
                    <w:tr2bl w:val="nil"/>
                  </w:tcBorders>
                  <w:noWrap w:val="0"/>
                  <w:vAlign w:val="center"/>
                </w:tcPr>
                <w:p w14:paraId="2516DFD2">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180</w:t>
                  </w:r>
                </w:p>
              </w:tc>
              <w:tc>
                <w:tcPr>
                  <w:tcW w:w="1177" w:type="dxa"/>
                  <w:tcBorders>
                    <w:tl2br w:val="nil"/>
                    <w:tr2bl w:val="nil"/>
                  </w:tcBorders>
                  <w:noWrap w:val="0"/>
                  <w:vAlign w:val="center"/>
                </w:tcPr>
                <w:p w14:paraId="42DD3F32">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0.041472</w:t>
                  </w:r>
                </w:p>
              </w:tc>
            </w:tr>
            <w:tr w14:paraId="45CD8F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pct"/>
                  <w:vMerge w:val="continue"/>
                  <w:tcBorders>
                    <w:tl2br w:val="nil"/>
                    <w:tr2bl w:val="nil"/>
                  </w:tcBorders>
                  <w:noWrap w:val="0"/>
                  <w:vAlign w:val="center"/>
                </w:tcPr>
                <w:p w14:paraId="2215D765">
                  <w:pPr>
                    <w:spacing w:line="240" w:lineRule="auto"/>
                    <w:ind w:firstLine="0" w:firstLineChars="0"/>
                    <w:jc w:val="center"/>
                    <w:rPr>
                      <w:color w:val="000000" w:themeColor="text1"/>
                      <w:szCs w:val="21"/>
                      <w:highlight w:val="none"/>
                      <w14:textFill>
                        <w14:solidFill>
                          <w14:schemeClr w14:val="tx1"/>
                        </w14:solidFill>
                      </w14:textFill>
                    </w:rPr>
                  </w:pPr>
                </w:p>
              </w:tc>
              <w:tc>
                <w:tcPr>
                  <w:tcW w:w="623" w:type="pct"/>
                  <w:tcBorders>
                    <w:tl2br w:val="nil"/>
                    <w:tr2bl w:val="nil"/>
                  </w:tcBorders>
                  <w:noWrap w:val="0"/>
                  <w:vAlign w:val="center"/>
                </w:tcPr>
                <w:p w14:paraId="60B4DED3">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NH</w:t>
                  </w:r>
                  <w:r>
                    <w:rPr>
                      <w:color w:val="000000" w:themeColor="text1"/>
                      <w:szCs w:val="21"/>
                      <w:highlight w:val="none"/>
                      <w:vertAlign w:val="subscript"/>
                      <w14:textFill>
                        <w14:solidFill>
                          <w14:schemeClr w14:val="tx1"/>
                        </w14:solidFill>
                      </w14:textFill>
                    </w:rPr>
                    <w:t>3</w:t>
                  </w:r>
                  <w:r>
                    <w:rPr>
                      <w:color w:val="000000" w:themeColor="text1"/>
                      <w:szCs w:val="21"/>
                      <w:highlight w:val="none"/>
                      <w14:textFill>
                        <w14:solidFill>
                          <w14:schemeClr w14:val="tx1"/>
                        </w14:solidFill>
                      </w14:textFill>
                    </w:rPr>
                    <w:t>-N</w:t>
                  </w:r>
                </w:p>
              </w:tc>
              <w:tc>
                <w:tcPr>
                  <w:tcW w:w="1064" w:type="pct"/>
                  <w:tcBorders>
                    <w:tl2br w:val="nil"/>
                    <w:tr2bl w:val="nil"/>
                  </w:tcBorders>
                  <w:noWrap w:val="0"/>
                  <w:vAlign w:val="center"/>
                </w:tcPr>
                <w:p w14:paraId="1D796650">
                  <w:pPr>
                    <w:spacing w:line="240" w:lineRule="auto"/>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25</w:t>
                  </w:r>
                </w:p>
              </w:tc>
              <w:tc>
                <w:tcPr>
                  <w:tcW w:w="1150" w:type="dxa"/>
                  <w:tcBorders>
                    <w:tl2br w:val="nil"/>
                    <w:tr2bl w:val="nil"/>
                  </w:tcBorders>
                  <w:noWrap w:val="0"/>
                  <w:vAlign w:val="center"/>
                </w:tcPr>
                <w:p w14:paraId="062A4197">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0.00576</w:t>
                  </w:r>
                </w:p>
              </w:tc>
              <w:tc>
                <w:tcPr>
                  <w:tcW w:w="1042" w:type="pct"/>
                  <w:tcBorders>
                    <w:tl2br w:val="nil"/>
                    <w:tr2bl w:val="nil"/>
                  </w:tcBorders>
                  <w:noWrap w:val="0"/>
                  <w:vAlign w:val="center"/>
                </w:tcPr>
                <w:p w14:paraId="201183EA">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25</w:t>
                  </w:r>
                </w:p>
              </w:tc>
              <w:tc>
                <w:tcPr>
                  <w:tcW w:w="1177" w:type="dxa"/>
                  <w:tcBorders>
                    <w:tl2br w:val="nil"/>
                    <w:tr2bl w:val="nil"/>
                  </w:tcBorders>
                  <w:noWrap w:val="0"/>
                  <w:vAlign w:val="center"/>
                </w:tcPr>
                <w:p w14:paraId="22D3B5D4">
                  <w:pPr>
                    <w:spacing w:line="240" w:lineRule="auto"/>
                    <w:ind w:firstLine="0" w:firstLineChars="0"/>
                    <w:jc w:val="center"/>
                    <w:rPr>
                      <w:rFonts w:hint="default"/>
                      <w:color w:val="000000" w:themeColor="text1"/>
                      <w:szCs w:val="21"/>
                      <w:highlight w:val="none"/>
                      <w:lang w:val="en-US" w:eastAsia="zh-CN"/>
                      <w14:textFill>
                        <w14:solidFill>
                          <w14:schemeClr w14:val="tx1"/>
                        </w14:solidFill>
                      </w14:textFill>
                    </w:rPr>
                  </w:pPr>
                  <w:r>
                    <w:rPr>
                      <w:color w:val="000000" w:themeColor="text1"/>
                      <w:szCs w:val="21"/>
                      <w:highlight w:val="none"/>
                      <w:lang w:val="en-US" w:eastAsia="zh-CN"/>
                      <w14:textFill>
                        <w14:solidFill>
                          <w14:schemeClr w14:val="tx1"/>
                        </w14:solidFill>
                      </w14:textFill>
                    </w:rPr>
                    <w:t>0.00576</w:t>
                  </w:r>
                </w:p>
              </w:tc>
            </w:tr>
          </w:tbl>
          <w:p w14:paraId="31E4792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snapToGrid w:val="0"/>
                <w:color w:val="000000" w:themeColor="text1"/>
                <w:sz w:val="24"/>
                <w:highlight w:val="none"/>
                <w14:textFill>
                  <w14:solidFill>
                    <w14:schemeClr w14:val="tx1"/>
                  </w14:solidFill>
                </w14:textFill>
              </w:rPr>
            </w:pPr>
            <w:r>
              <w:rPr>
                <w:rFonts w:hint="default" w:ascii="Times New Roman" w:hAnsi="Times New Roman" w:eastAsia="宋体" w:cs="Times New Roman"/>
                <w:snapToGrid w:val="0"/>
                <w:color w:val="000000" w:themeColor="text1"/>
                <w:sz w:val="24"/>
                <w:highlight w:val="none"/>
                <w14:textFill>
                  <w14:solidFill>
                    <w14:schemeClr w14:val="tx1"/>
                  </w14:solidFill>
                </w14:textFill>
              </w:rPr>
              <w:t>办公楼南侧设置防渗化粪池，生活污水</w:t>
            </w:r>
            <w:r>
              <w:rPr>
                <w:rFonts w:hint="eastAsia" w:ascii="Times New Roman" w:hAnsi="Times New Roman" w:eastAsia="宋体" w:cs="Times New Roman"/>
                <w:snapToGrid w:val="0"/>
                <w:color w:val="000000" w:themeColor="text1"/>
                <w:sz w:val="24"/>
                <w:highlight w:val="none"/>
                <w:lang w:val="en-US" w:eastAsia="zh-CN"/>
                <w14:textFill>
                  <w14:solidFill>
                    <w14:schemeClr w14:val="tx1"/>
                  </w14:solidFill>
                </w14:textFill>
              </w:rPr>
              <w:t>排入</w:t>
            </w:r>
            <w:r>
              <w:rPr>
                <w:rFonts w:hint="default" w:ascii="Times New Roman" w:hAnsi="Times New Roman" w:eastAsia="宋体" w:cs="Times New Roman"/>
                <w:snapToGrid w:val="0"/>
                <w:color w:val="000000" w:themeColor="text1"/>
                <w:sz w:val="24"/>
                <w:highlight w:val="none"/>
                <w14:textFill>
                  <w14:solidFill>
                    <w14:schemeClr w14:val="tx1"/>
                  </w14:solidFill>
                </w14:textFill>
              </w:rPr>
              <w:t>化粪池</w:t>
            </w:r>
            <w:r>
              <w:rPr>
                <w:rFonts w:hint="eastAsia" w:ascii="Times New Roman" w:hAnsi="Times New Roman" w:eastAsia="宋体" w:cs="Times New Roman"/>
                <w:snapToGrid w:val="0"/>
                <w:color w:val="000000" w:themeColor="text1"/>
                <w:sz w:val="24"/>
                <w:highlight w:val="none"/>
                <w:lang w:val="en-US" w:eastAsia="zh-CN"/>
                <w14:textFill>
                  <w14:solidFill>
                    <w14:schemeClr w14:val="tx1"/>
                  </w14:solidFill>
                </w14:textFill>
              </w:rPr>
              <w:t>后</w:t>
            </w:r>
            <w:r>
              <w:rPr>
                <w:rFonts w:hint="default" w:ascii="Times New Roman" w:hAnsi="Times New Roman" w:eastAsia="宋体" w:cs="Times New Roman"/>
                <w:snapToGrid w:val="0"/>
                <w:color w:val="000000" w:themeColor="text1"/>
                <w:sz w:val="24"/>
                <w:highlight w:val="none"/>
                <w14:textFill>
                  <w14:solidFill>
                    <w14:schemeClr w14:val="tx1"/>
                  </w14:solidFill>
                </w14:textFill>
              </w:rPr>
              <w:t>定期拉运至呼图壁县工业园区化工园污水处理厂集中处理。</w:t>
            </w:r>
          </w:p>
          <w:p w14:paraId="7758374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2污水</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排放依托可行性</w:t>
            </w:r>
          </w:p>
          <w:p w14:paraId="205088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拉运距离及运输条件：</w:t>
            </w:r>
          </w:p>
          <w:p w14:paraId="05798E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本项目厂址距</w:t>
            </w:r>
            <w:r>
              <w:rPr>
                <w:rFonts w:hint="default" w:ascii="Times New Roman" w:hAnsi="Times New Roman" w:eastAsia="宋体" w:cs="Times New Roman"/>
                <w:snapToGrid w:val="0"/>
                <w:color w:val="000000" w:themeColor="text1"/>
                <w:sz w:val="24"/>
                <w:highlight w:val="none"/>
                <w14:textFill>
                  <w14:solidFill>
                    <w14:schemeClr w14:val="tx1"/>
                  </w14:solidFill>
                </w14:textFill>
              </w:rPr>
              <w:t>呼图壁县工业园区化工园污水处理厂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约</w:t>
            </w:r>
            <w:r>
              <w:rPr>
                <w:rFonts w:hint="eastAsia" w:cs="Times New Roman"/>
                <w:color w:val="000000" w:themeColor="text1"/>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km，沿线道路条件良好，具备稳定、可靠的运输条件，可保障</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污水</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及时转运，避免因运输距离过长导致废水积存或环境风险。</w:t>
            </w:r>
          </w:p>
          <w:p w14:paraId="650CB8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环保手续及稳定达标运行情况：</w:t>
            </w:r>
          </w:p>
          <w:p w14:paraId="642DD9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4"/>
                <w:highlight w:val="none"/>
                <w14:textFill>
                  <w14:solidFill>
                    <w14:schemeClr w14:val="tx1"/>
                  </w14:solidFill>
                </w14:textFill>
              </w:rPr>
              <w:t>呼图壁县工业园区化工园污水处理厂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位于呼图壁县工业园区化工园北侧边界以北3.7km</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，中心地理坐标：E</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86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36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32.14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″，N</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eastAsia" w:cs="Times New Roman"/>
                <w:color w:val="000000" w:themeColor="text1"/>
                <w:sz w:val="24"/>
                <w:szCs w:val="24"/>
                <w:highlight w:val="none"/>
                <w:lang w:val="en-US" w:eastAsia="zh-CN"/>
                <w14:textFill>
                  <w14:solidFill>
                    <w14:schemeClr w14:val="tx1"/>
                  </w14:solidFill>
                </w14:textFill>
              </w:rPr>
              <w:t>9</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38.44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″。由呼图壁县汇通达水务有限公司管理及运营。</w:t>
            </w:r>
          </w:p>
          <w:p w14:paraId="242A72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4"/>
                <w:highlight w:val="none"/>
                <w14:textFill>
                  <w14:solidFill>
                    <w14:schemeClr w14:val="tx1"/>
                  </w14:solidFill>
                </w14:textFill>
              </w:rPr>
              <w:t>呼图壁县工业园区化工园污水处理厂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于20</w:t>
            </w:r>
            <w:r>
              <w:rPr>
                <w:rFonts w:hint="eastAsia" w:cs="Times New Roman"/>
                <w:color w:val="000000" w:themeColor="text1"/>
                <w:sz w:val="24"/>
                <w:szCs w:val="24"/>
                <w:highlight w:val="none"/>
                <w:lang w:val="en-US" w:eastAsia="zh-CN"/>
                <w14:textFill>
                  <w14:solidFill>
                    <w14:schemeClr w14:val="tx1"/>
                  </w14:solidFill>
                </w14:textFill>
              </w:rPr>
              <w:t>13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年</w:t>
            </w:r>
            <w:r>
              <w:rPr>
                <w:rFonts w:hint="eastAsia" w:cs="Times New Roman"/>
                <w:color w:val="000000" w:themeColor="text1"/>
                <w:sz w:val="24"/>
                <w:szCs w:val="24"/>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月</w:t>
            </w:r>
            <w:r>
              <w:rPr>
                <w:rFonts w:hint="eastAsia" w:cs="Times New Roman"/>
                <w:color w:val="000000" w:themeColor="text1"/>
                <w:sz w:val="24"/>
                <w:szCs w:val="24"/>
                <w:highlight w:val="none"/>
                <w:lang w:val="en-US" w:eastAsia="zh-CN"/>
                <w14:textFill>
                  <w14:solidFill>
                    <w14:schemeClr w14:val="tx1"/>
                  </w14:solidFill>
                </w14:textFill>
              </w:rPr>
              <w:t>13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日取得原新疆维吾尔自治区环境保护厅出具的</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环评批复</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（新环评价函〔20</w:t>
            </w:r>
            <w:r>
              <w:rPr>
                <w:rFonts w:hint="eastAsia" w:cs="Times New Roman"/>
                <w:color w:val="000000" w:themeColor="text1"/>
                <w:sz w:val="24"/>
                <w:szCs w:val="24"/>
                <w:highlight w:val="none"/>
                <w:lang w:val="en-US" w:eastAsia="zh-CN"/>
                <w14:textFill>
                  <w14:solidFill>
                    <w14:schemeClr w14:val="tx1"/>
                  </w14:solidFill>
                </w14:textFill>
              </w:rPr>
              <w:t>13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1225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号），20</w:t>
            </w:r>
            <w:r>
              <w:rPr>
                <w:rFonts w:hint="eastAsia" w:cs="Times New Roman"/>
                <w:color w:val="000000" w:themeColor="text1"/>
                <w:sz w:val="24"/>
                <w:szCs w:val="24"/>
                <w:highlight w:val="none"/>
                <w:lang w:val="en-US" w:eastAsia="zh-CN"/>
                <w14:textFill>
                  <w14:solidFill>
                    <w14:schemeClr w14:val="tx1"/>
                  </w14:solidFill>
                </w14:textFill>
              </w:rPr>
              <w:t>18</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年</w:t>
            </w:r>
            <w:r>
              <w:rPr>
                <w:rFonts w:hint="eastAsia" w:cs="Times New Roman"/>
                <w:color w:val="000000" w:themeColor="text1"/>
                <w:sz w:val="24"/>
                <w:szCs w:val="24"/>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月</w:t>
            </w:r>
            <w:r>
              <w:rPr>
                <w:rFonts w:hint="eastAsia" w:cs="Times New Roman"/>
                <w:color w:val="000000" w:themeColor="text1"/>
                <w:sz w:val="24"/>
                <w:szCs w:val="24"/>
                <w:highlight w:val="none"/>
                <w:lang w:val="en-US" w:eastAsia="zh-CN"/>
                <w14:textFill>
                  <w14:solidFill>
                    <w14:schemeClr w14:val="tx1"/>
                  </w14:solidFill>
                </w14:textFill>
              </w:rPr>
              <w:t>13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日通过环境竣工保护验收（</w:t>
            </w:r>
            <w:r>
              <w:rPr>
                <w:rFonts w:hint="eastAsia" w:cs="Times New Roman"/>
                <w:color w:val="000000" w:themeColor="text1"/>
                <w:sz w:val="24"/>
                <w:szCs w:val="24"/>
                <w:highlight w:val="none"/>
                <w:lang w:val="en-US" w:eastAsia="zh-CN"/>
                <w14:textFill>
                  <w14:solidFill>
                    <w14:schemeClr w14:val="tx1"/>
                  </w14:solidFill>
                </w14:textFill>
              </w:rPr>
              <w:t>专家组验收意见及昌州环函</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〔20</w:t>
            </w:r>
            <w:r>
              <w:rPr>
                <w:rFonts w:hint="eastAsia" w:cs="Times New Roman"/>
                <w:color w:val="000000" w:themeColor="text1"/>
                <w:sz w:val="24"/>
                <w:szCs w:val="24"/>
                <w:highlight w:val="none"/>
                <w:lang w:val="en-US" w:eastAsia="zh-CN"/>
                <w14:textFill>
                  <w14:solidFill>
                    <w14:schemeClr w14:val="tx1"/>
                  </w14:solidFill>
                </w14:textFill>
              </w:rPr>
              <w:t>18</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58</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号）。</w:t>
            </w:r>
          </w:p>
          <w:p w14:paraId="3229CD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污水处理厂设计处理规模为</w:t>
            </w:r>
            <w:r>
              <w:rPr>
                <w:rFonts w:hint="eastAsia"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万m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/d，</w:t>
            </w:r>
            <w:r>
              <w:rPr>
                <w:rFonts w:hint="eastAsia" w:cs="Times New Roman"/>
                <w:color w:val="000000" w:themeColor="text1"/>
                <w:sz w:val="24"/>
                <w:szCs w:val="24"/>
                <w:highlight w:val="none"/>
                <w:lang w:val="en-US" w:eastAsia="zh-CN"/>
                <w14:textFill>
                  <w14:solidFill>
                    <w14:schemeClr w14:val="tx1"/>
                  </w14:solidFill>
                </w14:textFill>
              </w:rPr>
              <w:t>实际建设处理规模为1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万m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/d，采用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粗格栅</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混凝沉淀气浮池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ABR池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A</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O生化池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二沉池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臭氧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noBreakHyphen/>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曝气生物滤池</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消毒池处理工艺，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排水水质达到《城镇污水处理厂污染物排放标准》（GB18918-2002）一级标准中的A类标准</w:t>
            </w:r>
            <w:r>
              <w:rPr>
                <w:rFonts w:hint="eastAsia" w:cs="Times New Roman"/>
                <w:color w:val="000000" w:themeColor="text1"/>
                <w:sz w:val="24"/>
                <w:szCs w:val="24"/>
                <w:highlight w:val="none"/>
                <w:lang w:val="en-US" w:eastAsia="zh-CN"/>
                <w14:textFill>
                  <w14:solidFill>
                    <w14:schemeClr w14:val="tx1"/>
                  </w14:solidFill>
                </w14:textFill>
              </w:rPr>
              <w:t>，尾水用于园区企业回用及绿化。</w:t>
            </w:r>
          </w:p>
          <w:p w14:paraId="4C1907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4"/>
                <w:highlight w:val="none"/>
                <w14:textFill>
                  <w14:solidFill>
                    <w14:schemeClr w14:val="tx1"/>
                  </w14:solidFill>
                </w14:textFill>
              </w:rPr>
              <w:t>呼图壁县工业园区化工园污水处理厂</w:t>
            </w:r>
            <w:r>
              <w:rPr>
                <w:rFonts w:hint="eastAsia" w:cs="Times New Roman"/>
                <w:color w:val="000000" w:themeColor="text1"/>
                <w:sz w:val="24"/>
                <w:szCs w:val="24"/>
                <w:highlight w:val="none"/>
                <w:lang w:val="en-US" w:eastAsia="zh-CN"/>
                <w14:textFill>
                  <w14:solidFill>
                    <w14:schemeClr w14:val="tx1"/>
                  </w14:solidFill>
                </w14:textFill>
              </w:rPr>
              <w:t>主要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收集呼图壁县工业园区化工园各企业生产废水及生活污水</w:t>
            </w:r>
            <w:r>
              <w:rPr>
                <w:rFonts w:hint="eastAsia" w:cs="Times New Roman"/>
                <w:color w:val="000000" w:themeColor="text1"/>
                <w:sz w:val="24"/>
                <w:szCs w:val="24"/>
                <w:highlight w:val="none"/>
                <w:lang w:val="en-US" w:eastAsia="zh-CN"/>
                <w14:textFill>
                  <w14:solidFill>
                    <w14:schemeClr w14:val="tx1"/>
                  </w14:solidFill>
                </w14:textFill>
              </w:rPr>
              <w:t>。</w:t>
            </w:r>
          </w:p>
          <w:p w14:paraId="79822A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目前污水处理厂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处理规模</w:t>
            </w:r>
            <w:r>
              <w:rPr>
                <w:rFonts w:hint="eastAsia" w:cs="Times New Roman"/>
                <w:color w:val="000000" w:themeColor="text1"/>
                <w:sz w:val="24"/>
                <w:szCs w:val="24"/>
                <w:highlight w:val="none"/>
                <w:lang w:val="en-US" w:eastAsia="zh-CN"/>
                <w14:textFill>
                  <w14:solidFill>
                    <w14:schemeClr w14:val="tx1"/>
                  </w14:solidFill>
                </w14:textFill>
              </w:rPr>
              <w:t>约为4000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/d，</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余量为</w:t>
            </w:r>
            <w:r>
              <w:rPr>
                <w:rFonts w:hint="eastAsia" w:cs="Times New Roman"/>
                <w:color w:val="000000" w:themeColor="text1"/>
                <w:sz w:val="24"/>
                <w:szCs w:val="24"/>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000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/d，</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本项目废水排放量为0.768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/d</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，远小于该</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污水处理厂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污水处理余量。</w:t>
            </w:r>
          </w:p>
          <w:p w14:paraId="3BD0F9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）拉运全过程管控措施</w:t>
            </w:r>
          </w:p>
          <w:p w14:paraId="0EEE18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为确保废水拉运过程合法合规，本项目将建立废水产生、转移、运输、接收全链条台账管理制度，如实记录废水产生量、转移时间、拉运车辆信息、接收单位及接收量等信息，台账保存期限不少于5年；拉运车辆采用密闭罐车，防止运输途中泄漏、遗撒；本项目将与</w:t>
            </w:r>
            <w:r>
              <w:rPr>
                <w:rFonts w:hint="default" w:ascii="Times New Roman" w:hAnsi="Times New Roman" w:eastAsia="宋体" w:cs="Times New Roman"/>
                <w:snapToGrid w:val="0"/>
                <w:color w:val="000000" w:themeColor="text1"/>
                <w:sz w:val="24"/>
                <w:highlight w:val="none"/>
                <w14:textFill>
                  <w14:solidFill>
                    <w14:schemeClr w14:val="tx1"/>
                  </w14:solidFill>
                </w14:textFill>
              </w:rPr>
              <w:t>呼图壁县工业园区化工园污水处理厂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签订废水接收处理协议，明确双方权责，确保废水得到合法合规处置；严禁将废水交由无资质或不具备处理能力的单位处置，杜绝违规排放行为。</w:t>
            </w:r>
          </w:p>
          <w:p w14:paraId="312457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综上，本项目废水拉运至</w:t>
            </w:r>
            <w:r>
              <w:rPr>
                <w:rFonts w:hint="default" w:ascii="Times New Roman" w:hAnsi="Times New Roman" w:eastAsia="宋体" w:cs="Times New Roman"/>
                <w:snapToGrid w:val="0"/>
                <w:color w:val="000000" w:themeColor="text1"/>
                <w:sz w:val="24"/>
                <w:highlight w:val="none"/>
                <w14:textFill>
                  <w14:solidFill>
                    <w14:schemeClr w14:val="tx1"/>
                  </w14:solidFill>
                </w14:textFill>
              </w:rPr>
              <w:t>呼图壁县工业园区化工园污水处理厂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处理，在拉运距离、处理能力、环保手续及运行稳定性等方面均具备可行性，通过全过程台账管控及协议约束，可实现废水安全转运、合规处置。</w:t>
            </w:r>
          </w:p>
          <w:p w14:paraId="62F588BA">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cs="Times New Roman"/>
                <w:b/>
                <w:bCs/>
                <w:color w:val="000000" w:themeColor="text1"/>
                <w:kern w:val="0"/>
                <w:sz w:val="24"/>
                <w:szCs w:val="24"/>
                <w:highlight w:val="none"/>
                <w:lang w:val="en-US" w:eastAsia="zh-CN" w:bidi="ar"/>
                <w14:textFill>
                  <w14:solidFill>
                    <w14:schemeClr w14:val="tx1"/>
                  </w14:solidFill>
                </w14:textFill>
              </w:rPr>
            </w:pPr>
            <w:r>
              <w:rPr>
                <w:rFonts w:hint="eastAsia" w:cs="Times New Roman"/>
                <w:b/>
                <w:bCs/>
                <w:color w:val="000000" w:themeColor="text1"/>
                <w:kern w:val="0"/>
                <w:sz w:val="24"/>
                <w:szCs w:val="24"/>
                <w:highlight w:val="none"/>
                <w:lang w:val="en-US" w:eastAsia="zh-CN" w:bidi="ar"/>
                <w14:textFill>
                  <w14:solidFill>
                    <w14:schemeClr w14:val="tx1"/>
                  </w14:solidFill>
                </w14:textFill>
              </w:rPr>
              <w:t>2.3生产用水循环方式及不外排可行性论证</w:t>
            </w:r>
          </w:p>
          <w:p w14:paraId="07BF24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本项目生产用水循环系统主要用于粗木煤气冷却工序。</w:t>
            </w:r>
          </w:p>
          <w:p w14:paraId="501304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水循环方式说明</w:t>
            </w:r>
          </w:p>
          <w:p w14:paraId="4E31EC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炭化产生的粗木煤气采用水冷却法收集木醋液和木焦油，冷却水与木煤气通过密闭管道开展间接换热，气相与冷却水相互接触。项目4台炭化炉分别配套设置4个独立循环水箱；循环运行过程中，受设备运行温度、液体肥车间反应釜蒸馏工况以及新疆区域干燥气候条件共同影响，循环冷却水60%以水蒸气形式自然蒸发损耗，需定期补给新鲜水维持系统水量平衡；剩余40%循环水进入木醋液体系，项目无其他形式废水外排。</w:t>
            </w:r>
          </w:p>
          <w:p w14:paraId="40F6BB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不外排可行性</w:t>
            </w:r>
          </w:p>
          <w:p w14:paraId="736700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间接换热实现介质接触：冷却水与粗木煤气通过密闭管道间接换热，气相与冷却水发生接触，冷凝后部分冷却水进入木醋液，木醋液作为副产品回收利用，循环水体系不会产生外排废水；自然蒸发+进入木醋液为水唯一去向：系统不设置工艺废水排放口，循环水损耗途径为自然蒸发，部分冷却水随冷凝过程进入木醋液产品，补充新鲜水仅用于维持水量平衡，无需定期置换排放；水质稳定无需更换：循环水系统无外来污染物持续引入，仅发生热量传递，无污染物富集，无需定期排放废水，系统可长期稳定运行，无生产废水外排。</w:t>
            </w:r>
          </w:p>
          <w:p w14:paraId="0CE2F953">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3、声环境影响及治理措施</w:t>
            </w:r>
          </w:p>
          <w:p w14:paraId="783077B1">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3.1噪声源</w:t>
            </w:r>
          </w:p>
          <w:p w14:paraId="0D9C64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根据表2-5项目设备一览表，根据车间划分，</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产</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噪</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设备及</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建筑物名称</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359583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农林秸秆废弃物破碎车间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：双轴粉碎机、袋式除尘器；</w:t>
            </w:r>
          </w:p>
          <w:p w14:paraId="42A5B1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碳化车间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炭化炉</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、冷凝系统（水泵）、袋式除尘器；</w:t>
            </w:r>
          </w:p>
          <w:p w14:paraId="61EC22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固体肥车间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：粉碎机、筛分机、造粒机、灌装机、袋式除尘器；</w:t>
            </w:r>
          </w:p>
          <w:p w14:paraId="4EFD01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液体肥车间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：过滤器；</w:t>
            </w:r>
          </w:p>
          <w:p w14:paraId="3519C6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热储能车间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：热风炉、静电除尘器。</w:t>
            </w:r>
          </w:p>
          <w:p w14:paraId="531512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根据《环境噪声与振动控制工程技术导则》（HJ2034-2013），噪声值范围在80~110dB（A），主要噪声源及其噪声值见表4-</w:t>
            </w:r>
            <w:r>
              <w:rPr>
                <w:rFonts w:hint="eastAsia" w:cs="Times New Roman"/>
                <w:color w:val="000000" w:themeColor="text1"/>
                <w:sz w:val="24"/>
                <w:szCs w:val="24"/>
                <w:highlight w:val="none"/>
                <w:lang w:val="en-US" w:eastAsia="zh-CN"/>
                <w14:textFill>
                  <w14:solidFill>
                    <w14:schemeClr w14:val="tx1"/>
                  </w14:solidFill>
                </w14:textFill>
              </w:rPr>
              <w:t>15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1B72A2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06A98D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326AE1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5D5731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39573E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73588E1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r>
    </w:tbl>
    <w:p w14:paraId="542EEA53">
      <w:pPr>
        <w:rPr>
          <w:rFonts w:hint="default"/>
          <w:color w:val="000000" w:themeColor="text1"/>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9"/>
        <w:tblW w:w="506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2688"/>
      </w:tblGrid>
      <w:tr w14:paraId="20F35D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15" w:hRule="atLeast"/>
          <w:jc w:val="center"/>
        </w:trPr>
        <w:tc>
          <w:tcPr>
            <w:tcW w:w="614" w:type="dxa"/>
            <w:noWrap w:val="0"/>
            <w:tcMar>
              <w:left w:w="28" w:type="dxa"/>
              <w:right w:w="28" w:type="dxa"/>
            </w:tcMar>
            <w:vAlign w:val="center"/>
          </w:tcPr>
          <w:p w14:paraId="6E580B86">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运营</w:t>
            </w:r>
          </w:p>
          <w:p w14:paraId="3E6A442A">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期环</w:t>
            </w:r>
          </w:p>
          <w:p w14:paraId="4967E5A6">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境影</w:t>
            </w:r>
          </w:p>
          <w:p w14:paraId="7DFAC52D">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响和</w:t>
            </w:r>
          </w:p>
          <w:p w14:paraId="57A81606">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保护</w:t>
            </w:r>
          </w:p>
          <w:p w14:paraId="7DE253A0">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措施</w:t>
            </w:r>
          </w:p>
        </w:tc>
        <w:tc>
          <w:tcPr>
            <w:tcW w:w="12613" w:type="dxa"/>
            <w:noWrap w:val="0"/>
            <w:vAlign w:val="center"/>
          </w:tcPr>
          <w:p w14:paraId="6933BE7D">
            <w:pPr>
              <w:adjustRightInd w:val="0"/>
              <w:snapToGrid w:val="0"/>
              <w:jc w:val="center"/>
              <w:rPr>
                <w:rFonts w:hint="eastAsia"/>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表4-</w:t>
            </w:r>
            <w:r>
              <w:rPr>
                <w:rFonts w:hint="eastAsia" w:cs="Times New Roman"/>
                <w:b/>
                <w:bCs/>
                <w:color w:val="000000" w:themeColor="text1"/>
                <w:kern w:val="0"/>
                <w:sz w:val="21"/>
                <w:szCs w:val="21"/>
                <w:highlight w:val="none"/>
                <w:lang w:val="en-US" w:eastAsia="zh-CN" w:bidi="ar"/>
                <w14:textFill>
                  <w14:solidFill>
                    <w14:schemeClr w14:val="tx1"/>
                  </w14:solidFill>
                </w14:textFill>
              </w:rPr>
              <w:t>15</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b/>
                <w:bCs/>
                <w:color w:val="000000" w:themeColor="text1"/>
                <w:highlight w:val="none"/>
                <w:lang w:val="en-US" w:eastAsia="zh-CN"/>
                <w14:textFill>
                  <w14:solidFill>
                    <w14:schemeClr w14:val="tx1"/>
                  </w14:solidFill>
                </w14:textFill>
              </w:rPr>
              <w:t>工业企业噪声源强调查清单（室内声源）</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0"/>
              <w:gridCol w:w="555"/>
              <w:gridCol w:w="532"/>
              <w:gridCol w:w="627"/>
              <w:gridCol w:w="546"/>
              <w:gridCol w:w="545"/>
              <w:gridCol w:w="545"/>
              <w:gridCol w:w="545"/>
              <w:gridCol w:w="450"/>
              <w:gridCol w:w="450"/>
              <w:gridCol w:w="450"/>
              <w:gridCol w:w="451"/>
              <w:gridCol w:w="445"/>
              <w:gridCol w:w="445"/>
              <w:gridCol w:w="445"/>
              <w:gridCol w:w="446"/>
              <w:gridCol w:w="443"/>
              <w:gridCol w:w="429"/>
              <w:gridCol w:w="429"/>
              <w:gridCol w:w="429"/>
              <w:gridCol w:w="429"/>
              <w:gridCol w:w="453"/>
              <w:gridCol w:w="453"/>
              <w:gridCol w:w="453"/>
              <w:gridCol w:w="453"/>
              <w:gridCol w:w="624"/>
            </w:tblGrid>
            <w:tr w14:paraId="4CB014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dxa"/>
                  <w:vMerge w:val="restart"/>
                  <w:tcBorders>
                    <w:tl2br w:val="nil"/>
                    <w:tr2bl w:val="nil"/>
                  </w:tcBorders>
                  <w:vAlign w:val="center"/>
                </w:tcPr>
                <w:p w14:paraId="50AF3E95">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bookmarkStart w:id="7" w:name="PT_6"/>
                  <w:r>
                    <w:rPr>
                      <w:rFonts w:hint="default" w:ascii="Times New Roman" w:hAnsi="Times New Roman" w:cs="Times New Roman" w:eastAsiaTheme="minorEastAsia"/>
                      <w:b/>
                      <w:color w:val="000000" w:themeColor="text1"/>
                      <w:sz w:val="21"/>
                      <w:szCs w:val="21"/>
                      <w14:textFill>
                        <w14:solidFill>
                          <w14:schemeClr w14:val="tx1"/>
                        </w14:solidFill>
                      </w14:textFill>
                    </w:rPr>
                    <w:t>序号</w:t>
                  </w:r>
                </w:p>
              </w:tc>
              <w:tc>
                <w:tcPr>
                  <w:tcW w:w="555" w:type="dxa"/>
                  <w:vMerge w:val="restart"/>
                  <w:tcBorders>
                    <w:tl2br w:val="nil"/>
                    <w:tr2bl w:val="nil"/>
                  </w:tcBorders>
                  <w:vAlign w:val="center"/>
                </w:tcPr>
                <w:p w14:paraId="6CB4A595">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建筑物名称</w:t>
                  </w:r>
                </w:p>
              </w:tc>
              <w:tc>
                <w:tcPr>
                  <w:tcW w:w="532" w:type="dxa"/>
                  <w:vMerge w:val="restart"/>
                  <w:tcBorders>
                    <w:tl2br w:val="nil"/>
                    <w:tr2bl w:val="nil"/>
                  </w:tcBorders>
                  <w:vAlign w:val="center"/>
                </w:tcPr>
                <w:p w14:paraId="220E25F1">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声源名称</w:t>
                  </w:r>
                </w:p>
              </w:tc>
              <w:tc>
                <w:tcPr>
                  <w:tcW w:w="627" w:type="dxa"/>
                  <w:tcBorders>
                    <w:tl2br w:val="nil"/>
                    <w:tr2bl w:val="nil"/>
                  </w:tcBorders>
                  <w:vAlign w:val="center"/>
                </w:tcPr>
                <w:p w14:paraId="688059C6">
                  <w:pPr>
                    <w:jc w:val="center"/>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b/>
                      <w:color w:val="000000" w:themeColor="text1"/>
                      <w:sz w:val="21"/>
                      <w:szCs w:val="21"/>
                      <w:lang w:eastAsia="zh-CN"/>
                      <w14:textFill>
                        <w14:solidFill>
                          <w14:schemeClr w14:val="tx1"/>
                        </w14:solidFill>
                      </w14:textFill>
                    </w:rPr>
                    <w:t>声源源强</w:t>
                  </w:r>
                </w:p>
              </w:tc>
              <w:tc>
                <w:tcPr>
                  <w:tcW w:w="546" w:type="dxa"/>
                  <w:vMerge w:val="restart"/>
                  <w:tcBorders>
                    <w:tl2br w:val="nil"/>
                    <w:tr2bl w:val="nil"/>
                  </w:tcBorders>
                  <w:vAlign w:val="center"/>
                </w:tcPr>
                <w:p w14:paraId="79C2FC83">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声源控制措施</w:t>
                  </w:r>
                </w:p>
              </w:tc>
              <w:tc>
                <w:tcPr>
                  <w:tcW w:w="1635" w:type="dxa"/>
                  <w:gridSpan w:val="3"/>
                  <w:tcBorders>
                    <w:tl2br w:val="nil"/>
                    <w:tr2bl w:val="nil"/>
                  </w:tcBorders>
                  <w:vAlign w:val="center"/>
                </w:tcPr>
                <w:p w14:paraId="562A112C">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空间相对位置/m</w:t>
                  </w:r>
                </w:p>
              </w:tc>
              <w:tc>
                <w:tcPr>
                  <w:tcW w:w="1801" w:type="dxa"/>
                  <w:gridSpan w:val="4"/>
                  <w:tcBorders>
                    <w:tl2br w:val="nil"/>
                    <w:tr2bl w:val="nil"/>
                  </w:tcBorders>
                  <w:vAlign w:val="center"/>
                </w:tcPr>
                <w:p w14:paraId="30D97A26">
                  <w:pPr>
                    <w:jc w:val="center"/>
                    <w:rPr>
                      <w:rFonts w:hint="default" w:ascii="Times New Roman" w:hAnsi="Times New Roman" w:cs="Times New Roman" w:eastAsiaTheme="minorEastAsia"/>
                      <w:b/>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距室内边界距离/m</w:t>
                  </w:r>
                </w:p>
              </w:tc>
              <w:tc>
                <w:tcPr>
                  <w:tcW w:w="1781" w:type="dxa"/>
                  <w:gridSpan w:val="4"/>
                  <w:tcBorders>
                    <w:tl2br w:val="nil"/>
                    <w:tr2bl w:val="nil"/>
                  </w:tcBorders>
                  <w:vAlign w:val="center"/>
                </w:tcPr>
                <w:p w14:paraId="1B888C6A">
                  <w:pPr>
                    <w:jc w:val="center"/>
                    <w:rPr>
                      <w:rFonts w:hint="default" w:ascii="Times New Roman" w:hAnsi="Times New Roman" w:cs="Times New Roman" w:eastAsiaTheme="minorEastAsia"/>
                      <w:b/>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室内边界声级/dB(A)</w:t>
                  </w:r>
                </w:p>
              </w:tc>
              <w:tc>
                <w:tcPr>
                  <w:tcW w:w="443" w:type="dxa"/>
                  <w:vMerge w:val="restart"/>
                  <w:tcBorders>
                    <w:tl2br w:val="nil"/>
                    <w:tr2bl w:val="nil"/>
                  </w:tcBorders>
                  <w:vAlign w:val="center"/>
                </w:tcPr>
                <w:p w14:paraId="3D4B468D">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运行时段</w:t>
                  </w:r>
                </w:p>
              </w:tc>
              <w:tc>
                <w:tcPr>
                  <w:tcW w:w="1716" w:type="dxa"/>
                  <w:gridSpan w:val="4"/>
                  <w:tcBorders>
                    <w:tl2br w:val="nil"/>
                    <w:tr2bl w:val="nil"/>
                  </w:tcBorders>
                  <w:vAlign w:val="center"/>
                </w:tcPr>
                <w:p w14:paraId="7AC57F79">
                  <w:pPr>
                    <w:jc w:val="center"/>
                    <w:rPr>
                      <w:rFonts w:hint="default" w:ascii="Times New Roman" w:hAnsi="Times New Roman" w:cs="Times New Roman" w:eastAsiaTheme="minorEastAsia"/>
                      <w:b/>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建筑物插入损失 / dB(A)</w:t>
                  </w:r>
                  <w:bookmarkStart w:id="8" w:name="PT_10"/>
                  <w:bookmarkEnd w:id="8"/>
                </w:p>
              </w:tc>
              <w:tc>
                <w:tcPr>
                  <w:tcW w:w="2436" w:type="dxa"/>
                  <w:gridSpan w:val="5"/>
                  <w:tcBorders>
                    <w:tl2br w:val="nil"/>
                    <w:tr2bl w:val="nil"/>
                  </w:tcBorders>
                  <w:vAlign w:val="center"/>
                </w:tcPr>
                <w:p w14:paraId="1387DF89">
                  <w:pPr>
                    <w:jc w:val="center"/>
                    <w:rPr>
                      <w:rFonts w:hint="default" w:ascii="Times New Roman" w:hAnsi="Times New Roman" w:cs="Times New Roman" w:eastAsiaTheme="minorEastAsia"/>
                      <w:b/>
                      <w:bCs w:val="0"/>
                      <w:color w:val="000000" w:themeColor="text1"/>
                      <w:sz w:val="21"/>
                      <w:szCs w:val="21"/>
                      <w14:textFill>
                        <w14:solidFill>
                          <w14:schemeClr w14:val="tx1"/>
                        </w14:solidFill>
                      </w14:textFill>
                    </w:rPr>
                  </w:pPr>
                  <w:r>
                    <w:rPr>
                      <w:rFonts w:hint="default" w:ascii="Times New Roman" w:hAnsi="Times New Roman" w:cs="Times New Roman" w:eastAsiaTheme="minorEastAsia"/>
                      <w:b/>
                      <w:bCs w:val="0"/>
                      <w:color w:val="000000" w:themeColor="text1"/>
                      <w:sz w:val="21"/>
                      <w:szCs w:val="21"/>
                      <w14:textFill>
                        <w14:solidFill>
                          <w14:schemeClr w14:val="tx1"/>
                        </w14:solidFill>
                      </w14:textFill>
                    </w:rPr>
                    <w:t>建筑物外噪声声压级/dB(A)</w:t>
                  </w:r>
                </w:p>
              </w:tc>
            </w:tr>
            <w:tr w14:paraId="4943EC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vMerge w:val="continue"/>
                  <w:tcBorders>
                    <w:tl2br w:val="nil"/>
                    <w:tr2bl w:val="nil"/>
                  </w:tcBorders>
                  <w:shd w:val="clear" w:color="auto" w:fill="FFFFFF"/>
                  <w:tcMar>
                    <w:top w:w="0" w:type="dxa"/>
                    <w:left w:w="0" w:type="dxa"/>
                    <w:bottom w:w="0" w:type="dxa"/>
                    <w:right w:w="0" w:type="dxa"/>
                  </w:tcMar>
                  <w:vAlign w:val="center"/>
                </w:tcPr>
                <w:p w14:paraId="68670445">
                  <w:pPr>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p>
              </w:tc>
              <w:tc>
                <w:tcPr>
                  <w:tcW w:w="555" w:type="dxa"/>
                  <w:vMerge w:val="continue"/>
                  <w:tcBorders>
                    <w:tl2br w:val="nil"/>
                    <w:tr2bl w:val="nil"/>
                  </w:tcBorders>
                  <w:shd w:val="clear" w:color="auto" w:fill="FFFFFF"/>
                  <w:tcMar>
                    <w:top w:w="0" w:type="dxa"/>
                    <w:left w:w="0" w:type="dxa"/>
                    <w:bottom w:w="0" w:type="dxa"/>
                    <w:right w:w="0" w:type="dxa"/>
                  </w:tcMar>
                  <w:vAlign w:val="center"/>
                </w:tcPr>
                <w:p w14:paraId="6292E324">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532" w:type="dxa"/>
                  <w:vMerge w:val="continue"/>
                  <w:tcBorders>
                    <w:tl2br w:val="nil"/>
                    <w:tr2bl w:val="nil"/>
                  </w:tcBorders>
                  <w:shd w:val="clear" w:color="auto" w:fill="FFFFFF"/>
                  <w:tcMar>
                    <w:top w:w="0" w:type="dxa"/>
                    <w:left w:w="0" w:type="dxa"/>
                    <w:bottom w:w="0" w:type="dxa"/>
                    <w:right w:w="0" w:type="dxa"/>
                  </w:tcMar>
                  <w:vAlign w:val="center"/>
                </w:tcPr>
                <w:p w14:paraId="3680EB0D">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627" w:type="dxa"/>
                  <w:tcBorders>
                    <w:tl2br w:val="nil"/>
                    <w:tr2bl w:val="nil"/>
                  </w:tcBorders>
                  <w:shd w:val="clear" w:color="auto" w:fill="FFFFFF"/>
                  <w:tcMar>
                    <w:top w:w="0" w:type="dxa"/>
                    <w:left w:w="0" w:type="dxa"/>
                    <w:bottom w:w="0" w:type="dxa"/>
                    <w:right w:w="0" w:type="dxa"/>
                  </w:tcMar>
                  <w:vAlign w:val="center"/>
                </w:tcPr>
                <w:p w14:paraId="3A170B1E">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声功率级/dB(A)</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16870A22">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1A7A8DFF">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X</w:t>
                  </w:r>
                </w:p>
              </w:tc>
              <w:tc>
                <w:tcPr>
                  <w:tcW w:w="545" w:type="dxa"/>
                  <w:tcBorders>
                    <w:tl2br w:val="nil"/>
                    <w:tr2bl w:val="nil"/>
                  </w:tcBorders>
                  <w:shd w:val="clear" w:color="auto" w:fill="FFFFFF"/>
                  <w:tcMar>
                    <w:top w:w="0" w:type="dxa"/>
                    <w:left w:w="0" w:type="dxa"/>
                    <w:bottom w:w="0" w:type="dxa"/>
                    <w:right w:w="0" w:type="dxa"/>
                  </w:tcMar>
                  <w:vAlign w:val="center"/>
                </w:tcPr>
                <w:p w14:paraId="755960EF">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Y</w:t>
                  </w:r>
                </w:p>
              </w:tc>
              <w:tc>
                <w:tcPr>
                  <w:tcW w:w="545" w:type="dxa"/>
                  <w:tcBorders>
                    <w:tl2br w:val="nil"/>
                    <w:tr2bl w:val="nil"/>
                  </w:tcBorders>
                  <w:shd w:val="clear" w:color="auto" w:fill="FFFFFF"/>
                  <w:tcMar>
                    <w:top w:w="0" w:type="dxa"/>
                    <w:left w:w="0" w:type="dxa"/>
                    <w:bottom w:w="0" w:type="dxa"/>
                    <w:right w:w="0" w:type="dxa"/>
                  </w:tcMar>
                  <w:vAlign w:val="center"/>
                </w:tcPr>
                <w:p w14:paraId="36A489E5">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Z</w:t>
                  </w:r>
                </w:p>
              </w:tc>
              <w:tc>
                <w:tcPr>
                  <w:tcW w:w="450" w:type="dxa"/>
                  <w:tcBorders>
                    <w:tl2br w:val="nil"/>
                    <w:tr2bl w:val="nil"/>
                  </w:tcBorders>
                  <w:shd w:val="clear" w:color="auto" w:fill="FFFFFF"/>
                  <w:tcMar>
                    <w:top w:w="0" w:type="dxa"/>
                    <w:left w:w="0" w:type="dxa"/>
                    <w:bottom w:w="0" w:type="dxa"/>
                    <w:right w:w="0" w:type="dxa"/>
                  </w:tcMar>
                  <w:vAlign w:val="center"/>
                </w:tcPr>
                <w:p w14:paraId="3A283DBC">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东</w:t>
                  </w:r>
                </w:p>
              </w:tc>
              <w:tc>
                <w:tcPr>
                  <w:tcW w:w="450" w:type="dxa"/>
                  <w:tcBorders>
                    <w:tl2br w:val="nil"/>
                    <w:tr2bl w:val="nil"/>
                  </w:tcBorders>
                  <w:shd w:val="clear" w:color="auto" w:fill="FFFFFF"/>
                  <w:tcMar>
                    <w:top w:w="0" w:type="dxa"/>
                    <w:left w:w="0" w:type="dxa"/>
                    <w:bottom w:w="0" w:type="dxa"/>
                    <w:right w:w="0" w:type="dxa"/>
                  </w:tcMar>
                  <w:vAlign w:val="center"/>
                </w:tcPr>
                <w:p w14:paraId="57CB9C10">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南</w:t>
                  </w:r>
                </w:p>
              </w:tc>
              <w:tc>
                <w:tcPr>
                  <w:tcW w:w="450" w:type="dxa"/>
                  <w:tcBorders>
                    <w:tl2br w:val="nil"/>
                    <w:tr2bl w:val="nil"/>
                  </w:tcBorders>
                  <w:shd w:val="clear" w:color="auto" w:fill="FFFFFF"/>
                  <w:tcMar>
                    <w:top w:w="0" w:type="dxa"/>
                    <w:left w:w="0" w:type="dxa"/>
                    <w:bottom w:w="0" w:type="dxa"/>
                    <w:right w:w="0" w:type="dxa"/>
                  </w:tcMar>
                  <w:vAlign w:val="center"/>
                </w:tcPr>
                <w:p w14:paraId="39B1092D">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西</w:t>
                  </w:r>
                </w:p>
              </w:tc>
              <w:tc>
                <w:tcPr>
                  <w:tcW w:w="451" w:type="dxa"/>
                  <w:tcBorders>
                    <w:tl2br w:val="nil"/>
                    <w:tr2bl w:val="nil"/>
                  </w:tcBorders>
                  <w:shd w:val="clear" w:color="auto" w:fill="FFFFFF"/>
                  <w:tcMar>
                    <w:top w:w="0" w:type="dxa"/>
                    <w:left w:w="0" w:type="dxa"/>
                    <w:bottom w:w="0" w:type="dxa"/>
                    <w:right w:w="0" w:type="dxa"/>
                  </w:tcMar>
                  <w:vAlign w:val="center"/>
                </w:tcPr>
                <w:p w14:paraId="4D9B9134">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北</w:t>
                  </w:r>
                </w:p>
              </w:tc>
              <w:tc>
                <w:tcPr>
                  <w:tcW w:w="445" w:type="dxa"/>
                  <w:tcBorders>
                    <w:tl2br w:val="nil"/>
                    <w:tr2bl w:val="nil"/>
                  </w:tcBorders>
                  <w:shd w:val="clear" w:color="auto" w:fill="FFFFFF"/>
                  <w:tcMar>
                    <w:top w:w="0" w:type="dxa"/>
                    <w:left w:w="0" w:type="dxa"/>
                    <w:bottom w:w="0" w:type="dxa"/>
                    <w:right w:w="0" w:type="dxa"/>
                  </w:tcMar>
                  <w:vAlign w:val="center"/>
                </w:tcPr>
                <w:p w14:paraId="3FA2C7E8">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东</w:t>
                  </w:r>
                </w:p>
              </w:tc>
              <w:tc>
                <w:tcPr>
                  <w:tcW w:w="445" w:type="dxa"/>
                  <w:tcBorders>
                    <w:tl2br w:val="nil"/>
                    <w:tr2bl w:val="nil"/>
                  </w:tcBorders>
                  <w:shd w:val="clear" w:color="auto" w:fill="FFFFFF"/>
                  <w:tcMar>
                    <w:top w:w="0" w:type="dxa"/>
                    <w:left w:w="0" w:type="dxa"/>
                    <w:bottom w:w="0" w:type="dxa"/>
                    <w:right w:w="0" w:type="dxa"/>
                  </w:tcMar>
                  <w:vAlign w:val="center"/>
                </w:tcPr>
                <w:p w14:paraId="6621B98C">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南</w:t>
                  </w:r>
                </w:p>
              </w:tc>
              <w:tc>
                <w:tcPr>
                  <w:tcW w:w="445" w:type="dxa"/>
                  <w:tcBorders>
                    <w:tl2br w:val="nil"/>
                    <w:tr2bl w:val="nil"/>
                  </w:tcBorders>
                  <w:shd w:val="clear" w:color="auto" w:fill="FFFFFF"/>
                  <w:tcMar>
                    <w:top w:w="0" w:type="dxa"/>
                    <w:left w:w="0" w:type="dxa"/>
                    <w:bottom w:w="0" w:type="dxa"/>
                    <w:right w:w="0" w:type="dxa"/>
                  </w:tcMar>
                  <w:vAlign w:val="center"/>
                </w:tcPr>
                <w:p w14:paraId="5C6CFB38">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西</w:t>
                  </w:r>
                </w:p>
              </w:tc>
              <w:tc>
                <w:tcPr>
                  <w:tcW w:w="446" w:type="dxa"/>
                  <w:tcBorders>
                    <w:tl2br w:val="nil"/>
                    <w:tr2bl w:val="nil"/>
                  </w:tcBorders>
                  <w:shd w:val="clear" w:color="auto" w:fill="FFFFFF"/>
                  <w:tcMar>
                    <w:top w:w="0" w:type="dxa"/>
                    <w:left w:w="0" w:type="dxa"/>
                    <w:bottom w:w="0" w:type="dxa"/>
                    <w:right w:w="0" w:type="dxa"/>
                  </w:tcMar>
                  <w:vAlign w:val="center"/>
                </w:tcPr>
                <w:p w14:paraId="54D5A4E6">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北</w:t>
                  </w:r>
                </w:p>
              </w:tc>
              <w:tc>
                <w:tcPr>
                  <w:tcW w:w="443" w:type="dxa"/>
                  <w:vMerge w:val="continue"/>
                  <w:tcBorders>
                    <w:tl2br w:val="nil"/>
                    <w:tr2bl w:val="nil"/>
                  </w:tcBorders>
                  <w:shd w:val="clear" w:color="auto" w:fill="FFFFFF"/>
                  <w:tcMar>
                    <w:top w:w="0" w:type="dxa"/>
                    <w:left w:w="0" w:type="dxa"/>
                    <w:bottom w:w="0" w:type="dxa"/>
                    <w:right w:w="0" w:type="dxa"/>
                  </w:tcMar>
                  <w:vAlign w:val="center"/>
                </w:tcPr>
                <w:p w14:paraId="3A44AE4E">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29" w:type="dxa"/>
                  <w:tcBorders>
                    <w:tl2br w:val="nil"/>
                    <w:tr2bl w:val="nil"/>
                  </w:tcBorders>
                  <w:shd w:val="clear" w:color="auto" w:fill="FFFFFF"/>
                  <w:tcMar>
                    <w:top w:w="0" w:type="dxa"/>
                    <w:left w:w="0" w:type="dxa"/>
                    <w:bottom w:w="0" w:type="dxa"/>
                    <w:right w:w="0" w:type="dxa"/>
                  </w:tcMar>
                  <w:vAlign w:val="center"/>
                </w:tcPr>
                <w:p w14:paraId="55AD8D92">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东</w:t>
                  </w:r>
                </w:p>
              </w:tc>
              <w:tc>
                <w:tcPr>
                  <w:tcW w:w="429" w:type="dxa"/>
                  <w:tcBorders>
                    <w:tl2br w:val="nil"/>
                    <w:tr2bl w:val="nil"/>
                  </w:tcBorders>
                  <w:shd w:val="clear" w:color="auto" w:fill="FFFFFF"/>
                  <w:tcMar>
                    <w:top w:w="0" w:type="dxa"/>
                    <w:left w:w="0" w:type="dxa"/>
                    <w:bottom w:w="0" w:type="dxa"/>
                    <w:right w:w="0" w:type="dxa"/>
                  </w:tcMar>
                  <w:vAlign w:val="center"/>
                </w:tcPr>
                <w:p w14:paraId="7779079A">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南</w:t>
                  </w:r>
                </w:p>
              </w:tc>
              <w:tc>
                <w:tcPr>
                  <w:tcW w:w="429" w:type="dxa"/>
                  <w:tcBorders>
                    <w:tl2br w:val="nil"/>
                    <w:tr2bl w:val="nil"/>
                  </w:tcBorders>
                  <w:shd w:val="clear" w:color="auto" w:fill="FFFFFF"/>
                  <w:tcMar>
                    <w:top w:w="0" w:type="dxa"/>
                    <w:left w:w="0" w:type="dxa"/>
                    <w:bottom w:w="0" w:type="dxa"/>
                    <w:right w:w="0" w:type="dxa"/>
                  </w:tcMar>
                  <w:vAlign w:val="center"/>
                </w:tcPr>
                <w:p w14:paraId="2A3A4B87">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西</w:t>
                  </w:r>
                </w:p>
              </w:tc>
              <w:tc>
                <w:tcPr>
                  <w:tcW w:w="429" w:type="dxa"/>
                  <w:tcBorders>
                    <w:tl2br w:val="nil"/>
                    <w:tr2bl w:val="nil"/>
                  </w:tcBorders>
                  <w:shd w:val="clear" w:color="auto" w:fill="FFFFFF"/>
                  <w:tcMar>
                    <w:top w:w="0" w:type="dxa"/>
                    <w:left w:w="0" w:type="dxa"/>
                    <w:bottom w:w="0" w:type="dxa"/>
                    <w:right w:w="0" w:type="dxa"/>
                  </w:tcMar>
                  <w:vAlign w:val="center"/>
                </w:tcPr>
                <w:p w14:paraId="376D85A6">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北</w:t>
                  </w:r>
                </w:p>
              </w:tc>
              <w:tc>
                <w:tcPr>
                  <w:tcW w:w="453" w:type="dxa"/>
                  <w:tcBorders>
                    <w:tl2br w:val="nil"/>
                    <w:tr2bl w:val="nil"/>
                  </w:tcBorders>
                  <w:shd w:val="clear" w:color="auto" w:fill="FFFFFF"/>
                  <w:tcMar>
                    <w:top w:w="0" w:type="dxa"/>
                    <w:left w:w="0" w:type="dxa"/>
                    <w:bottom w:w="0" w:type="dxa"/>
                    <w:right w:w="0" w:type="dxa"/>
                  </w:tcMar>
                  <w:vAlign w:val="center"/>
                </w:tcPr>
                <w:p w14:paraId="39014601">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东</w:t>
                  </w:r>
                </w:p>
              </w:tc>
              <w:tc>
                <w:tcPr>
                  <w:tcW w:w="453" w:type="dxa"/>
                  <w:tcBorders>
                    <w:tl2br w:val="nil"/>
                    <w:tr2bl w:val="nil"/>
                  </w:tcBorders>
                  <w:shd w:val="clear" w:color="auto" w:fill="FFFFFF"/>
                  <w:tcMar>
                    <w:top w:w="0" w:type="dxa"/>
                    <w:left w:w="0" w:type="dxa"/>
                    <w:bottom w:w="0" w:type="dxa"/>
                    <w:right w:w="0" w:type="dxa"/>
                  </w:tcMar>
                  <w:vAlign w:val="center"/>
                </w:tcPr>
                <w:p w14:paraId="35C2C3D8">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南</w:t>
                  </w:r>
                </w:p>
              </w:tc>
              <w:tc>
                <w:tcPr>
                  <w:tcW w:w="453" w:type="dxa"/>
                  <w:tcBorders>
                    <w:tl2br w:val="nil"/>
                    <w:tr2bl w:val="nil"/>
                  </w:tcBorders>
                  <w:shd w:val="clear" w:color="auto" w:fill="FFFFFF"/>
                  <w:tcMar>
                    <w:top w:w="0" w:type="dxa"/>
                    <w:left w:w="0" w:type="dxa"/>
                    <w:bottom w:w="0" w:type="dxa"/>
                    <w:right w:w="0" w:type="dxa"/>
                  </w:tcMar>
                  <w:vAlign w:val="center"/>
                </w:tcPr>
                <w:p w14:paraId="05F761AC">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西</w:t>
                  </w:r>
                </w:p>
              </w:tc>
              <w:tc>
                <w:tcPr>
                  <w:tcW w:w="453" w:type="dxa"/>
                  <w:tcBorders>
                    <w:tl2br w:val="nil"/>
                    <w:tr2bl w:val="nil"/>
                  </w:tcBorders>
                  <w:shd w:val="clear" w:color="auto" w:fill="FFFFFF"/>
                  <w:tcMar>
                    <w:top w:w="0" w:type="dxa"/>
                    <w:left w:w="0" w:type="dxa"/>
                    <w:bottom w:w="0" w:type="dxa"/>
                    <w:right w:w="0" w:type="dxa"/>
                  </w:tcMar>
                  <w:vAlign w:val="center"/>
                </w:tcPr>
                <w:p w14:paraId="5D65EC1C">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北</w:t>
                  </w:r>
                </w:p>
              </w:tc>
              <w:tc>
                <w:tcPr>
                  <w:tcW w:w="624" w:type="dxa"/>
                  <w:tcBorders>
                    <w:tl2br w:val="nil"/>
                    <w:tr2bl w:val="nil"/>
                  </w:tcBorders>
                  <w:shd w:val="clear" w:color="auto" w:fill="FFFFFF"/>
                  <w:tcMar>
                    <w:top w:w="0" w:type="dxa"/>
                    <w:left w:w="0" w:type="dxa"/>
                    <w:bottom w:w="0" w:type="dxa"/>
                    <w:right w:w="0" w:type="dxa"/>
                  </w:tcMar>
                  <w:vAlign w:val="center"/>
                </w:tcPr>
                <w:p w14:paraId="33492FD2">
                  <w:pPr>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建筑物外距离</w:t>
                  </w:r>
                </w:p>
              </w:tc>
            </w:tr>
            <w:tr w14:paraId="4D484B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7394251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c>
                <w:tcPr>
                  <w:tcW w:w="555" w:type="dxa"/>
                  <w:tcBorders>
                    <w:tl2br w:val="nil"/>
                    <w:tr2bl w:val="nil"/>
                  </w:tcBorders>
                  <w:shd w:val="clear" w:color="auto" w:fill="FFFFFF"/>
                  <w:tcMar>
                    <w:top w:w="0" w:type="dxa"/>
                    <w:left w:w="0" w:type="dxa"/>
                    <w:bottom w:w="0" w:type="dxa"/>
                    <w:right w:w="0" w:type="dxa"/>
                  </w:tcMar>
                  <w:vAlign w:val="center"/>
                </w:tcPr>
                <w:p w14:paraId="5DEF5A2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破碎车间</w:t>
                  </w:r>
                </w:p>
              </w:tc>
              <w:tc>
                <w:tcPr>
                  <w:tcW w:w="532" w:type="dxa"/>
                  <w:tcBorders>
                    <w:tl2br w:val="nil"/>
                    <w:tr2bl w:val="nil"/>
                  </w:tcBorders>
                  <w:shd w:val="clear" w:color="auto" w:fill="FFFFFF"/>
                  <w:tcMar>
                    <w:top w:w="0" w:type="dxa"/>
                    <w:left w:w="0" w:type="dxa"/>
                    <w:bottom w:w="0" w:type="dxa"/>
                    <w:right w:w="0" w:type="dxa"/>
                  </w:tcMar>
                  <w:vAlign w:val="center"/>
                </w:tcPr>
                <w:p w14:paraId="49943A3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双轴粉碎机</w:t>
                  </w:r>
                </w:p>
              </w:tc>
              <w:tc>
                <w:tcPr>
                  <w:tcW w:w="627" w:type="dxa"/>
                  <w:tcBorders>
                    <w:tl2br w:val="nil"/>
                    <w:tr2bl w:val="nil"/>
                  </w:tcBorders>
                  <w:shd w:val="clear" w:color="auto" w:fill="FFFFFF"/>
                  <w:tcMar>
                    <w:top w:w="0" w:type="dxa"/>
                    <w:left w:w="0" w:type="dxa"/>
                    <w:bottom w:w="0" w:type="dxa"/>
                    <w:right w:w="0" w:type="dxa"/>
                  </w:tcMar>
                  <w:vAlign w:val="center"/>
                </w:tcPr>
                <w:p w14:paraId="3F50616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110</w:t>
                  </w:r>
                </w:p>
              </w:tc>
              <w:tc>
                <w:tcPr>
                  <w:tcW w:w="546" w:type="dxa"/>
                  <w:vMerge w:val="restart"/>
                  <w:tcBorders>
                    <w:tl2br w:val="nil"/>
                    <w:tr2bl w:val="nil"/>
                  </w:tcBorders>
                  <w:shd w:val="clear" w:color="auto" w:fill="FFFFFF"/>
                  <w:tcMar>
                    <w:top w:w="0" w:type="dxa"/>
                    <w:left w:w="0" w:type="dxa"/>
                    <w:bottom w:w="0" w:type="dxa"/>
                    <w:right w:w="0" w:type="dxa"/>
                  </w:tcMar>
                  <w:vAlign w:val="center"/>
                </w:tcPr>
                <w:p w14:paraId="387AFA3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pacing w:val="-1"/>
                      <w:sz w:val="21"/>
                      <w:szCs w:val="21"/>
                      <w:lang w:val="en-US" w:eastAsia="zh-CN"/>
                      <w14:textFill>
                        <w14:solidFill>
                          <w14:schemeClr w14:val="tx1"/>
                        </w14:solidFill>
                      </w14:textFill>
                    </w:rPr>
                    <w:t>采取合理布局、基础减震、隔声等降噪措施</w:t>
                  </w:r>
                </w:p>
              </w:tc>
              <w:tc>
                <w:tcPr>
                  <w:tcW w:w="545" w:type="dxa"/>
                  <w:tcBorders>
                    <w:tl2br w:val="nil"/>
                    <w:tr2bl w:val="nil"/>
                  </w:tcBorders>
                  <w:shd w:val="clear" w:color="auto" w:fill="FFFFFF"/>
                  <w:tcMar>
                    <w:top w:w="0" w:type="dxa"/>
                    <w:left w:w="0" w:type="dxa"/>
                    <w:bottom w:w="0" w:type="dxa"/>
                    <w:right w:w="0" w:type="dxa"/>
                  </w:tcMar>
                  <w:vAlign w:val="center"/>
                </w:tcPr>
                <w:p w14:paraId="0311278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20.4</w:t>
                  </w:r>
                </w:p>
              </w:tc>
              <w:tc>
                <w:tcPr>
                  <w:tcW w:w="545" w:type="dxa"/>
                  <w:tcBorders>
                    <w:tl2br w:val="nil"/>
                    <w:tr2bl w:val="nil"/>
                  </w:tcBorders>
                  <w:shd w:val="clear" w:color="auto" w:fill="FFFFFF"/>
                  <w:tcMar>
                    <w:top w:w="0" w:type="dxa"/>
                    <w:left w:w="0" w:type="dxa"/>
                    <w:bottom w:w="0" w:type="dxa"/>
                    <w:right w:w="0" w:type="dxa"/>
                  </w:tcMar>
                  <w:vAlign w:val="center"/>
                </w:tcPr>
                <w:p w14:paraId="3E09E86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-74.2</w:t>
                  </w:r>
                </w:p>
              </w:tc>
              <w:tc>
                <w:tcPr>
                  <w:tcW w:w="545" w:type="dxa"/>
                  <w:tcBorders>
                    <w:tl2br w:val="nil"/>
                    <w:tr2bl w:val="nil"/>
                  </w:tcBorders>
                  <w:shd w:val="clear" w:color="auto" w:fill="FFFFFF"/>
                  <w:tcMar>
                    <w:top w:w="0" w:type="dxa"/>
                    <w:left w:w="0" w:type="dxa"/>
                    <w:bottom w:w="0" w:type="dxa"/>
                    <w:right w:w="0" w:type="dxa"/>
                  </w:tcMar>
                  <w:vAlign w:val="center"/>
                </w:tcPr>
                <w:p w14:paraId="50C1144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1EF4AA9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13.8</w:t>
                  </w:r>
                </w:p>
              </w:tc>
              <w:tc>
                <w:tcPr>
                  <w:tcW w:w="450" w:type="dxa"/>
                  <w:tcBorders>
                    <w:tl2br w:val="nil"/>
                    <w:tr2bl w:val="nil"/>
                  </w:tcBorders>
                  <w:shd w:val="clear" w:color="auto" w:fill="FFFFFF"/>
                  <w:tcMar>
                    <w:top w:w="0" w:type="dxa"/>
                    <w:left w:w="0" w:type="dxa"/>
                    <w:bottom w:w="0" w:type="dxa"/>
                    <w:right w:w="0" w:type="dxa"/>
                  </w:tcMar>
                  <w:vAlign w:val="center"/>
                </w:tcPr>
                <w:p w14:paraId="7025B13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42.2</w:t>
                  </w:r>
                </w:p>
              </w:tc>
              <w:tc>
                <w:tcPr>
                  <w:tcW w:w="450" w:type="dxa"/>
                  <w:tcBorders>
                    <w:tl2br w:val="nil"/>
                    <w:tr2bl w:val="nil"/>
                  </w:tcBorders>
                  <w:shd w:val="clear" w:color="auto" w:fill="FFFFFF"/>
                  <w:tcMar>
                    <w:top w:w="0" w:type="dxa"/>
                    <w:left w:w="0" w:type="dxa"/>
                    <w:bottom w:w="0" w:type="dxa"/>
                    <w:right w:w="0" w:type="dxa"/>
                  </w:tcMar>
                  <w:vAlign w:val="center"/>
                </w:tcPr>
                <w:p w14:paraId="77E8987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10.0</w:t>
                  </w:r>
                </w:p>
              </w:tc>
              <w:tc>
                <w:tcPr>
                  <w:tcW w:w="451" w:type="dxa"/>
                  <w:tcBorders>
                    <w:tl2br w:val="nil"/>
                    <w:tr2bl w:val="nil"/>
                  </w:tcBorders>
                  <w:shd w:val="clear" w:color="auto" w:fill="FFFFFF"/>
                  <w:tcMar>
                    <w:top w:w="0" w:type="dxa"/>
                    <w:left w:w="0" w:type="dxa"/>
                    <w:bottom w:w="0" w:type="dxa"/>
                    <w:right w:w="0" w:type="dxa"/>
                  </w:tcMar>
                  <w:vAlign w:val="center"/>
                </w:tcPr>
                <w:p w14:paraId="63895EA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36.6</w:t>
                  </w:r>
                </w:p>
              </w:tc>
              <w:tc>
                <w:tcPr>
                  <w:tcW w:w="445" w:type="dxa"/>
                  <w:tcBorders>
                    <w:tl2br w:val="nil"/>
                    <w:tr2bl w:val="nil"/>
                  </w:tcBorders>
                  <w:shd w:val="clear" w:color="auto" w:fill="FFFFFF"/>
                  <w:tcMar>
                    <w:top w:w="0" w:type="dxa"/>
                    <w:left w:w="0" w:type="dxa"/>
                    <w:bottom w:w="0" w:type="dxa"/>
                    <w:right w:w="0" w:type="dxa"/>
                  </w:tcMar>
                  <w:vAlign w:val="center"/>
                </w:tcPr>
                <w:p w14:paraId="1F128B0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97.1</w:t>
                  </w:r>
                </w:p>
              </w:tc>
              <w:tc>
                <w:tcPr>
                  <w:tcW w:w="445" w:type="dxa"/>
                  <w:tcBorders>
                    <w:tl2br w:val="nil"/>
                    <w:tr2bl w:val="nil"/>
                  </w:tcBorders>
                  <w:shd w:val="clear" w:color="auto" w:fill="FFFFFF"/>
                  <w:tcMar>
                    <w:top w:w="0" w:type="dxa"/>
                    <w:left w:w="0" w:type="dxa"/>
                    <w:bottom w:w="0" w:type="dxa"/>
                    <w:right w:w="0" w:type="dxa"/>
                  </w:tcMar>
                  <w:vAlign w:val="center"/>
                </w:tcPr>
                <w:p w14:paraId="6580B8A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97.1</w:t>
                  </w:r>
                </w:p>
              </w:tc>
              <w:tc>
                <w:tcPr>
                  <w:tcW w:w="445" w:type="dxa"/>
                  <w:tcBorders>
                    <w:tl2br w:val="nil"/>
                    <w:tr2bl w:val="nil"/>
                  </w:tcBorders>
                  <w:shd w:val="clear" w:color="auto" w:fill="FFFFFF"/>
                  <w:tcMar>
                    <w:top w:w="0" w:type="dxa"/>
                    <w:left w:w="0" w:type="dxa"/>
                    <w:bottom w:w="0" w:type="dxa"/>
                    <w:right w:w="0" w:type="dxa"/>
                  </w:tcMar>
                  <w:vAlign w:val="center"/>
                </w:tcPr>
                <w:p w14:paraId="3B44815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97.1</w:t>
                  </w:r>
                </w:p>
              </w:tc>
              <w:tc>
                <w:tcPr>
                  <w:tcW w:w="446" w:type="dxa"/>
                  <w:tcBorders>
                    <w:tl2br w:val="nil"/>
                    <w:tr2bl w:val="nil"/>
                  </w:tcBorders>
                  <w:shd w:val="clear" w:color="auto" w:fill="FFFFFF"/>
                  <w:tcMar>
                    <w:top w:w="0" w:type="dxa"/>
                    <w:left w:w="0" w:type="dxa"/>
                    <w:bottom w:w="0" w:type="dxa"/>
                    <w:right w:w="0" w:type="dxa"/>
                  </w:tcMar>
                  <w:vAlign w:val="center"/>
                </w:tcPr>
                <w:p w14:paraId="5C167DB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97.1</w:t>
                  </w:r>
                </w:p>
              </w:tc>
              <w:tc>
                <w:tcPr>
                  <w:tcW w:w="443" w:type="dxa"/>
                  <w:tcBorders>
                    <w:tl2br w:val="nil"/>
                    <w:tr2bl w:val="nil"/>
                  </w:tcBorders>
                  <w:shd w:val="clear" w:color="auto" w:fill="FFFFFF"/>
                  <w:tcMar>
                    <w:top w:w="0" w:type="dxa"/>
                    <w:left w:w="0" w:type="dxa"/>
                    <w:bottom w:w="0" w:type="dxa"/>
                    <w:right w:w="0" w:type="dxa"/>
                  </w:tcMar>
                  <w:vAlign w:val="center"/>
                </w:tcPr>
                <w:p w14:paraId="655C361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4389D30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609A2C0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0A63402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3042E68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5142237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71.1</w:t>
                  </w:r>
                </w:p>
              </w:tc>
              <w:tc>
                <w:tcPr>
                  <w:tcW w:w="453" w:type="dxa"/>
                  <w:tcBorders>
                    <w:tl2br w:val="nil"/>
                    <w:tr2bl w:val="nil"/>
                  </w:tcBorders>
                  <w:shd w:val="clear" w:color="auto" w:fill="FFFFFF"/>
                  <w:tcMar>
                    <w:top w:w="0" w:type="dxa"/>
                    <w:left w:w="0" w:type="dxa"/>
                    <w:bottom w:w="0" w:type="dxa"/>
                    <w:right w:w="0" w:type="dxa"/>
                  </w:tcMar>
                  <w:vAlign w:val="center"/>
                </w:tcPr>
                <w:p w14:paraId="72305F5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71.1</w:t>
                  </w:r>
                </w:p>
              </w:tc>
              <w:tc>
                <w:tcPr>
                  <w:tcW w:w="453" w:type="dxa"/>
                  <w:tcBorders>
                    <w:tl2br w:val="nil"/>
                    <w:tr2bl w:val="nil"/>
                  </w:tcBorders>
                  <w:shd w:val="clear" w:color="auto" w:fill="FFFFFF"/>
                  <w:tcMar>
                    <w:top w:w="0" w:type="dxa"/>
                    <w:left w:w="0" w:type="dxa"/>
                    <w:bottom w:w="0" w:type="dxa"/>
                    <w:right w:w="0" w:type="dxa"/>
                  </w:tcMar>
                  <w:vAlign w:val="center"/>
                </w:tcPr>
                <w:p w14:paraId="1731CB7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71.1</w:t>
                  </w:r>
                </w:p>
              </w:tc>
              <w:tc>
                <w:tcPr>
                  <w:tcW w:w="453" w:type="dxa"/>
                  <w:tcBorders>
                    <w:tl2br w:val="nil"/>
                    <w:tr2bl w:val="nil"/>
                  </w:tcBorders>
                  <w:shd w:val="clear" w:color="auto" w:fill="FFFFFF"/>
                  <w:tcMar>
                    <w:top w:w="0" w:type="dxa"/>
                    <w:left w:w="0" w:type="dxa"/>
                    <w:bottom w:w="0" w:type="dxa"/>
                    <w:right w:w="0" w:type="dxa"/>
                  </w:tcMar>
                  <w:vAlign w:val="center"/>
                </w:tcPr>
                <w:p w14:paraId="1991377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71.1</w:t>
                  </w:r>
                </w:p>
              </w:tc>
              <w:tc>
                <w:tcPr>
                  <w:tcW w:w="624" w:type="dxa"/>
                  <w:tcBorders>
                    <w:tl2br w:val="nil"/>
                    <w:tr2bl w:val="nil"/>
                  </w:tcBorders>
                  <w:shd w:val="clear" w:color="auto" w:fill="FFFFFF"/>
                  <w:tcMar>
                    <w:top w:w="0" w:type="dxa"/>
                    <w:left w:w="0" w:type="dxa"/>
                    <w:bottom w:w="0" w:type="dxa"/>
                    <w:right w:w="0" w:type="dxa"/>
                  </w:tcMar>
                  <w:vAlign w:val="center"/>
                </w:tcPr>
                <w:p w14:paraId="6766D73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6C7D72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353C22C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w:t>
                  </w:r>
                </w:p>
              </w:tc>
              <w:tc>
                <w:tcPr>
                  <w:tcW w:w="555" w:type="dxa"/>
                  <w:tcBorders>
                    <w:tl2br w:val="nil"/>
                    <w:tr2bl w:val="nil"/>
                  </w:tcBorders>
                  <w:shd w:val="clear" w:color="auto" w:fill="FFFFFF"/>
                  <w:tcMar>
                    <w:top w:w="0" w:type="dxa"/>
                    <w:left w:w="0" w:type="dxa"/>
                    <w:bottom w:w="0" w:type="dxa"/>
                    <w:right w:w="0" w:type="dxa"/>
                  </w:tcMar>
                  <w:vAlign w:val="center"/>
                </w:tcPr>
                <w:p w14:paraId="3D9229D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破碎车间</w:t>
                  </w:r>
                </w:p>
              </w:tc>
              <w:tc>
                <w:tcPr>
                  <w:tcW w:w="532" w:type="dxa"/>
                  <w:tcBorders>
                    <w:tl2br w:val="nil"/>
                    <w:tr2bl w:val="nil"/>
                  </w:tcBorders>
                  <w:shd w:val="clear" w:color="auto" w:fill="FFFFFF"/>
                  <w:tcMar>
                    <w:top w:w="0" w:type="dxa"/>
                    <w:left w:w="0" w:type="dxa"/>
                    <w:bottom w:w="0" w:type="dxa"/>
                    <w:right w:w="0" w:type="dxa"/>
                  </w:tcMar>
                  <w:vAlign w:val="center"/>
                </w:tcPr>
                <w:p w14:paraId="198FE22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袋式除尘器</w:t>
                  </w:r>
                </w:p>
              </w:tc>
              <w:tc>
                <w:tcPr>
                  <w:tcW w:w="627" w:type="dxa"/>
                  <w:tcBorders>
                    <w:tl2br w:val="nil"/>
                    <w:tr2bl w:val="nil"/>
                  </w:tcBorders>
                  <w:shd w:val="clear" w:color="auto" w:fill="FFFFFF"/>
                  <w:tcMar>
                    <w:top w:w="0" w:type="dxa"/>
                    <w:left w:w="0" w:type="dxa"/>
                    <w:bottom w:w="0" w:type="dxa"/>
                    <w:right w:w="0" w:type="dxa"/>
                  </w:tcMar>
                  <w:vAlign w:val="center"/>
                </w:tcPr>
                <w:p w14:paraId="0EF90E2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699FE82C">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1834AA9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20</w:t>
                  </w:r>
                </w:p>
              </w:tc>
              <w:tc>
                <w:tcPr>
                  <w:tcW w:w="545" w:type="dxa"/>
                  <w:tcBorders>
                    <w:tl2br w:val="nil"/>
                    <w:tr2bl w:val="nil"/>
                  </w:tcBorders>
                  <w:shd w:val="clear" w:color="auto" w:fill="FFFFFF"/>
                  <w:tcMar>
                    <w:top w:w="0" w:type="dxa"/>
                    <w:left w:w="0" w:type="dxa"/>
                    <w:bottom w:w="0" w:type="dxa"/>
                    <w:right w:w="0" w:type="dxa"/>
                  </w:tcMar>
                  <w:vAlign w:val="center"/>
                </w:tcPr>
                <w:p w14:paraId="4B83EA2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-78.1</w:t>
                  </w:r>
                </w:p>
              </w:tc>
              <w:tc>
                <w:tcPr>
                  <w:tcW w:w="545" w:type="dxa"/>
                  <w:tcBorders>
                    <w:tl2br w:val="nil"/>
                    <w:tr2bl w:val="nil"/>
                  </w:tcBorders>
                  <w:shd w:val="clear" w:color="auto" w:fill="FFFFFF"/>
                  <w:tcMar>
                    <w:top w:w="0" w:type="dxa"/>
                    <w:left w:w="0" w:type="dxa"/>
                    <w:bottom w:w="0" w:type="dxa"/>
                    <w:right w:w="0" w:type="dxa"/>
                  </w:tcMar>
                  <w:vAlign w:val="center"/>
                </w:tcPr>
                <w:p w14:paraId="0948D9A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479103C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14.3</w:t>
                  </w:r>
                </w:p>
              </w:tc>
              <w:tc>
                <w:tcPr>
                  <w:tcW w:w="450" w:type="dxa"/>
                  <w:tcBorders>
                    <w:tl2br w:val="nil"/>
                    <w:tr2bl w:val="nil"/>
                  </w:tcBorders>
                  <w:shd w:val="clear" w:color="auto" w:fill="FFFFFF"/>
                  <w:tcMar>
                    <w:top w:w="0" w:type="dxa"/>
                    <w:left w:w="0" w:type="dxa"/>
                    <w:bottom w:w="0" w:type="dxa"/>
                    <w:right w:w="0" w:type="dxa"/>
                  </w:tcMar>
                  <w:vAlign w:val="center"/>
                </w:tcPr>
                <w:p w14:paraId="55E0829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38.3</w:t>
                  </w:r>
                </w:p>
              </w:tc>
              <w:tc>
                <w:tcPr>
                  <w:tcW w:w="450" w:type="dxa"/>
                  <w:tcBorders>
                    <w:tl2br w:val="nil"/>
                    <w:tr2bl w:val="nil"/>
                  </w:tcBorders>
                  <w:shd w:val="clear" w:color="auto" w:fill="FFFFFF"/>
                  <w:tcMar>
                    <w:top w:w="0" w:type="dxa"/>
                    <w:left w:w="0" w:type="dxa"/>
                    <w:bottom w:w="0" w:type="dxa"/>
                    <w:right w:w="0" w:type="dxa"/>
                  </w:tcMar>
                  <w:vAlign w:val="center"/>
                </w:tcPr>
                <w:p w14:paraId="094A6E0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9.7</w:t>
                  </w:r>
                </w:p>
              </w:tc>
              <w:tc>
                <w:tcPr>
                  <w:tcW w:w="451" w:type="dxa"/>
                  <w:tcBorders>
                    <w:tl2br w:val="nil"/>
                    <w:tr2bl w:val="nil"/>
                  </w:tcBorders>
                  <w:shd w:val="clear" w:color="auto" w:fill="FFFFFF"/>
                  <w:tcMar>
                    <w:top w:w="0" w:type="dxa"/>
                    <w:left w:w="0" w:type="dxa"/>
                    <w:bottom w:w="0" w:type="dxa"/>
                    <w:right w:w="0" w:type="dxa"/>
                  </w:tcMar>
                  <w:vAlign w:val="center"/>
                </w:tcPr>
                <w:p w14:paraId="618302B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40.5</w:t>
                  </w:r>
                </w:p>
              </w:tc>
              <w:tc>
                <w:tcPr>
                  <w:tcW w:w="445" w:type="dxa"/>
                  <w:tcBorders>
                    <w:tl2br w:val="nil"/>
                    <w:tr2bl w:val="nil"/>
                  </w:tcBorders>
                  <w:shd w:val="clear" w:color="auto" w:fill="FFFFFF"/>
                  <w:tcMar>
                    <w:top w:w="0" w:type="dxa"/>
                    <w:left w:w="0" w:type="dxa"/>
                    <w:bottom w:w="0" w:type="dxa"/>
                    <w:right w:w="0" w:type="dxa"/>
                  </w:tcMar>
                  <w:vAlign w:val="center"/>
                </w:tcPr>
                <w:p w14:paraId="5D14A53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72.1</w:t>
                  </w:r>
                </w:p>
              </w:tc>
              <w:tc>
                <w:tcPr>
                  <w:tcW w:w="445" w:type="dxa"/>
                  <w:tcBorders>
                    <w:tl2br w:val="nil"/>
                    <w:tr2bl w:val="nil"/>
                  </w:tcBorders>
                  <w:shd w:val="clear" w:color="auto" w:fill="FFFFFF"/>
                  <w:tcMar>
                    <w:top w:w="0" w:type="dxa"/>
                    <w:left w:w="0" w:type="dxa"/>
                    <w:bottom w:w="0" w:type="dxa"/>
                    <w:right w:w="0" w:type="dxa"/>
                  </w:tcMar>
                  <w:vAlign w:val="center"/>
                </w:tcPr>
                <w:p w14:paraId="6F4EE8D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72.1</w:t>
                  </w:r>
                </w:p>
              </w:tc>
              <w:tc>
                <w:tcPr>
                  <w:tcW w:w="445" w:type="dxa"/>
                  <w:tcBorders>
                    <w:tl2br w:val="nil"/>
                    <w:tr2bl w:val="nil"/>
                  </w:tcBorders>
                  <w:shd w:val="clear" w:color="auto" w:fill="FFFFFF"/>
                  <w:tcMar>
                    <w:top w:w="0" w:type="dxa"/>
                    <w:left w:w="0" w:type="dxa"/>
                    <w:bottom w:w="0" w:type="dxa"/>
                    <w:right w:w="0" w:type="dxa"/>
                  </w:tcMar>
                  <w:vAlign w:val="center"/>
                </w:tcPr>
                <w:p w14:paraId="313C676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72.1</w:t>
                  </w:r>
                </w:p>
              </w:tc>
              <w:tc>
                <w:tcPr>
                  <w:tcW w:w="446" w:type="dxa"/>
                  <w:tcBorders>
                    <w:tl2br w:val="nil"/>
                    <w:tr2bl w:val="nil"/>
                  </w:tcBorders>
                  <w:shd w:val="clear" w:color="auto" w:fill="FFFFFF"/>
                  <w:tcMar>
                    <w:top w:w="0" w:type="dxa"/>
                    <w:left w:w="0" w:type="dxa"/>
                    <w:bottom w:w="0" w:type="dxa"/>
                    <w:right w:w="0" w:type="dxa"/>
                  </w:tcMar>
                  <w:vAlign w:val="center"/>
                </w:tcPr>
                <w:p w14:paraId="2AB7F19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72.1</w:t>
                  </w:r>
                </w:p>
              </w:tc>
              <w:tc>
                <w:tcPr>
                  <w:tcW w:w="443" w:type="dxa"/>
                  <w:tcBorders>
                    <w:tl2br w:val="nil"/>
                    <w:tr2bl w:val="nil"/>
                  </w:tcBorders>
                  <w:shd w:val="clear" w:color="auto" w:fill="FFFFFF"/>
                  <w:tcMar>
                    <w:top w:w="0" w:type="dxa"/>
                    <w:left w:w="0" w:type="dxa"/>
                    <w:bottom w:w="0" w:type="dxa"/>
                    <w:right w:w="0" w:type="dxa"/>
                  </w:tcMar>
                  <w:vAlign w:val="center"/>
                </w:tcPr>
                <w:p w14:paraId="4AE3BFB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255EF72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0C47AF7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6FCD69C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2A87922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0E0B22D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46.1</w:t>
                  </w:r>
                </w:p>
              </w:tc>
              <w:tc>
                <w:tcPr>
                  <w:tcW w:w="453" w:type="dxa"/>
                  <w:tcBorders>
                    <w:tl2br w:val="nil"/>
                    <w:tr2bl w:val="nil"/>
                  </w:tcBorders>
                  <w:shd w:val="clear" w:color="auto" w:fill="FFFFFF"/>
                  <w:tcMar>
                    <w:top w:w="0" w:type="dxa"/>
                    <w:left w:w="0" w:type="dxa"/>
                    <w:bottom w:w="0" w:type="dxa"/>
                    <w:right w:w="0" w:type="dxa"/>
                  </w:tcMar>
                  <w:vAlign w:val="center"/>
                </w:tcPr>
                <w:p w14:paraId="7CA2B0F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46.1</w:t>
                  </w:r>
                </w:p>
              </w:tc>
              <w:tc>
                <w:tcPr>
                  <w:tcW w:w="453" w:type="dxa"/>
                  <w:tcBorders>
                    <w:tl2br w:val="nil"/>
                    <w:tr2bl w:val="nil"/>
                  </w:tcBorders>
                  <w:shd w:val="clear" w:color="auto" w:fill="FFFFFF"/>
                  <w:tcMar>
                    <w:top w:w="0" w:type="dxa"/>
                    <w:left w:w="0" w:type="dxa"/>
                    <w:bottom w:w="0" w:type="dxa"/>
                    <w:right w:w="0" w:type="dxa"/>
                  </w:tcMar>
                  <w:vAlign w:val="center"/>
                </w:tcPr>
                <w:p w14:paraId="5BBE4A7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46.1</w:t>
                  </w:r>
                </w:p>
              </w:tc>
              <w:tc>
                <w:tcPr>
                  <w:tcW w:w="453" w:type="dxa"/>
                  <w:tcBorders>
                    <w:tl2br w:val="nil"/>
                    <w:tr2bl w:val="nil"/>
                  </w:tcBorders>
                  <w:shd w:val="clear" w:color="auto" w:fill="FFFFFF"/>
                  <w:tcMar>
                    <w:top w:w="0" w:type="dxa"/>
                    <w:left w:w="0" w:type="dxa"/>
                    <w:bottom w:w="0" w:type="dxa"/>
                    <w:right w:w="0" w:type="dxa"/>
                  </w:tcMar>
                  <w:vAlign w:val="center"/>
                </w:tcPr>
                <w:p w14:paraId="4B5721A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46.1</w:t>
                  </w:r>
                </w:p>
              </w:tc>
              <w:tc>
                <w:tcPr>
                  <w:tcW w:w="624" w:type="dxa"/>
                  <w:tcBorders>
                    <w:tl2br w:val="nil"/>
                    <w:tr2bl w:val="nil"/>
                  </w:tcBorders>
                  <w:shd w:val="clear" w:color="auto" w:fill="FFFFFF"/>
                  <w:tcMar>
                    <w:top w:w="0" w:type="dxa"/>
                    <w:left w:w="0" w:type="dxa"/>
                    <w:bottom w:w="0" w:type="dxa"/>
                    <w:right w:w="0" w:type="dxa"/>
                  </w:tcMar>
                  <w:vAlign w:val="center"/>
                </w:tcPr>
                <w:p w14:paraId="4BADDAD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307480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6DBA491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w:t>
                  </w:r>
                </w:p>
              </w:tc>
              <w:tc>
                <w:tcPr>
                  <w:tcW w:w="555" w:type="dxa"/>
                  <w:tcBorders>
                    <w:tl2br w:val="nil"/>
                    <w:tr2bl w:val="nil"/>
                  </w:tcBorders>
                  <w:shd w:val="clear" w:color="auto" w:fill="FFFFFF"/>
                  <w:tcMar>
                    <w:top w:w="0" w:type="dxa"/>
                    <w:left w:w="0" w:type="dxa"/>
                    <w:bottom w:w="0" w:type="dxa"/>
                    <w:right w:w="0" w:type="dxa"/>
                  </w:tcMar>
                  <w:vAlign w:val="center"/>
                </w:tcPr>
                <w:p w14:paraId="3C51964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碳化车间</w:t>
                  </w:r>
                </w:p>
              </w:tc>
              <w:tc>
                <w:tcPr>
                  <w:tcW w:w="532" w:type="dxa"/>
                  <w:tcBorders>
                    <w:tl2br w:val="nil"/>
                    <w:tr2bl w:val="nil"/>
                  </w:tcBorders>
                  <w:shd w:val="clear" w:color="auto" w:fill="FFFFFF"/>
                  <w:tcMar>
                    <w:top w:w="0" w:type="dxa"/>
                    <w:left w:w="0" w:type="dxa"/>
                    <w:bottom w:w="0" w:type="dxa"/>
                    <w:right w:w="0" w:type="dxa"/>
                  </w:tcMar>
                  <w:vAlign w:val="center"/>
                </w:tcPr>
                <w:p w14:paraId="46E0EA4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炭化炉</w:t>
                  </w:r>
                </w:p>
              </w:tc>
              <w:tc>
                <w:tcPr>
                  <w:tcW w:w="627" w:type="dxa"/>
                  <w:tcBorders>
                    <w:tl2br w:val="nil"/>
                    <w:tr2bl w:val="nil"/>
                  </w:tcBorders>
                  <w:shd w:val="clear" w:color="auto" w:fill="FFFFFF"/>
                  <w:tcMar>
                    <w:top w:w="0" w:type="dxa"/>
                    <w:left w:w="0" w:type="dxa"/>
                    <w:bottom w:w="0" w:type="dxa"/>
                    <w:right w:w="0" w:type="dxa"/>
                  </w:tcMar>
                  <w:vAlign w:val="center"/>
                </w:tcPr>
                <w:p w14:paraId="0A70631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2E89EAD8">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5F090B8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7.5</w:t>
                  </w:r>
                </w:p>
              </w:tc>
              <w:tc>
                <w:tcPr>
                  <w:tcW w:w="545" w:type="dxa"/>
                  <w:tcBorders>
                    <w:tl2br w:val="nil"/>
                    <w:tr2bl w:val="nil"/>
                  </w:tcBorders>
                  <w:shd w:val="clear" w:color="auto" w:fill="FFFFFF"/>
                  <w:tcMar>
                    <w:top w:w="0" w:type="dxa"/>
                    <w:left w:w="0" w:type="dxa"/>
                    <w:bottom w:w="0" w:type="dxa"/>
                    <w:right w:w="0" w:type="dxa"/>
                  </w:tcMar>
                  <w:vAlign w:val="center"/>
                </w:tcPr>
                <w:p w14:paraId="3918B5E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101.4</w:t>
                  </w:r>
                </w:p>
              </w:tc>
              <w:tc>
                <w:tcPr>
                  <w:tcW w:w="545" w:type="dxa"/>
                  <w:tcBorders>
                    <w:tl2br w:val="nil"/>
                    <w:tr2bl w:val="nil"/>
                  </w:tcBorders>
                  <w:shd w:val="clear" w:color="auto" w:fill="FFFFFF"/>
                  <w:tcMar>
                    <w:top w:w="0" w:type="dxa"/>
                    <w:left w:w="0" w:type="dxa"/>
                    <w:bottom w:w="0" w:type="dxa"/>
                    <w:right w:w="0" w:type="dxa"/>
                  </w:tcMar>
                  <w:vAlign w:val="center"/>
                </w:tcPr>
                <w:p w14:paraId="79188BE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28A1C7E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9.3</w:t>
                  </w:r>
                </w:p>
              </w:tc>
              <w:tc>
                <w:tcPr>
                  <w:tcW w:w="450" w:type="dxa"/>
                  <w:tcBorders>
                    <w:tl2br w:val="nil"/>
                    <w:tr2bl w:val="nil"/>
                  </w:tcBorders>
                  <w:shd w:val="clear" w:color="auto" w:fill="FFFFFF"/>
                  <w:tcMar>
                    <w:top w:w="0" w:type="dxa"/>
                    <w:left w:w="0" w:type="dxa"/>
                    <w:bottom w:w="0" w:type="dxa"/>
                    <w:right w:w="0" w:type="dxa"/>
                  </w:tcMar>
                  <w:vAlign w:val="center"/>
                </w:tcPr>
                <w:p w14:paraId="6516641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13.0</w:t>
                  </w:r>
                </w:p>
              </w:tc>
              <w:tc>
                <w:tcPr>
                  <w:tcW w:w="450" w:type="dxa"/>
                  <w:tcBorders>
                    <w:tl2br w:val="nil"/>
                    <w:tr2bl w:val="nil"/>
                  </w:tcBorders>
                  <w:shd w:val="clear" w:color="auto" w:fill="FFFFFF"/>
                  <w:tcMar>
                    <w:top w:w="0" w:type="dxa"/>
                    <w:left w:w="0" w:type="dxa"/>
                    <w:bottom w:w="0" w:type="dxa"/>
                    <w:right w:w="0" w:type="dxa"/>
                  </w:tcMar>
                  <w:vAlign w:val="center"/>
                </w:tcPr>
                <w:p w14:paraId="29D87D5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16.3</w:t>
                  </w:r>
                </w:p>
              </w:tc>
              <w:tc>
                <w:tcPr>
                  <w:tcW w:w="451" w:type="dxa"/>
                  <w:tcBorders>
                    <w:tl2br w:val="nil"/>
                    <w:tr2bl w:val="nil"/>
                  </w:tcBorders>
                  <w:shd w:val="clear" w:color="auto" w:fill="FFFFFF"/>
                  <w:tcMar>
                    <w:top w:w="0" w:type="dxa"/>
                    <w:left w:w="0" w:type="dxa"/>
                    <w:bottom w:w="0" w:type="dxa"/>
                    <w:right w:w="0" w:type="dxa"/>
                  </w:tcMar>
                  <w:vAlign w:val="center"/>
                </w:tcPr>
                <w:p w14:paraId="59E8B27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33.2</w:t>
                  </w:r>
                </w:p>
              </w:tc>
              <w:tc>
                <w:tcPr>
                  <w:tcW w:w="445" w:type="dxa"/>
                  <w:tcBorders>
                    <w:tl2br w:val="nil"/>
                    <w:tr2bl w:val="nil"/>
                  </w:tcBorders>
                  <w:shd w:val="clear" w:color="auto" w:fill="FFFFFF"/>
                  <w:tcMar>
                    <w:top w:w="0" w:type="dxa"/>
                    <w:left w:w="0" w:type="dxa"/>
                    <w:bottom w:w="0" w:type="dxa"/>
                    <w:right w:w="0" w:type="dxa"/>
                  </w:tcMar>
                  <w:vAlign w:val="center"/>
                </w:tcPr>
                <w:p w14:paraId="5A6E06C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82.8</w:t>
                  </w:r>
                </w:p>
              </w:tc>
              <w:tc>
                <w:tcPr>
                  <w:tcW w:w="445" w:type="dxa"/>
                  <w:tcBorders>
                    <w:tl2br w:val="nil"/>
                    <w:tr2bl w:val="nil"/>
                  </w:tcBorders>
                  <w:shd w:val="clear" w:color="auto" w:fill="FFFFFF"/>
                  <w:tcMar>
                    <w:top w:w="0" w:type="dxa"/>
                    <w:left w:w="0" w:type="dxa"/>
                    <w:bottom w:w="0" w:type="dxa"/>
                    <w:right w:w="0" w:type="dxa"/>
                  </w:tcMar>
                  <w:vAlign w:val="center"/>
                </w:tcPr>
                <w:p w14:paraId="143F120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82.8</w:t>
                  </w:r>
                </w:p>
              </w:tc>
              <w:tc>
                <w:tcPr>
                  <w:tcW w:w="445" w:type="dxa"/>
                  <w:tcBorders>
                    <w:tl2br w:val="nil"/>
                    <w:tr2bl w:val="nil"/>
                  </w:tcBorders>
                  <w:shd w:val="clear" w:color="auto" w:fill="FFFFFF"/>
                  <w:tcMar>
                    <w:top w:w="0" w:type="dxa"/>
                    <w:left w:w="0" w:type="dxa"/>
                    <w:bottom w:w="0" w:type="dxa"/>
                    <w:right w:w="0" w:type="dxa"/>
                  </w:tcMar>
                  <w:vAlign w:val="center"/>
                </w:tcPr>
                <w:p w14:paraId="2395DB8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82.8</w:t>
                  </w:r>
                </w:p>
              </w:tc>
              <w:tc>
                <w:tcPr>
                  <w:tcW w:w="446" w:type="dxa"/>
                  <w:tcBorders>
                    <w:tl2br w:val="nil"/>
                    <w:tr2bl w:val="nil"/>
                  </w:tcBorders>
                  <w:shd w:val="clear" w:color="auto" w:fill="FFFFFF"/>
                  <w:tcMar>
                    <w:top w:w="0" w:type="dxa"/>
                    <w:left w:w="0" w:type="dxa"/>
                    <w:bottom w:w="0" w:type="dxa"/>
                    <w:right w:w="0" w:type="dxa"/>
                  </w:tcMar>
                  <w:vAlign w:val="center"/>
                </w:tcPr>
                <w:p w14:paraId="7A993C8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82.8</w:t>
                  </w:r>
                </w:p>
              </w:tc>
              <w:tc>
                <w:tcPr>
                  <w:tcW w:w="443" w:type="dxa"/>
                  <w:tcBorders>
                    <w:tl2br w:val="nil"/>
                    <w:tr2bl w:val="nil"/>
                  </w:tcBorders>
                  <w:shd w:val="clear" w:color="auto" w:fill="FFFFFF"/>
                  <w:tcMar>
                    <w:top w:w="0" w:type="dxa"/>
                    <w:left w:w="0" w:type="dxa"/>
                    <w:bottom w:w="0" w:type="dxa"/>
                    <w:right w:w="0" w:type="dxa"/>
                  </w:tcMar>
                  <w:vAlign w:val="center"/>
                </w:tcPr>
                <w:p w14:paraId="32AA5D2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1B4367F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229BEF7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43AB7C3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39085D2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2301AD7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56.8</w:t>
                  </w:r>
                </w:p>
              </w:tc>
              <w:tc>
                <w:tcPr>
                  <w:tcW w:w="453" w:type="dxa"/>
                  <w:tcBorders>
                    <w:tl2br w:val="nil"/>
                    <w:tr2bl w:val="nil"/>
                  </w:tcBorders>
                  <w:shd w:val="clear" w:color="auto" w:fill="FFFFFF"/>
                  <w:tcMar>
                    <w:top w:w="0" w:type="dxa"/>
                    <w:left w:w="0" w:type="dxa"/>
                    <w:bottom w:w="0" w:type="dxa"/>
                    <w:right w:w="0" w:type="dxa"/>
                  </w:tcMar>
                  <w:vAlign w:val="center"/>
                </w:tcPr>
                <w:p w14:paraId="019CA68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56.8</w:t>
                  </w:r>
                </w:p>
              </w:tc>
              <w:tc>
                <w:tcPr>
                  <w:tcW w:w="453" w:type="dxa"/>
                  <w:tcBorders>
                    <w:tl2br w:val="nil"/>
                    <w:tr2bl w:val="nil"/>
                  </w:tcBorders>
                  <w:shd w:val="clear" w:color="auto" w:fill="FFFFFF"/>
                  <w:tcMar>
                    <w:top w:w="0" w:type="dxa"/>
                    <w:left w:w="0" w:type="dxa"/>
                    <w:bottom w:w="0" w:type="dxa"/>
                    <w:right w:w="0" w:type="dxa"/>
                  </w:tcMar>
                  <w:vAlign w:val="center"/>
                </w:tcPr>
                <w:p w14:paraId="304F0C5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56.8</w:t>
                  </w:r>
                </w:p>
              </w:tc>
              <w:tc>
                <w:tcPr>
                  <w:tcW w:w="453" w:type="dxa"/>
                  <w:tcBorders>
                    <w:tl2br w:val="nil"/>
                    <w:tr2bl w:val="nil"/>
                  </w:tcBorders>
                  <w:shd w:val="clear" w:color="auto" w:fill="FFFFFF"/>
                  <w:tcMar>
                    <w:top w:w="0" w:type="dxa"/>
                    <w:left w:w="0" w:type="dxa"/>
                    <w:bottom w:w="0" w:type="dxa"/>
                    <w:right w:w="0" w:type="dxa"/>
                  </w:tcMar>
                  <w:vAlign w:val="center"/>
                </w:tcPr>
                <w:p w14:paraId="3EB8A72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56.8</w:t>
                  </w:r>
                </w:p>
              </w:tc>
              <w:tc>
                <w:tcPr>
                  <w:tcW w:w="624" w:type="dxa"/>
                  <w:tcBorders>
                    <w:tl2br w:val="nil"/>
                    <w:tr2bl w:val="nil"/>
                  </w:tcBorders>
                  <w:shd w:val="clear" w:color="auto" w:fill="FFFFFF"/>
                  <w:tcMar>
                    <w:top w:w="0" w:type="dxa"/>
                    <w:left w:w="0" w:type="dxa"/>
                    <w:bottom w:w="0" w:type="dxa"/>
                    <w:right w:w="0" w:type="dxa"/>
                  </w:tcMar>
                  <w:vAlign w:val="center"/>
                </w:tcPr>
                <w:p w14:paraId="0BB2C93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1A2943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74EF4A0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w:t>
                  </w:r>
                </w:p>
              </w:tc>
              <w:tc>
                <w:tcPr>
                  <w:tcW w:w="555" w:type="dxa"/>
                  <w:tcBorders>
                    <w:tl2br w:val="nil"/>
                    <w:tr2bl w:val="nil"/>
                  </w:tcBorders>
                  <w:shd w:val="clear" w:color="auto" w:fill="FFFFFF"/>
                  <w:tcMar>
                    <w:top w:w="0" w:type="dxa"/>
                    <w:left w:w="0" w:type="dxa"/>
                    <w:bottom w:w="0" w:type="dxa"/>
                    <w:right w:w="0" w:type="dxa"/>
                  </w:tcMar>
                  <w:vAlign w:val="center"/>
                </w:tcPr>
                <w:p w14:paraId="7B20D8E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碳化车间</w:t>
                  </w:r>
                </w:p>
              </w:tc>
              <w:tc>
                <w:tcPr>
                  <w:tcW w:w="532" w:type="dxa"/>
                  <w:tcBorders>
                    <w:tl2br w:val="nil"/>
                    <w:tr2bl w:val="nil"/>
                  </w:tcBorders>
                  <w:shd w:val="clear" w:color="auto" w:fill="FFFFFF"/>
                  <w:tcMar>
                    <w:top w:w="0" w:type="dxa"/>
                    <w:left w:w="0" w:type="dxa"/>
                    <w:bottom w:w="0" w:type="dxa"/>
                    <w:right w:w="0" w:type="dxa"/>
                  </w:tcMar>
                  <w:vAlign w:val="center"/>
                </w:tcPr>
                <w:p w14:paraId="1C34944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冷凝系统（水泵）</w:t>
                  </w:r>
                </w:p>
              </w:tc>
              <w:tc>
                <w:tcPr>
                  <w:tcW w:w="627" w:type="dxa"/>
                  <w:tcBorders>
                    <w:tl2br w:val="nil"/>
                    <w:tr2bl w:val="nil"/>
                  </w:tcBorders>
                  <w:shd w:val="clear" w:color="auto" w:fill="FFFFFF"/>
                  <w:tcMar>
                    <w:top w:w="0" w:type="dxa"/>
                    <w:left w:w="0" w:type="dxa"/>
                    <w:bottom w:w="0" w:type="dxa"/>
                    <w:right w:w="0" w:type="dxa"/>
                  </w:tcMar>
                  <w:vAlign w:val="center"/>
                </w:tcPr>
                <w:p w14:paraId="5DEE613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90</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593F0709">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4C48116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w:t>
                  </w:r>
                </w:p>
              </w:tc>
              <w:tc>
                <w:tcPr>
                  <w:tcW w:w="545" w:type="dxa"/>
                  <w:tcBorders>
                    <w:tl2br w:val="nil"/>
                    <w:tr2bl w:val="nil"/>
                  </w:tcBorders>
                  <w:shd w:val="clear" w:color="auto" w:fill="FFFFFF"/>
                  <w:tcMar>
                    <w:top w:w="0" w:type="dxa"/>
                    <w:left w:w="0" w:type="dxa"/>
                    <w:bottom w:w="0" w:type="dxa"/>
                    <w:right w:w="0" w:type="dxa"/>
                  </w:tcMar>
                  <w:vAlign w:val="center"/>
                </w:tcPr>
                <w:p w14:paraId="070890A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101.8</w:t>
                  </w:r>
                </w:p>
              </w:tc>
              <w:tc>
                <w:tcPr>
                  <w:tcW w:w="545" w:type="dxa"/>
                  <w:tcBorders>
                    <w:tl2br w:val="nil"/>
                    <w:tr2bl w:val="nil"/>
                  </w:tcBorders>
                  <w:shd w:val="clear" w:color="auto" w:fill="FFFFFF"/>
                  <w:tcMar>
                    <w:top w:w="0" w:type="dxa"/>
                    <w:left w:w="0" w:type="dxa"/>
                    <w:bottom w:w="0" w:type="dxa"/>
                    <w:right w:w="0" w:type="dxa"/>
                  </w:tcMar>
                  <w:vAlign w:val="center"/>
                </w:tcPr>
                <w:p w14:paraId="1C03743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79405D2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20.8</w:t>
                  </w:r>
                </w:p>
              </w:tc>
              <w:tc>
                <w:tcPr>
                  <w:tcW w:w="450" w:type="dxa"/>
                  <w:tcBorders>
                    <w:tl2br w:val="nil"/>
                    <w:tr2bl w:val="nil"/>
                  </w:tcBorders>
                  <w:shd w:val="clear" w:color="auto" w:fill="FFFFFF"/>
                  <w:tcMar>
                    <w:top w:w="0" w:type="dxa"/>
                    <w:left w:w="0" w:type="dxa"/>
                    <w:bottom w:w="0" w:type="dxa"/>
                    <w:right w:w="0" w:type="dxa"/>
                  </w:tcMar>
                  <w:vAlign w:val="center"/>
                </w:tcPr>
                <w:p w14:paraId="634D1EA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12.3</w:t>
                  </w:r>
                </w:p>
              </w:tc>
              <w:tc>
                <w:tcPr>
                  <w:tcW w:w="450" w:type="dxa"/>
                  <w:tcBorders>
                    <w:tl2br w:val="nil"/>
                    <w:tr2bl w:val="nil"/>
                  </w:tcBorders>
                  <w:shd w:val="clear" w:color="auto" w:fill="FFFFFF"/>
                  <w:tcMar>
                    <w:top w:w="0" w:type="dxa"/>
                    <w:left w:w="0" w:type="dxa"/>
                    <w:bottom w:w="0" w:type="dxa"/>
                    <w:right w:w="0" w:type="dxa"/>
                  </w:tcMar>
                  <w:vAlign w:val="center"/>
                </w:tcPr>
                <w:p w14:paraId="65FF90D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4.8</w:t>
                  </w:r>
                </w:p>
              </w:tc>
              <w:tc>
                <w:tcPr>
                  <w:tcW w:w="451" w:type="dxa"/>
                  <w:tcBorders>
                    <w:tl2br w:val="nil"/>
                    <w:tr2bl w:val="nil"/>
                  </w:tcBorders>
                  <w:shd w:val="clear" w:color="auto" w:fill="FFFFFF"/>
                  <w:tcMar>
                    <w:top w:w="0" w:type="dxa"/>
                    <w:left w:w="0" w:type="dxa"/>
                    <w:bottom w:w="0" w:type="dxa"/>
                    <w:right w:w="0" w:type="dxa"/>
                  </w:tcMar>
                  <w:vAlign w:val="center"/>
                </w:tcPr>
                <w:p w14:paraId="3B9A19B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34.3</w:t>
                  </w:r>
                </w:p>
              </w:tc>
              <w:tc>
                <w:tcPr>
                  <w:tcW w:w="445" w:type="dxa"/>
                  <w:tcBorders>
                    <w:tl2br w:val="nil"/>
                    <w:tr2bl w:val="nil"/>
                  </w:tcBorders>
                  <w:shd w:val="clear" w:color="auto" w:fill="FFFFFF"/>
                  <w:tcMar>
                    <w:top w:w="0" w:type="dxa"/>
                    <w:left w:w="0" w:type="dxa"/>
                    <w:bottom w:w="0" w:type="dxa"/>
                    <w:right w:w="0" w:type="dxa"/>
                  </w:tcMar>
                  <w:vAlign w:val="center"/>
                </w:tcPr>
                <w:p w14:paraId="5BFD8E3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77.8</w:t>
                  </w:r>
                </w:p>
              </w:tc>
              <w:tc>
                <w:tcPr>
                  <w:tcW w:w="445" w:type="dxa"/>
                  <w:tcBorders>
                    <w:tl2br w:val="nil"/>
                    <w:tr2bl w:val="nil"/>
                  </w:tcBorders>
                  <w:shd w:val="clear" w:color="auto" w:fill="FFFFFF"/>
                  <w:tcMar>
                    <w:top w:w="0" w:type="dxa"/>
                    <w:left w:w="0" w:type="dxa"/>
                    <w:bottom w:w="0" w:type="dxa"/>
                    <w:right w:w="0" w:type="dxa"/>
                  </w:tcMar>
                  <w:vAlign w:val="center"/>
                </w:tcPr>
                <w:p w14:paraId="6336C1C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77.8</w:t>
                  </w:r>
                </w:p>
              </w:tc>
              <w:tc>
                <w:tcPr>
                  <w:tcW w:w="445" w:type="dxa"/>
                  <w:tcBorders>
                    <w:tl2br w:val="nil"/>
                    <w:tr2bl w:val="nil"/>
                  </w:tcBorders>
                  <w:shd w:val="clear" w:color="auto" w:fill="FFFFFF"/>
                  <w:tcMar>
                    <w:top w:w="0" w:type="dxa"/>
                    <w:left w:w="0" w:type="dxa"/>
                    <w:bottom w:w="0" w:type="dxa"/>
                    <w:right w:w="0" w:type="dxa"/>
                  </w:tcMar>
                  <w:vAlign w:val="center"/>
                </w:tcPr>
                <w:p w14:paraId="2F68CF0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78.0</w:t>
                  </w:r>
                </w:p>
              </w:tc>
              <w:tc>
                <w:tcPr>
                  <w:tcW w:w="446" w:type="dxa"/>
                  <w:tcBorders>
                    <w:tl2br w:val="nil"/>
                    <w:tr2bl w:val="nil"/>
                  </w:tcBorders>
                  <w:shd w:val="clear" w:color="auto" w:fill="FFFFFF"/>
                  <w:tcMar>
                    <w:top w:w="0" w:type="dxa"/>
                    <w:left w:w="0" w:type="dxa"/>
                    <w:bottom w:w="0" w:type="dxa"/>
                    <w:right w:w="0" w:type="dxa"/>
                  </w:tcMar>
                  <w:vAlign w:val="center"/>
                </w:tcPr>
                <w:p w14:paraId="554264E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77.8</w:t>
                  </w:r>
                </w:p>
              </w:tc>
              <w:tc>
                <w:tcPr>
                  <w:tcW w:w="443" w:type="dxa"/>
                  <w:tcBorders>
                    <w:tl2br w:val="nil"/>
                    <w:tr2bl w:val="nil"/>
                  </w:tcBorders>
                  <w:shd w:val="clear" w:color="auto" w:fill="FFFFFF"/>
                  <w:tcMar>
                    <w:top w:w="0" w:type="dxa"/>
                    <w:left w:w="0" w:type="dxa"/>
                    <w:bottom w:w="0" w:type="dxa"/>
                    <w:right w:w="0" w:type="dxa"/>
                  </w:tcMar>
                  <w:vAlign w:val="center"/>
                </w:tcPr>
                <w:p w14:paraId="1D29AF6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091D4A3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04C9071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617EA16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7F6EABE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4FB93F2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51.8</w:t>
                  </w:r>
                </w:p>
              </w:tc>
              <w:tc>
                <w:tcPr>
                  <w:tcW w:w="453" w:type="dxa"/>
                  <w:tcBorders>
                    <w:tl2br w:val="nil"/>
                    <w:tr2bl w:val="nil"/>
                  </w:tcBorders>
                  <w:shd w:val="clear" w:color="auto" w:fill="FFFFFF"/>
                  <w:tcMar>
                    <w:top w:w="0" w:type="dxa"/>
                    <w:left w:w="0" w:type="dxa"/>
                    <w:bottom w:w="0" w:type="dxa"/>
                    <w:right w:w="0" w:type="dxa"/>
                  </w:tcMar>
                  <w:vAlign w:val="center"/>
                </w:tcPr>
                <w:p w14:paraId="71802A0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51.8</w:t>
                  </w:r>
                </w:p>
              </w:tc>
              <w:tc>
                <w:tcPr>
                  <w:tcW w:w="453" w:type="dxa"/>
                  <w:tcBorders>
                    <w:tl2br w:val="nil"/>
                    <w:tr2bl w:val="nil"/>
                  </w:tcBorders>
                  <w:shd w:val="clear" w:color="auto" w:fill="FFFFFF"/>
                  <w:tcMar>
                    <w:top w:w="0" w:type="dxa"/>
                    <w:left w:w="0" w:type="dxa"/>
                    <w:bottom w:w="0" w:type="dxa"/>
                    <w:right w:w="0" w:type="dxa"/>
                  </w:tcMar>
                  <w:vAlign w:val="center"/>
                </w:tcPr>
                <w:p w14:paraId="15C95AB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52.0</w:t>
                  </w:r>
                </w:p>
              </w:tc>
              <w:tc>
                <w:tcPr>
                  <w:tcW w:w="453" w:type="dxa"/>
                  <w:tcBorders>
                    <w:tl2br w:val="nil"/>
                    <w:tr2bl w:val="nil"/>
                  </w:tcBorders>
                  <w:shd w:val="clear" w:color="auto" w:fill="FFFFFF"/>
                  <w:tcMar>
                    <w:top w:w="0" w:type="dxa"/>
                    <w:left w:w="0" w:type="dxa"/>
                    <w:bottom w:w="0" w:type="dxa"/>
                    <w:right w:w="0" w:type="dxa"/>
                  </w:tcMar>
                  <w:vAlign w:val="center"/>
                </w:tcPr>
                <w:p w14:paraId="6E7CDC6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51.8</w:t>
                  </w:r>
                </w:p>
              </w:tc>
              <w:tc>
                <w:tcPr>
                  <w:tcW w:w="624" w:type="dxa"/>
                  <w:tcBorders>
                    <w:tl2br w:val="nil"/>
                    <w:tr2bl w:val="nil"/>
                  </w:tcBorders>
                  <w:shd w:val="clear" w:color="auto" w:fill="FFFFFF"/>
                  <w:tcMar>
                    <w:top w:w="0" w:type="dxa"/>
                    <w:left w:w="0" w:type="dxa"/>
                    <w:bottom w:w="0" w:type="dxa"/>
                    <w:right w:w="0" w:type="dxa"/>
                  </w:tcMar>
                  <w:vAlign w:val="center"/>
                </w:tcPr>
                <w:p w14:paraId="5775853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0A4BFB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08D2155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w:t>
                  </w:r>
                </w:p>
              </w:tc>
              <w:tc>
                <w:tcPr>
                  <w:tcW w:w="555" w:type="dxa"/>
                  <w:tcBorders>
                    <w:tl2br w:val="nil"/>
                    <w:tr2bl w:val="nil"/>
                  </w:tcBorders>
                  <w:shd w:val="clear" w:color="auto" w:fill="FFFFFF"/>
                  <w:tcMar>
                    <w:top w:w="0" w:type="dxa"/>
                    <w:left w:w="0" w:type="dxa"/>
                    <w:bottom w:w="0" w:type="dxa"/>
                    <w:right w:w="0" w:type="dxa"/>
                  </w:tcMar>
                  <w:vAlign w:val="center"/>
                </w:tcPr>
                <w:p w14:paraId="41A68FC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碳化车间</w:t>
                  </w:r>
                </w:p>
              </w:tc>
              <w:tc>
                <w:tcPr>
                  <w:tcW w:w="532" w:type="dxa"/>
                  <w:tcBorders>
                    <w:tl2br w:val="nil"/>
                    <w:tr2bl w:val="nil"/>
                  </w:tcBorders>
                  <w:shd w:val="clear" w:color="auto" w:fill="FFFFFF"/>
                  <w:tcMar>
                    <w:top w:w="0" w:type="dxa"/>
                    <w:left w:w="0" w:type="dxa"/>
                    <w:bottom w:w="0" w:type="dxa"/>
                    <w:right w:w="0" w:type="dxa"/>
                  </w:tcMar>
                  <w:vAlign w:val="center"/>
                </w:tcPr>
                <w:p w14:paraId="680A9C6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袋式除尘器</w:t>
                  </w:r>
                </w:p>
              </w:tc>
              <w:tc>
                <w:tcPr>
                  <w:tcW w:w="627" w:type="dxa"/>
                  <w:tcBorders>
                    <w:tl2br w:val="nil"/>
                    <w:tr2bl w:val="nil"/>
                  </w:tcBorders>
                  <w:shd w:val="clear" w:color="auto" w:fill="FFFFFF"/>
                  <w:tcMar>
                    <w:top w:w="0" w:type="dxa"/>
                    <w:left w:w="0" w:type="dxa"/>
                    <w:bottom w:w="0" w:type="dxa"/>
                    <w:right w:w="0" w:type="dxa"/>
                  </w:tcMar>
                  <w:vAlign w:val="center"/>
                </w:tcPr>
                <w:p w14:paraId="4C67F41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45A848BE">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3B546AD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13.8</w:t>
                  </w:r>
                </w:p>
              </w:tc>
              <w:tc>
                <w:tcPr>
                  <w:tcW w:w="545" w:type="dxa"/>
                  <w:tcBorders>
                    <w:tl2br w:val="nil"/>
                    <w:tr2bl w:val="nil"/>
                  </w:tcBorders>
                  <w:shd w:val="clear" w:color="auto" w:fill="FFFFFF"/>
                  <w:tcMar>
                    <w:top w:w="0" w:type="dxa"/>
                    <w:left w:w="0" w:type="dxa"/>
                    <w:bottom w:w="0" w:type="dxa"/>
                    <w:right w:w="0" w:type="dxa"/>
                  </w:tcMar>
                  <w:vAlign w:val="center"/>
                </w:tcPr>
                <w:p w14:paraId="42175D2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97.9</w:t>
                  </w:r>
                </w:p>
              </w:tc>
              <w:tc>
                <w:tcPr>
                  <w:tcW w:w="545" w:type="dxa"/>
                  <w:tcBorders>
                    <w:tl2br w:val="nil"/>
                    <w:tr2bl w:val="nil"/>
                  </w:tcBorders>
                  <w:shd w:val="clear" w:color="auto" w:fill="FFFFFF"/>
                  <w:tcMar>
                    <w:top w:w="0" w:type="dxa"/>
                    <w:left w:w="0" w:type="dxa"/>
                    <w:bottom w:w="0" w:type="dxa"/>
                    <w:right w:w="0" w:type="dxa"/>
                  </w:tcMar>
                  <w:vAlign w:val="center"/>
                </w:tcPr>
                <w:p w14:paraId="70CC826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70912F1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3.0</w:t>
                  </w:r>
                </w:p>
              </w:tc>
              <w:tc>
                <w:tcPr>
                  <w:tcW w:w="450" w:type="dxa"/>
                  <w:tcBorders>
                    <w:tl2br w:val="nil"/>
                    <w:tr2bl w:val="nil"/>
                  </w:tcBorders>
                  <w:shd w:val="clear" w:color="auto" w:fill="FFFFFF"/>
                  <w:tcMar>
                    <w:top w:w="0" w:type="dxa"/>
                    <w:left w:w="0" w:type="dxa"/>
                    <w:bottom w:w="0" w:type="dxa"/>
                    <w:right w:w="0" w:type="dxa"/>
                  </w:tcMar>
                  <w:vAlign w:val="center"/>
                </w:tcPr>
                <w:p w14:paraId="39E1621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10.2</w:t>
                  </w:r>
                </w:p>
              </w:tc>
              <w:tc>
                <w:tcPr>
                  <w:tcW w:w="450" w:type="dxa"/>
                  <w:tcBorders>
                    <w:tl2br w:val="nil"/>
                    <w:tr2bl w:val="nil"/>
                  </w:tcBorders>
                  <w:shd w:val="clear" w:color="auto" w:fill="FFFFFF"/>
                  <w:tcMar>
                    <w:top w:w="0" w:type="dxa"/>
                    <w:left w:w="0" w:type="dxa"/>
                    <w:bottom w:w="0" w:type="dxa"/>
                    <w:right w:w="0" w:type="dxa"/>
                  </w:tcMar>
                  <w:vAlign w:val="center"/>
                </w:tcPr>
                <w:p w14:paraId="44F94A6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22.8</w:t>
                  </w:r>
                </w:p>
              </w:tc>
              <w:tc>
                <w:tcPr>
                  <w:tcW w:w="451" w:type="dxa"/>
                  <w:tcBorders>
                    <w:tl2br w:val="nil"/>
                    <w:tr2bl w:val="nil"/>
                  </w:tcBorders>
                  <w:shd w:val="clear" w:color="auto" w:fill="FFFFFF"/>
                  <w:tcMar>
                    <w:top w:w="0" w:type="dxa"/>
                    <w:left w:w="0" w:type="dxa"/>
                    <w:bottom w:w="0" w:type="dxa"/>
                    <w:right w:w="0" w:type="dxa"/>
                  </w:tcMar>
                  <w:vAlign w:val="center"/>
                </w:tcPr>
                <w:p w14:paraId="06533A8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35.9</w:t>
                  </w:r>
                </w:p>
              </w:tc>
              <w:tc>
                <w:tcPr>
                  <w:tcW w:w="445" w:type="dxa"/>
                  <w:tcBorders>
                    <w:tl2br w:val="nil"/>
                    <w:tr2bl w:val="nil"/>
                  </w:tcBorders>
                  <w:shd w:val="clear" w:color="auto" w:fill="FFFFFF"/>
                  <w:tcMar>
                    <w:top w:w="0" w:type="dxa"/>
                    <w:left w:w="0" w:type="dxa"/>
                    <w:bottom w:w="0" w:type="dxa"/>
                    <w:right w:w="0" w:type="dxa"/>
                  </w:tcMar>
                  <w:vAlign w:val="center"/>
                </w:tcPr>
                <w:p w14:paraId="721F001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73.4</w:t>
                  </w:r>
                </w:p>
              </w:tc>
              <w:tc>
                <w:tcPr>
                  <w:tcW w:w="445" w:type="dxa"/>
                  <w:tcBorders>
                    <w:tl2br w:val="nil"/>
                    <w:tr2bl w:val="nil"/>
                  </w:tcBorders>
                  <w:shd w:val="clear" w:color="auto" w:fill="FFFFFF"/>
                  <w:tcMar>
                    <w:top w:w="0" w:type="dxa"/>
                    <w:left w:w="0" w:type="dxa"/>
                    <w:bottom w:w="0" w:type="dxa"/>
                    <w:right w:w="0" w:type="dxa"/>
                  </w:tcMar>
                  <w:vAlign w:val="center"/>
                </w:tcPr>
                <w:p w14:paraId="29A01F4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72.8</w:t>
                  </w:r>
                </w:p>
              </w:tc>
              <w:tc>
                <w:tcPr>
                  <w:tcW w:w="445" w:type="dxa"/>
                  <w:tcBorders>
                    <w:tl2br w:val="nil"/>
                    <w:tr2bl w:val="nil"/>
                  </w:tcBorders>
                  <w:shd w:val="clear" w:color="auto" w:fill="FFFFFF"/>
                  <w:tcMar>
                    <w:top w:w="0" w:type="dxa"/>
                    <w:left w:w="0" w:type="dxa"/>
                    <w:bottom w:w="0" w:type="dxa"/>
                    <w:right w:w="0" w:type="dxa"/>
                  </w:tcMar>
                  <w:vAlign w:val="center"/>
                </w:tcPr>
                <w:p w14:paraId="5081C8D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72.8</w:t>
                  </w:r>
                </w:p>
              </w:tc>
              <w:tc>
                <w:tcPr>
                  <w:tcW w:w="446" w:type="dxa"/>
                  <w:tcBorders>
                    <w:tl2br w:val="nil"/>
                    <w:tr2bl w:val="nil"/>
                  </w:tcBorders>
                  <w:shd w:val="clear" w:color="auto" w:fill="FFFFFF"/>
                  <w:tcMar>
                    <w:top w:w="0" w:type="dxa"/>
                    <w:left w:w="0" w:type="dxa"/>
                    <w:bottom w:w="0" w:type="dxa"/>
                    <w:right w:w="0" w:type="dxa"/>
                  </w:tcMar>
                  <w:vAlign w:val="center"/>
                </w:tcPr>
                <w:p w14:paraId="735338E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72.8</w:t>
                  </w:r>
                </w:p>
              </w:tc>
              <w:tc>
                <w:tcPr>
                  <w:tcW w:w="443" w:type="dxa"/>
                  <w:tcBorders>
                    <w:tl2br w:val="nil"/>
                    <w:tr2bl w:val="nil"/>
                  </w:tcBorders>
                  <w:shd w:val="clear" w:color="auto" w:fill="FFFFFF"/>
                  <w:tcMar>
                    <w:top w:w="0" w:type="dxa"/>
                    <w:left w:w="0" w:type="dxa"/>
                    <w:bottom w:w="0" w:type="dxa"/>
                    <w:right w:w="0" w:type="dxa"/>
                  </w:tcMar>
                  <w:vAlign w:val="center"/>
                </w:tcPr>
                <w:p w14:paraId="3C144ED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11D68DE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160C823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3B76BC8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50FB544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26F9636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47.4</w:t>
                  </w:r>
                </w:p>
              </w:tc>
              <w:tc>
                <w:tcPr>
                  <w:tcW w:w="453" w:type="dxa"/>
                  <w:tcBorders>
                    <w:tl2br w:val="nil"/>
                    <w:tr2bl w:val="nil"/>
                  </w:tcBorders>
                  <w:shd w:val="clear" w:color="auto" w:fill="FFFFFF"/>
                  <w:tcMar>
                    <w:top w:w="0" w:type="dxa"/>
                    <w:left w:w="0" w:type="dxa"/>
                    <w:bottom w:w="0" w:type="dxa"/>
                    <w:right w:w="0" w:type="dxa"/>
                  </w:tcMar>
                  <w:vAlign w:val="center"/>
                </w:tcPr>
                <w:p w14:paraId="74C75BD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46.8</w:t>
                  </w:r>
                </w:p>
              </w:tc>
              <w:tc>
                <w:tcPr>
                  <w:tcW w:w="453" w:type="dxa"/>
                  <w:tcBorders>
                    <w:tl2br w:val="nil"/>
                    <w:tr2bl w:val="nil"/>
                  </w:tcBorders>
                  <w:shd w:val="clear" w:color="auto" w:fill="FFFFFF"/>
                  <w:tcMar>
                    <w:top w:w="0" w:type="dxa"/>
                    <w:left w:w="0" w:type="dxa"/>
                    <w:bottom w:w="0" w:type="dxa"/>
                    <w:right w:w="0" w:type="dxa"/>
                  </w:tcMar>
                  <w:vAlign w:val="center"/>
                </w:tcPr>
                <w:p w14:paraId="0F41A16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46.8</w:t>
                  </w:r>
                </w:p>
              </w:tc>
              <w:tc>
                <w:tcPr>
                  <w:tcW w:w="453" w:type="dxa"/>
                  <w:tcBorders>
                    <w:tl2br w:val="nil"/>
                    <w:tr2bl w:val="nil"/>
                  </w:tcBorders>
                  <w:shd w:val="clear" w:color="auto" w:fill="FFFFFF"/>
                  <w:tcMar>
                    <w:top w:w="0" w:type="dxa"/>
                    <w:left w:w="0" w:type="dxa"/>
                    <w:bottom w:w="0" w:type="dxa"/>
                    <w:right w:w="0" w:type="dxa"/>
                  </w:tcMar>
                  <w:vAlign w:val="center"/>
                </w:tcPr>
                <w:p w14:paraId="54F61CB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46.8</w:t>
                  </w:r>
                </w:p>
              </w:tc>
              <w:tc>
                <w:tcPr>
                  <w:tcW w:w="624" w:type="dxa"/>
                  <w:tcBorders>
                    <w:tl2br w:val="nil"/>
                    <w:tr2bl w:val="nil"/>
                  </w:tcBorders>
                  <w:shd w:val="clear" w:color="auto" w:fill="FFFFFF"/>
                  <w:tcMar>
                    <w:top w:w="0" w:type="dxa"/>
                    <w:left w:w="0" w:type="dxa"/>
                    <w:bottom w:w="0" w:type="dxa"/>
                    <w:right w:w="0" w:type="dxa"/>
                  </w:tcMar>
                  <w:vAlign w:val="center"/>
                </w:tcPr>
                <w:p w14:paraId="6C77D84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4EC17F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7CCDAEB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6</w:t>
                  </w:r>
                </w:p>
              </w:tc>
              <w:tc>
                <w:tcPr>
                  <w:tcW w:w="555" w:type="dxa"/>
                  <w:tcBorders>
                    <w:tl2br w:val="nil"/>
                    <w:tr2bl w:val="nil"/>
                  </w:tcBorders>
                  <w:shd w:val="clear" w:color="auto" w:fill="FFFFFF"/>
                  <w:tcMar>
                    <w:top w:w="0" w:type="dxa"/>
                    <w:left w:w="0" w:type="dxa"/>
                    <w:bottom w:w="0" w:type="dxa"/>
                    <w:right w:w="0" w:type="dxa"/>
                  </w:tcMar>
                  <w:vAlign w:val="center"/>
                </w:tcPr>
                <w:p w14:paraId="0FB9BAE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固体肥车间</w:t>
                  </w:r>
                </w:p>
              </w:tc>
              <w:tc>
                <w:tcPr>
                  <w:tcW w:w="532" w:type="dxa"/>
                  <w:tcBorders>
                    <w:tl2br w:val="nil"/>
                    <w:tr2bl w:val="nil"/>
                  </w:tcBorders>
                  <w:shd w:val="clear" w:color="auto" w:fill="FFFFFF"/>
                  <w:tcMar>
                    <w:top w:w="0" w:type="dxa"/>
                    <w:left w:w="0" w:type="dxa"/>
                    <w:bottom w:w="0" w:type="dxa"/>
                    <w:right w:w="0" w:type="dxa"/>
                  </w:tcMar>
                  <w:vAlign w:val="center"/>
                </w:tcPr>
                <w:p w14:paraId="12B08E3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粉碎机</w:t>
                  </w:r>
                </w:p>
              </w:tc>
              <w:tc>
                <w:tcPr>
                  <w:tcW w:w="627" w:type="dxa"/>
                  <w:tcBorders>
                    <w:tl2br w:val="nil"/>
                    <w:tr2bl w:val="nil"/>
                  </w:tcBorders>
                  <w:shd w:val="clear" w:color="auto" w:fill="FFFFFF"/>
                  <w:tcMar>
                    <w:top w:w="0" w:type="dxa"/>
                    <w:left w:w="0" w:type="dxa"/>
                    <w:bottom w:w="0" w:type="dxa"/>
                    <w:right w:w="0" w:type="dxa"/>
                  </w:tcMar>
                  <w:vAlign w:val="center"/>
                </w:tcPr>
                <w:p w14:paraId="53647DC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110</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67661080">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31424CD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11.2</w:t>
                  </w:r>
                </w:p>
              </w:tc>
              <w:tc>
                <w:tcPr>
                  <w:tcW w:w="545" w:type="dxa"/>
                  <w:tcBorders>
                    <w:tl2br w:val="nil"/>
                    <w:tr2bl w:val="nil"/>
                  </w:tcBorders>
                  <w:shd w:val="clear" w:color="auto" w:fill="FFFFFF"/>
                  <w:tcMar>
                    <w:top w:w="0" w:type="dxa"/>
                    <w:left w:w="0" w:type="dxa"/>
                    <w:bottom w:w="0" w:type="dxa"/>
                    <w:right w:w="0" w:type="dxa"/>
                  </w:tcMar>
                  <w:vAlign w:val="center"/>
                </w:tcPr>
                <w:p w14:paraId="1F42257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51.7</w:t>
                  </w:r>
                </w:p>
              </w:tc>
              <w:tc>
                <w:tcPr>
                  <w:tcW w:w="545" w:type="dxa"/>
                  <w:tcBorders>
                    <w:tl2br w:val="nil"/>
                    <w:tr2bl w:val="nil"/>
                  </w:tcBorders>
                  <w:shd w:val="clear" w:color="auto" w:fill="FFFFFF"/>
                  <w:tcMar>
                    <w:top w:w="0" w:type="dxa"/>
                    <w:left w:w="0" w:type="dxa"/>
                    <w:bottom w:w="0" w:type="dxa"/>
                    <w:right w:w="0" w:type="dxa"/>
                  </w:tcMar>
                  <w:vAlign w:val="center"/>
                </w:tcPr>
                <w:p w14:paraId="33450B2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522A7D3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15.7</w:t>
                  </w:r>
                </w:p>
              </w:tc>
              <w:tc>
                <w:tcPr>
                  <w:tcW w:w="450" w:type="dxa"/>
                  <w:tcBorders>
                    <w:tl2br w:val="nil"/>
                    <w:tr2bl w:val="nil"/>
                  </w:tcBorders>
                  <w:shd w:val="clear" w:color="auto" w:fill="FFFFFF"/>
                  <w:tcMar>
                    <w:top w:w="0" w:type="dxa"/>
                    <w:left w:w="0" w:type="dxa"/>
                    <w:bottom w:w="0" w:type="dxa"/>
                    <w:right w:w="0" w:type="dxa"/>
                  </w:tcMar>
                  <w:vAlign w:val="center"/>
                </w:tcPr>
                <w:p w14:paraId="2547DD5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26.1</w:t>
                  </w:r>
                </w:p>
              </w:tc>
              <w:tc>
                <w:tcPr>
                  <w:tcW w:w="450" w:type="dxa"/>
                  <w:tcBorders>
                    <w:tl2br w:val="nil"/>
                    <w:tr2bl w:val="nil"/>
                  </w:tcBorders>
                  <w:shd w:val="clear" w:color="auto" w:fill="FFFFFF"/>
                  <w:tcMar>
                    <w:top w:w="0" w:type="dxa"/>
                    <w:left w:w="0" w:type="dxa"/>
                    <w:bottom w:w="0" w:type="dxa"/>
                    <w:right w:w="0" w:type="dxa"/>
                  </w:tcMar>
                  <w:vAlign w:val="center"/>
                </w:tcPr>
                <w:p w14:paraId="3871E61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5.0</w:t>
                  </w:r>
                </w:p>
              </w:tc>
              <w:tc>
                <w:tcPr>
                  <w:tcW w:w="451" w:type="dxa"/>
                  <w:tcBorders>
                    <w:tl2br w:val="nil"/>
                    <w:tr2bl w:val="nil"/>
                  </w:tcBorders>
                  <w:shd w:val="clear" w:color="auto" w:fill="FFFFFF"/>
                  <w:tcMar>
                    <w:top w:w="0" w:type="dxa"/>
                    <w:left w:w="0" w:type="dxa"/>
                    <w:bottom w:w="0" w:type="dxa"/>
                    <w:right w:w="0" w:type="dxa"/>
                  </w:tcMar>
                  <w:vAlign w:val="center"/>
                </w:tcPr>
                <w:p w14:paraId="4407AB2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33.2</w:t>
                  </w:r>
                </w:p>
              </w:tc>
              <w:tc>
                <w:tcPr>
                  <w:tcW w:w="445" w:type="dxa"/>
                  <w:tcBorders>
                    <w:tl2br w:val="nil"/>
                    <w:tr2bl w:val="nil"/>
                  </w:tcBorders>
                  <w:shd w:val="clear" w:color="auto" w:fill="FFFFFF"/>
                  <w:tcMar>
                    <w:top w:w="0" w:type="dxa"/>
                    <w:left w:w="0" w:type="dxa"/>
                    <w:bottom w:w="0" w:type="dxa"/>
                    <w:right w:w="0" w:type="dxa"/>
                  </w:tcMar>
                  <w:vAlign w:val="center"/>
                </w:tcPr>
                <w:p w14:paraId="2CD23C5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98.2</w:t>
                  </w:r>
                </w:p>
              </w:tc>
              <w:tc>
                <w:tcPr>
                  <w:tcW w:w="445" w:type="dxa"/>
                  <w:tcBorders>
                    <w:tl2br w:val="nil"/>
                    <w:tr2bl w:val="nil"/>
                  </w:tcBorders>
                  <w:shd w:val="clear" w:color="auto" w:fill="FFFFFF"/>
                  <w:tcMar>
                    <w:top w:w="0" w:type="dxa"/>
                    <w:left w:w="0" w:type="dxa"/>
                    <w:bottom w:w="0" w:type="dxa"/>
                    <w:right w:w="0" w:type="dxa"/>
                  </w:tcMar>
                  <w:vAlign w:val="center"/>
                </w:tcPr>
                <w:p w14:paraId="05E1FC1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98.1</w:t>
                  </w:r>
                </w:p>
              </w:tc>
              <w:tc>
                <w:tcPr>
                  <w:tcW w:w="445" w:type="dxa"/>
                  <w:tcBorders>
                    <w:tl2br w:val="nil"/>
                    <w:tr2bl w:val="nil"/>
                  </w:tcBorders>
                  <w:shd w:val="clear" w:color="auto" w:fill="FFFFFF"/>
                  <w:tcMar>
                    <w:top w:w="0" w:type="dxa"/>
                    <w:left w:w="0" w:type="dxa"/>
                    <w:bottom w:w="0" w:type="dxa"/>
                    <w:right w:w="0" w:type="dxa"/>
                  </w:tcMar>
                  <w:vAlign w:val="center"/>
                </w:tcPr>
                <w:p w14:paraId="61D57DF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98.3</w:t>
                  </w:r>
                </w:p>
              </w:tc>
              <w:tc>
                <w:tcPr>
                  <w:tcW w:w="446" w:type="dxa"/>
                  <w:tcBorders>
                    <w:tl2br w:val="nil"/>
                    <w:tr2bl w:val="nil"/>
                  </w:tcBorders>
                  <w:shd w:val="clear" w:color="auto" w:fill="FFFFFF"/>
                  <w:tcMar>
                    <w:top w:w="0" w:type="dxa"/>
                    <w:left w:w="0" w:type="dxa"/>
                    <w:bottom w:w="0" w:type="dxa"/>
                    <w:right w:w="0" w:type="dxa"/>
                  </w:tcMar>
                  <w:vAlign w:val="center"/>
                </w:tcPr>
                <w:p w14:paraId="32136ED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98.1</w:t>
                  </w:r>
                </w:p>
              </w:tc>
              <w:tc>
                <w:tcPr>
                  <w:tcW w:w="443" w:type="dxa"/>
                  <w:tcBorders>
                    <w:tl2br w:val="nil"/>
                    <w:tr2bl w:val="nil"/>
                  </w:tcBorders>
                  <w:shd w:val="clear" w:color="auto" w:fill="FFFFFF"/>
                  <w:tcMar>
                    <w:top w:w="0" w:type="dxa"/>
                    <w:left w:w="0" w:type="dxa"/>
                    <w:bottom w:w="0" w:type="dxa"/>
                    <w:right w:w="0" w:type="dxa"/>
                  </w:tcMar>
                  <w:vAlign w:val="center"/>
                </w:tcPr>
                <w:p w14:paraId="49BA086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075579F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52041F5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7AB0E4F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10E88B9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376526D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72.2</w:t>
                  </w:r>
                </w:p>
              </w:tc>
              <w:tc>
                <w:tcPr>
                  <w:tcW w:w="453" w:type="dxa"/>
                  <w:tcBorders>
                    <w:tl2br w:val="nil"/>
                    <w:tr2bl w:val="nil"/>
                  </w:tcBorders>
                  <w:shd w:val="clear" w:color="auto" w:fill="FFFFFF"/>
                  <w:tcMar>
                    <w:top w:w="0" w:type="dxa"/>
                    <w:left w:w="0" w:type="dxa"/>
                    <w:bottom w:w="0" w:type="dxa"/>
                    <w:right w:w="0" w:type="dxa"/>
                  </w:tcMar>
                  <w:vAlign w:val="center"/>
                </w:tcPr>
                <w:p w14:paraId="3C32B41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72.1</w:t>
                  </w:r>
                </w:p>
              </w:tc>
              <w:tc>
                <w:tcPr>
                  <w:tcW w:w="453" w:type="dxa"/>
                  <w:tcBorders>
                    <w:tl2br w:val="nil"/>
                    <w:tr2bl w:val="nil"/>
                  </w:tcBorders>
                  <w:shd w:val="clear" w:color="auto" w:fill="FFFFFF"/>
                  <w:tcMar>
                    <w:top w:w="0" w:type="dxa"/>
                    <w:left w:w="0" w:type="dxa"/>
                    <w:bottom w:w="0" w:type="dxa"/>
                    <w:right w:w="0" w:type="dxa"/>
                  </w:tcMar>
                  <w:vAlign w:val="center"/>
                </w:tcPr>
                <w:p w14:paraId="13E6FC8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72.3</w:t>
                  </w:r>
                </w:p>
              </w:tc>
              <w:tc>
                <w:tcPr>
                  <w:tcW w:w="453" w:type="dxa"/>
                  <w:tcBorders>
                    <w:tl2br w:val="nil"/>
                    <w:tr2bl w:val="nil"/>
                  </w:tcBorders>
                  <w:shd w:val="clear" w:color="auto" w:fill="FFFFFF"/>
                  <w:tcMar>
                    <w:top w:w="0" w:type="dxa"/>
                    <w:left w:w="0" w:type="dxa"/>
                    <w:bottom w:w="0" w:type="dxa"/>
                    <w:right w:w="0" w:type="dxa"/>
                  </w:tcMar>
                  <w:vAlign w:val="center"/>
                </w:tcPr>
                <w:p w14:paraId="39670A5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72.1</w:t>
                  </w:r>
                </w:p>
              </w:tc>
              <w:tc>
                <w:tcPr>
                  <w:tcW w:w="624" w:type="dxa"/>
                  <w:tcBorders>
                    <w:tl2br w:val="nil"/>
                    <w:tr2bl w:val="nil"/>
                  </w:tcBorders>
                  <w:shd w:val="clear" w:color="auto" w:fill="FFFFFF"/>
                  <w:tcMar>
                    <w:top w:w="0" w:type="dxa"/>
                    <w:left w:w="0" w:type="dxa"/>
                    <w:bottom w:w="0" w:type="dxa"/>
                    <w:right w:w="0" w:type="dxa"/>
                  </w:tcMar>
                  <w:vAlign w:val="center"/>
                </w:tcPr>
                <w:p w14:paraId="30D0460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75A81F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3251FCF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w:t>
                  </w:r>
                </w:p>
              </w:tc>
              <w:tc>
                <w:tcPr>
                  <w:tcW w:w="555" w:type="dxa"/>
                  <w:tcBorders>
                    <w:tl2br w:val="nil"/>
                    <w:tr2bl w:val="nil"/>
                  </w:tcBorders>
                  <w:shd w:val="clear" w:color="auto" w:fill="FFFFFF"/>
                  <w:tcMar>
                    <w:top w:w="0" w:type="dxa"/>
                    <w:left w:w="0" w:type="dxa"/>
                    <w:bottom w:w="0" w:type="dxa"/>
                    <w:right w:w="0" w:type="dxa"/>
                  </w:tcMar>
                  <w:vAlign w:val="center"/>
                </w:tcPr>
                <w:p w14:paraId="4768C16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固体肥车间</w:t>
                  </w:r>
                </w:p>
              </w:tc>
              <w:tc>
                <w:tcPr>
                  <w:tcW w:w="532" w:type="dxa"/>
                  <w:tcBorders>
                    <w:tl2br w:val="nil"/>
                    <w:tr2bl w:val="nil"/>
                  </w:tcBorders>
                  <w:shd w:val="clear" w:color="auto" w:fill="FFFFFF"/>
                  <w:tcMar>
                    <w:top w:w="0" w:type="dxa"/>
                    <w:left w:w="0" w:type="dxa"/>
                    <w:bottom w:w="0" w:type="dxa"/>
                    <w:right w:w="0" w:type="dxa"/>
                  </w:tcMar>
                  <w:vAlign w:val="center"/>
                </w:tcPr>
                <w:p w14:paraId="13353C4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筛分机</w:t>
                  </w:r>
                </w:p>
              </w:tc>
              <w:tc>
                <w:tcPr>
                  <w:tcW w:w="627" w:type="dxa"/>
                  <w:tcBorders>
                    <w:tl2br w:val="nil"/>
                    <w:tr2bl w:val="nil"/>
                  </w:tcBorders>
                  <w:shd w:val="clear" w:color="auto" w:fill="FFFFFF"/>
                  <w:tcMar>
                    <w:top w:w="0" w:type="dxa"/>
                    <w:left w:w="0" w:type="dxa"/>
                    <w:bottom w:w="0" w:type="dxa"/>
                    <w:right w:w="0" w:type="dxa"/>
                  </w:tcMar>
                  <w:vAlign w:val="center"/>
                </w:tcPr>
                <w:p w14:paraId="67C2C35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4FE293B9">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69BE537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16.8</w:t>
                  </w:r>
                </w:p>
              </w:tc>
              <w:tc>
                <w:tcPr>
                  <w:tcW w:w="545" w:type="dxa"/>
                  <w:tcBorders>
                    <w:tl2br w:val="nil"/>
                    <w:tr2bl w:val="nil"/>
                  </w:tcBorders>
                  <w:shd w:val="clear" w:color="auto" w:fill="FFFFFF"/>
                  <w:tcMar>
                    <w:top w:w="0" w:type="dxa"/>
                    <w:left w:w="0" w:type="dxa"/>
                    <w:bottom w:w="0" w:type="dxa"/>
                    <w:right w:w="0" w:type="dxa"/>
                  </w:tcMar>
                  <w:vAlign w:val="center"/>
                </w:tcPr>
                <w:p w14:paraId="66BF31E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48.2</w:t>
                  </w:r>
                </w:p>
              </w:tc>
              <w:tc>
                <w:tcPr>
                  <w:tcW w:w="545" w:type="dxa"/>
                  <w:tcBorders>
                    <w:tl2br w:val="nil"/>
                    <w:tr2bl w:val="nil"/>
                  </w:tcBorders>
                  <w:shd w:val="clear" w:color="auto" w:fill="FFFFFF"/>
                  <w:tcMar>
                    <w:top w:w="0" w:type="dxa"/>
                    <w:left w:w="0" w:type="dxa"/>
                    <w:bottom w:w="0" w:type="dxa"/>
                    <w:right w:w="0" w:type="dxa"/>
                  </w:tcMar>
                  <w:vAlign w:val="center"/>
                </w:tcPr>
                <w:p w14:paraId="505B234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354A194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10.3</w:t>
                  </w:r>
                </w:p>
              </w:tc>
              <w:tc>
                <w:tcPr>
                  <w:tcW w:w="450" w:type="dxa"/>
                  <w:tcBorders>
                    <w:tl2br w:val="nil"/>
                    <w:tr2bl w:val="nil"/>
                  </w:tcBorders>
                  <w:shd w:val="clear" w:color="auto" w:fill="FFFFFF"/>
                  <w:tcMar>
                    <w:top w:w="0" w:type="dxa"/>
                    <w:left w:w="0" w:type="dxa"/>
                    <w:bottom w:w="0" w:type="dxa"/>
                    <w:right w:w="0" w:type="dxa"/>
                  </w:tcMar>
                  <w:vAlign w:val="center"/>
                </w:tcPr>
                <w:p w14:paraId="4553382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22.8</w:t>
                  </w:r>
                </w:p>
              </w:tc>
              <w:tc>
                <w:tcPr>
                  <w:tcW w:w="450" w:type="dxa"/>
                  <w:tcBorders>
                    <w:tl2br w:val="nil"/>
                    <w:tr2bl w:val="nil"/>
                  </w:tcBorders>
                  <w:shd w:val="clear" w:color="auto" w:fill="FFFFFF"/>
                  <w:tcMar>
                    <w:top w:w="0" w:type="dxa"/>
                    <w:left w:w="0" w:type="dxa"/>
                    <w:bottom w:w="0" w:type="dxa"/>
                    <w:right w:w="0" w:type="dxa"/>
                  </w:tcMar>
                  <w:vAlign w:val="center"/>
                </w:tcPr>
                <w:p w14:paraId="5F3B7CE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10.7</w:t>
                  </w:r>
                </w:p>
              </w:tc>
              <w:tc>
                <w:tcPr>
                  <w:tcW w:w="451" w:type="dxa"/>
                  <w:tcBorders>
                    <w:tl2br w:val="nil"/>
                    <w:tr2bl w:val="nil"/>
                  </w:tcBorders>
                  <w:shd w:val="clear" w:color="auto" w:fill="FFFFFF"/>
                  <w:tcMar>
                    <w:top w:w="0" w:type="dxa"/>
                    <w:left w:w="0" w:type="dxa"/>
                    <w:bottom w:w="0" w:type="dxa"/>
                    <w:right w:w="0" w:type="dxa"/>
                  </w:tcMar>
                  <w:vAlign w:val="center"/>
                </w:tcPr>
                <w:p w14:paraId="40818C1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36.7</w:t>
                  </w:r>
                </w:p>
              </w:tc>
              <w:tc>
                <w:tcPr>
                  <w:tcW w:w="445" w:type="dxa"/>
                  <w:tcBorders>
                    <w:tl2br w:val="nil"/>
                    <w:tr2bl w:val="nil"/>
                  </w:tcBorders>
                  <w:shd w:val="clear" w:color="auto" w:fill="FFFFFF"/>
                  <w:tcMar>
                    <w:top w:w="0" w:type="dxa"/>
                    <w:left w:w="0" w:type="dxa"/>
                    <w:bottom w:w="0" w:type="dxa"/>
                    <w:right w:w="0" w:type="dxa"/>
                  </w:tcMar>
                  <w:vAlign w:val="center"/>
                </w:tcPr>
                <w:p w14:paraId="130596D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5" w:type="dxa"/>
                  <w:tcBorders>
                    <w:tl2br w:val="nil"/>
                    <w:tr2bl w:val="nil"/>
                  </w:tcBorders>
                  <w:shd w:val="clear" w:color="auto" w:fill="FFFFFF"/>
                  <w:tcMar>
                    <w:top w:w="0" w:type="dxa"/>
                    <w:left w:w="0" w:type="dxa"/>
                    <w:bottom w:w="0" w:type="dxa"/>
                    <w:right w:w="0" w:type="dxa"/>
                  </w:tcMar>
                  <w:vAlign w:val="center"/>
                </w:tcPr>
                <w:p w14:paraId="51A35FD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73.1</w:t>
                  </w:r>
                </w:p>
              </w:tc>
              <w:tc>
                <w:tcPr>
                  <w:tcW w:w="445" w:type="dxa"/>
                  <w:tcBorders>
                    <w:tl2br w:val="nil"/>
                    <w:tr2bl w:val="nil"/>
                  </w:tcBorders>
                  <w:shd w:val="clear" w:color="auto" w:fill="FFFFFF"/>
                  <w:tcMar>
                    <w:top w:w="0" w:type="dxa"/>
                    <w:left w:w="0" w:type="dxa"/>
                    <w:bottom w:w="0" w:type="dxa"/>
                    <w:right w:w="0" w:type="dxa"/>
                  </w:tcMar>
                  <w:vAlign w:val="center"/>
                </w:tcPr>
                <w:p w14:paraId="4B58582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6" w:type="dxa"/>
                  <w:tcBorders>
                    <w:tl2br w:val="nil"/>
                    <w:tr2bl w:val="nil"/>
                  </w:tcBorders>
                  <w:shd w:val="clear" w:color="auto" w:fill="FFFFFF"/>
                  <w:tcMar>
                    <w:top w:w="0" w:type="dxa"/>
                    <w:left w:w="0" w:type="dxa"/>
                    <w:bottom w:w="0" w:type="dxa"/>
                    <w:right w:w="0" w:type="dxa"/>
                  </w:tcMar>
                  <w:vAlign w:val="center"/>
                </w:tcPr>
                <w:p w14:paraId="0682767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73.1</w:t>
                  </w:r>
                </w:p>
              </w:tc>
              <w:tc>
                <w:tcPr>
                  <w:tcW w:w="443" w:type="dxa"/>
                  <w:tcBorders>
                    <w:tl2br w:val="nil"/>
                    <w:tr2bl w:val="nil"/>
                  </w:tcBorders>
                  <w:shd w:val="clear" w:color="auto" w:fill="FFFFFF"/>
                  <w:tcMar>
                    <w:top w:w="0" w:type="dxa"/>
                    <w:left w:w="0" w:type="dxa"/>
                    <w:bottom w:w="0" w:type="dxa"/>
                    <w:right w:w="0" w:type="dxa"/>
                  </w:tcMar>
                  <w:vAlign w:val="center"/>
                </w:tcPr>
                <w:p w14:paraId="6617132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31EA745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35C3D65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655433A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6E0AE45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1FAAB21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2257D4B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47.1</w:t>
                  </w:r>
                </w:p>
              </w:tc>
              <w:tc>
                <w:tcPr>
                  <w:tcW w:w="453" w:type="dxa"/>
                  <w:tcBorders>
                    <w:tl2br w:val="nil"/>
                    <w:tr2bl w:val="nil"/>
                  </w:tcBorders>
                  <w:shd w:val="clear" w:color="auto" w:fill="FFFFFF"/>
                  <w:tcMar>
                    <w:top w:w="0" w:type="dxa"/>
                    <w:left w:w="0" w:type="dxa"/>
                    <w:bottom w:w="0" w:type="dxa"/>
                    <w:right w:w="0" w:type="dxa"/>
                  </w:tcMar>
                  <w:vAlign w:val="center"/>
                </w:tcPr>
                <w:p w14:paraId="5112108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388C822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47.1</w:t>
                  </w:r>
                </w:p>
              </w:tc>
              <w:tc>
                <w:tcPr>
                  <w:tcW w:w="624" w:type="dxa"/>
                  <w:tcBorders>
                    <w:tl2br w:val="nil"/>
                    <w:tr2bl w:val="nil"/>
                  </w:tcBorders>
                  <w:shd w:val="clear" w:color="auto" w:fill="FFFFFF"/>
                  <w:tcMar>
                    <w:top w:w="0" w:type="dxa"/>
                    <w:left w:w="0" w:type="dxa"/>
                    <w:bottom w:w="0" w:type="dxa"/>
                    <w:right w:w="0" w:type="dxa"/>
                  </w:tcMar>
                  <w:vAlign w:val="center"/>
                </w:tcPr>
                <w:p w14:paraId="7B312E3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150A12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5E4F5D6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w:t>
                  </w:r>
                </w:p>
              </w:tc>
              <w:tc>
                <w:tcPr>
                  <w:tcW w:w="555" w:type="dxa"/>
                  <w:tcBorders>
                    <w:tl2br w:val="nil"/>
                    <w:tr2bl w:val="nil"/>
                  </w:tcBorders>
                  <w:shd w:val="clear" w:color="auto" w:fill="FFFFFF"/>
                  <w:tcMar>
                    <w:top w:w="0" w:type="dxa"/>
                    <w:left w:w="0" w:type="dxa"/>
                    <w:bottom w:w="0" w:type="dxa"/>
                    <w:right w:w="0" w:type="dxa"/>
                  </w:tcMar>
                  <w:vAlign w:val="center"/>
                </w:tcPr>
                <w:p w14:paraId="220524B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固体肥车间</w:t>
                  </w:r>
                </w:p>
              </w:tc>
              <w:tc>
                <w:tcPr>
                  <w:tcW w:w="532" w:type="dxa"/>
                  <w:tcBorders>
                    <w:tl2br w:val="nil"/>
                    <w:tr2bl w:val="nil"/>
                  </w:tcBorders>
                  <w:shd w:val="clear" w:color="auto" w:fill="FFFFFF"/>
                  <w:tcMar>
                    <w:top w:w="0" w:type="dxa"/>
                    <w:left w:w="0" w:type="dxa"/>
                    <w:bottom w:w="0" w:type="dxa"/>
                    <w:right w:w="0" w:type="dxa"/>
                  </w:tcMar>
                  <w:vAlign w:val="center"/>
                </w:tcPr>
                <w:p w14:paraId="2258FBF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造粒机</w:t>
                  </w:r>
                </w:p>
              </w:tc>
              <w:tc>
                <w:tcPr>
                  <w:tcW w:w="627" w:type="dxa"/>
                  <w:tcBorders>
                    <w:tl2br w:val="nil"/>
                    <w:tr2bl w:val="nil"/>
                  </w:tcBorders>
                  <w:shd w:val="clear" w:color="auto" w:fill="FFFFFF"/>
                  <w:tcMar>
                    <w:top w:w="0" w:type="dxa"/>
                    <w:left w:w="0" w:type="dxa"/>
                    <w:bottom w:w="0" w:type="dxa"/>
                    <w:right w:w="0" w:type="dxa"/>
                  </w:tcMar>
                  <w:vAlign w:val="center"/>
                </w:tcPr>
                <w:p w14:paraId="5BCF1B9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3F4D669B">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0AEEE1E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15.9</w:t>
                  </w:r>
                </w:p>
              </w:tc>
              <w:tc>
                <w:tcPr>
                  <w:tcW w:w="545" w:type="dxa"/>
                  <w:tcBorders>
                    <w:tl2br w:val="nil"/>
                    <w:tr2bl w:val="nil"/>
                  </w:tcBorders>
                  <w:shd w:val="clear" w:color="auto" w:fill="FFFFFF"/>
                  <w:tcMar>
                    <w:top w:w="0" w:type="dxa"/>
                    <w:left w:w="0" w:type="dxa"/>
                    <w:bottom w:w="0" w:type="dxa"/>
                    <w:right w:w="0" w:type="dxa"/>
                  </w:tcMar>
                  <w:vAlign w:val="center"/>
                </w:tcPr>
                <w:p w14:paraId="624A30F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62</w:t>
                  </w:r>
                </w:p>
              </w:tc>
              <w:tc>
                <w:tcPr>
                  <w:tcW w:w="545" w:type="dxa"/>
                  <w:tcBorders>
                    <w:tl2br w:val="nil"/>
                    <w:tr2bl w:val="nil"/>
                  </w:tcBorders>
                  <w:shd w:val="clear" w:color="auto" w:fill="FFFFFF"/>
                  <w:tcMar>
                    <w:top w:w="0" w:type="dxa"/>
                    <w:left w:w="0" w:type="dxa"/>
                    <w:bottom w:w="0" w:type="dxa"/>
                    <w:right w:w="0" w:type="dxa"/>
                  </w:tcMar>
                  <w:vAlign w:val="center"/>
                </w:tcPr>
                <w:p w14:paraId="3BAC119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73BDEC5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10.5</w:t>
                  </w:r>
                </w:p>
              </w:tc>
              <w:tc>
                <w:tcPr>
                  <w:tcW w:w="450" w:type="dxa"/>
                  <w:tcBorders>
                    <w:tl2br w:val="nil"/>
                    <w:tr2bl w:val="nil"/>
                  </w:tcBorders>
                  <w:shd w:val="clear" w:color="auto" w:fill="FFFFFF"/>
                  <w:tcMar>
                    <w:top w:w="0" w:type="dxa"/>
                    <w:left w:w="0" w:type="dxa"/>
                    <w:bottom w:w="0" w:type="dxa"/>
                    <w:right w:w="0" w:type="dxa"/>
                  </w:tcMar>
                  <w:vAlign w:val="center"/>
                </w:tcPr>
                <w:p w14:paraId="1EF7801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36.6</w:t>
                  </w:r>
                </w:p>
              </w:tc>
              <w:tc>
                <w:tcPr>
                  <w:tcW w:w="450" w:type="dxa"/>
                  <w:tcBorders>
                    <w:tl2br w:val="nil"/>
                    <w:tr2bl w:val="nil"/>
                  </w:tcBorders>
                  <w:shd w:val="clear" w:color="auto" w:fill="FFFFFF"/>
                  <w:tcMar>
                    <w:top w:w="0" w:type="dxa"/>
                    <w:left w:w="0" w:type="dxa"/>
                    <w:bottom w:w="0" w:type="dxa"/>
                    <w:right w:w="0" w:type="dxa"/>
                  </w:tcMar>
                  <w:vAlign w:val="center"/>
                </w:tcPr>
                <w:p w14:paraId="7ED15AC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9.5</w:t>
                  </w:r>
                </w:p>
              </w:tc>
              <w:tc>
                <w:tcPr>
                  <w:tcW w:w="451" w:type="dxa"/>
                  <w:tcBorders>
                    <w:tl2br w:val="nil"/>
                    <w:tr2bl w:val="nil"/>
                  </w:tcBorders>
                  <w:shd w:val="clear" w:color="auto" w:fill="FFFFFF"/>
                  <w:tcMar>
                    <w:top w:w="0" w:type="dxa"/>
                    <w:left w:w="0" w:type="dxa"/>
                    <w:bottom w:w="0" w:type="dxa"/>
                    <w:right w:w="0" w:type="dxa"/>
                  </w:tcMar>
                  <w:vAlign w:val="center"/>
                </w:tcPr>
                <w:p w14:paraId="0007D4E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22.9</w:t>
                  </w:r>
                </w:p>
              </w:tc>
              <w:tc>
                <w:tcPr>
                  <w:tcW w:w="445" w:type="dxa"/>
                  <w:tcBorders>
                    <w:tl2br w:val="nil"/>
                    <w:tr2bl w:val="nil"/>
                  </w:tcBorders>
                  <w:shd w:val="clear" w:color="auto" w:fill="FFFFFF"/>
                  <w:tcMar>
                    <w:top w:w="0" w:type="dxa"/>
                    <w:left w:w="0" w:type="dxa"/>
                    <w:bottom w:w="0" w:type="dxa"/>
                    <w:right w:w="0" w:type="dxa"/>
                  </w:tcMar>
                  <w:vAlign w:val="center"/>
                </w:tcPr>
                <w:p w14:paraId="3702649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5" w:type="dxa"/>
                  <w:tcBorders>
                    <w:tl2br w:val="nil"/>
                    <w:tr2bl w:val="nil"/>
                  </w:tcBorders>
                  <w:shd w:val="clear" w:color="auto" w:fill="FFFFFF"/>
                  <w:tcMar>
                    <w:top w:w="0" w:type="dxa"/>
                    <w:left w:w="0" w:type="dxa"/>
                    <w:bottom w:w="0" w:type="dxa"/>
                    <w:right w:w="0" w:type="dxa"/>
                  </w:tcMar>
                  <w:vAlign w:val="center"/>
                </w:tcPr>
                <w:p w14:paraId="7AEA5E9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73.1</w:t>
                  </w:r>
                </w:p>
              </w:tc>
              <w:tc>
                <w:tcPr>
                  <w:tcW w:w="445" w:type="dxa"/>
                  <w:tcBorders>
                    <w:tl2br w:val="nil"/>
                    <w:tr2bl w:val="nil"/>
                  </w:tcBorders>
                  <w:shd w:val="clear" w:color="auto" w:fill="FFFFFF"/>
                  <w:tcMar>
                    <w:top w:w="0" w:type="dxa"/>
                    <w:left w:w="0" w:type="dxa"/>
                    <w:bottom w:w="0" w:type="dxa"/>
                    <w:right w:w="0" w:type="dxa"/>
                  </w:tcMar>
                  <w:vAlign w:val="center"/>
                </w:tcPr>
                <w:p w14:paraId="60C3072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6" w:type="dxa"/>
                  <w:tcBorders>
                    <w:tl2br w:val="nil"/>
                    <w:tr2bl w:val="nil"/>
                  </w:tcBorders>
                  <w:shd w:val="clear" w:color="auto" w:fill="FFFFFF"/>
                  <w:tcMar>
                    <w:top w:w="0" w:type="dxa"/>
                    <w:left w:w="0" w:type="dxa"/>
                    <w:bottom w:w="0" w:type="dxa"/>
                    <w:right w:w="0" w:type="dxa"/>
                  </w:tcMar>
                  <w:vAlign w:val="center"/>
                </w:tcPr>
                <w:p w14:paraId="086D570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73.1</w:t>
                  </w:r>
                </w:p>
              </w:tc>
              <w:tc>
                <w:tcPr>
                  <w:tcW w:w="443" w:type="dxa"/>
                  <w:tcBorders>
                    <w:tl2br w:val="nil"/>
                    <w:tr2bl w:val="nil"/>
                  </w:tcBorders>
                  <w:shd w:val="clear" w:color="auto" w:fill="FFFFFF"/>
                  <w:tcMar>
                    <w:top w:w="0" w:type="dxa"/>
                    <w:left w:w="0" w:type="dxa"/>
                    <w:bottom w:w="0" w:type="dxa"/>
                    <w:right w:w="0" w:type="dxa"/>
                  </w:tcMar>
                  <w:vAlign w:val="center"/>
                </w:tcPr>
                <w:p w14:paraId="31A5DF3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5A98324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044C008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039B6F0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4EE6189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06F34C3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5DF6A99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47.1</w:t>
                  </w:r>
                </w:p>
              </w:tc>
              <w:tc>
                <w:tcPr>
                  <w:tcW w:w="453" w:type="dxa"/>
                  <w:tcBorders>
                    <w:tl2br w:val="nil"/>
                    <w:tr2bl w:val="nil"/>
                  </w:tcBorders>
                  <w:shd w:val="clear" w:color="auto" w:fill="FFFFFF"/>
                  <w:tcMar>
                    <w:top w:w="0" w:type="dxa"/>
                    <w:left w:w="0" w:type="dxa"/>
                    <w:bottom w:w="0" w:type="dxa"/>
                    <w:right w:w="0" w:type="dxa"/>
                  </w:tcMar>
                  <w:vAlign w:val="center"/>
                </w:tcPr>
                <w:p w14:paraId="5010DE9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2A08D7B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47.1</w:t>
                  </w:r>
                </w:p>
              </w:tc>
              <w:tc>
                <w:tcPr>
                  <w:tcW w:w="624" w:type="dxa"/>
                  <w:tcBorders>
                    <w:tl2br w:val="nil"/>
                    <w:tr2bl w:val="nil"/>
                  </w:tcBorders>
                  <w:shd w:val="clear" w:color="auto" w:fill="FFFFFF"/>
                  <w:tcMar>
                    <w:top w:w="0" w:type="dxa"/>
                    <w:left w:w="0" w:type="dxa"/>
                    <w:bottom w:w="0" w:type="dxa"/>
                    <w:right w:w="0" w:type="dxa"/>
                  </w:tcMar>
                  <w:vAlign w:val="center"/>
                </w:tcPr>
                <w:p w14:paraId="060970D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0E8287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419066E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w:t>
                  </w:r>
                </w:p>
              </w:tc>
              <w:tc>
                <w:tcPr>
                  <w:tcW w:w="555" w:type="dxa"/>
                  <w:tcBorders>
                    <w:tl2br w:val="nil"/>
                    <w:tr2bl w:val="nil"/>
                  </w:tcBorders>
                  <w:shd w:val="clear" w:color="auto" w:fill="FFFFFF"/>
                  <w:tcMar>
                    <w:top w:w="0" w:type="dxa"/>
                    <w:left w:w="0" w:type="dxa"/>
                    <w:bottom w:w="0" w:type="dxa"/>
                    <w:right w:w="0" w:type="dxa"/>
                  </w:tcMar>
                  <w:vAlign w:val="center"/>
                </w:tcPr>
                <w:p w14:paraId="583C01C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固体肥车间</w:t>
                  </w:r>
                </w:p>
              </w:tc>
              <w:tc>
                <w:tcPr>
                  <w:tcW w:w="532" w:type="dxa"/>
                  <w:tcBorders>
                    <w:tl2br w:val="nil"/>
                    <w:tr2bl w:val="nil"/>
                  </w:tcBorders>
                  <w:shd w:val="clear" w:color="auto" w:fill="FFFFFF"/>
                  <w:tcMar>
                    <w:top w:w="0" w:type="dxa"/>
                    <w:left w:w="0" w:type="dxa"/>
                    <w:bottom w:w="0" w:type="dxa"/>
                    <w:right w:w="0" w:type="dxa"/>
                  </w:tcMar>
                  <w:vAlign w:val="center"/>
                </w:tcPr>
                <w:p w14:paraId="19455F5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灌装机</w:t>
                  </w:r>
                </w:p>
              </w:tc>
              <w:tc>
                <w:tcPr>
                  <w:tcW w:w="627" w:type="dxa"/>
                  <w:tcBorders>
                    <w:tl2br w:val="nil"/>
                    <w:tr2bl w:val="nil"/>
                  </w:tcBorders>
                  <w:shd w:val="clear" w:color="auto" w:fill="FFFFFF"/>
                  <w:tcMar>
                    <w:top w:w="0" w:type="dxa"/>
                    <w:left w:w="0" w:type="dxa"/>
                    <w:bottom w:w="0" w:type="dxa"/>
                    <w:right w:w="0" w:type="dxa"/>
                  </w:tcMar>
                  <w:vAlign w:val="center"/>
                </w:tcPr>
                <w:p w14:paraId="7C7B4AB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2DDF96F5">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1D122D1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10.8</w:t>
                  </w:r>
                </w:p>
              </w:tc>
              <w:tc>
                <w:tcPr>
                  <w:tcW w:w="545" w:type="dxa"/>
                  <w:tcBorders>
                    <w:tl2br w:val="nil"/>
                    <w:tr2bl w:val="nil"/>
                  </w:tcBorders>
                  <w:shd w:val="clear" w:color="auto" w:fill="FFFFFF"/>
                  <w:tcMar>
                    <w:top w:w="0" w:type="dxa"/>
                    <w:left w:w="0" w:type="dxa"/>
                    <w:bottom w:w="0" w:type="dxa"/>
                    <w:right w:w="0" w:type="dxa"/>
                  </w:tcMar>
                  <w:vAlign w:val="center"/>
                </w:tcPr>
                <w:p w14:paraId="08E9894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36.7</w:t>
                  </w:r>
                </w:p>
              </w:tc>
              <w:tc>
                <w:tcPr>
                  <w:tcW w:w="545" w:type="dxa"/>
                  <w:tcBorders>
                    <w:tl2br w:val="nil"/>
                    <w:tr2bl w:val="nil"/>
                  </w:tcBorders>
                  <w:shd w:val="clear" w:color="auto" w:fill="FFFFFF"/>
                  <w:tcMar>
                    <w:top w:w="0" w:type="dxa"/>
                    <w:left w:w="0" w:type="dxa"/>
                    <w:bottom w:w="0" w:type="dxa"/>
                    <w:right w:w="0" w:type="dxa"/>
                  </w:tcMar>
                  <w:vAlign w:val="center"/>
                </w:tcPr>
                <w:p w14:paraId="288CAA0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2A5C0FE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16.9</w:t>
                  </w:r>
                </w:p>
              </w:tc>
              <w:tc>
                <w:tcPr>
                  <w:tcW w:w="450" w:type="dxa"/>
                  <w:tcBorders>
                    <w:tl2br w:val="nil"/>
                    <w:tr2bl w:val="nil"/>
                  </w:tcBorders>
                  <w:shd w:val="clear" w:color="auto" w:fill="FFFFFF"/>
                  <w:tcMar>
                    <w:top w:w="0" w:type="dxa"/>
                    <w:left w:w="0" w:type="dxa"/>
                    <w:bottom w:w="0" w:type="dxa"/>
                    <w:right w:w="0" w:type="dxa"/>
                  </w:tcMar>
                  <w:vAlign w:val="center"/>
                </w:tcPr>
                <w:p w14:paraId="08527D2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11.1</w:t>
                  </w:r>
                </w:p>
              </w:tc>
              <w:tc>
                <w:tcPr>
                  <w:tcW w:w="450" w:type="dxa"/>
                  <w:tcBorders>
                    <w:tl2br w:val="nil"/>
                    <w:tr2bl w:val="nil"/>
                  </w:tcBorders>
                  <w:shd w:val="clear" w:color="auto" w:fill="FFFFFF"/>
                  <w:tcMar>
                    <w:top w:w="0" w:type="dxa"/>
                    <w:left w:w="0" w:type="dxa"/>
                    <w:bottom w:w="0" w:type="dxa"/>
                    <w:right w:w="0" w:type="dxa"/>
                  </w:tcMar>
                  <w:vAlign w:val="center"/>
                </w:tcPr>
                <w:p w14:paraId="27B744C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5.0</w:t>
                  </w:r>
                </w:p>
              </w:tc>
              <w:tc>
                <w:tcPr>
                  <w:tcW w:w="451" w:type="dxa"/>
                  <w:tcBorders>
                    <w:tl2br w:val="nil"/>
                    <w:tr2bl w:val="nil"/>
                  </w:tcBorders>
                  <w:shd w:val="clear" w:color="auto" w:fill="FFFFFF"/>
                  <w:tcMar>
                    <w:top w:w="0" w:type="dxa"/>
                    <w:left w:w="0" w:type="dxa"/>
                    <w:bottom w:w="0" w:type="dxa"/>
                    <w:right w:w="0" w:type="dxa"/>
                  </w:tcMar>
                  <w:vAlign w:val="center"/>
                </w:tcPr>
                <w:p w14:paraId="5ACD222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48.2</w:t>
                  </w:r>
                </w:p>
              </w:tc>
              <w:tc>
                <w:tcPr>
                  <w:tcW w:w="445" w:type="dxa"/>
                  <w:tcBorders>
                    <w:tl2br w:val="nil"/>
                    <w:tr2bl w:val="nil"/>
                  </w:tcBorders>
                  <w:shd w:val="clear" w:color="auto" w:fill="FFFFFF"/>
                  <w:tcMar>
                    <w:top w:w="0" w:type="dxa"/>
                    <w:left w:w="0" w:type="dxa"/>
                    <w:bottom w:w="0" w:type="dxa"/>
                    <w:right w:w="0" w:type="dxa"/>
                  </w:tcMar>
                  <w:vAlign w:val="center"/>
                </w:tcPr>
                <w:p w14:paraId="1CFE1DC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5" w:type="dxa"/>
                  <w:tcBorders>
                    <w:tl2br w:val="nil"/>
                    <w:tr2bl w:val="nil"/>
                  </w:tcBorders>
                  <w:shd w:val="clear" w:color="auto" w:fill="FFFFFF"/>
                  <w:tcMar>
                    <w:top w:w="0" w:type="dxa"/>
                    <w:left w:w="0" w:type="dxa"/>
                    <w:bottom w:w="0" w:type="dxa"/>
                    <w:right w:w="0" w:type="dxa"/>
                  </w:tcMar>
                  <w:vAlign w:val="center"/>
                </w:tcPr>
                <w:p w14:paraId="30AE001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5" w:type="dxa"/>
                  <w:tcBorders>
                    <w:tl2br w:val="nil"/>
                    <w:tr2bl w:val="nil"/>
                  </w:tcBorders>
                  <w:shd w:val="clear" w:color="auto" w:fill="FFFFFF"/>
                  <w:tcMar>
                    <w:top w:w="0" w:type="dxa"/>
                    <w:left w:w="0" w:type="dxa"/>
                    <w:bottom w:w="0" w:type="dxa"/>
                    <w:right w:w="0" w:type="dxa"/>
                  </w:tcMar>
                  <w:vAlign w:val="center"/>
                </w:tcPr>
                <w:p w14:paraId="033A648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73.3</w:t>
                  </w:r>
                </w:p>
              </w:tc>
              <w:tc>
                <w:tcPr>
                  <w:tcW w:w="446" w:type="dxa"/>
                  <w:tcBorders>
                    <w:tl2br w:val="nil"/>
                    <w:tr2bl w:val="nil"/>
                  </w:tcBorders>
                  <w:shd w:val="clear" w:color="auto" w:fill="FFFFFF"/>
                  <w:tcMar>
                    <w:top w:w="0" w:type="dxa"/>
                    <w:left w:w="0" w:type="dxa"/>
                    <w:bottom w:w="0" w:type="dxa"/>
                    <w:right w:w="0" w:type="dxa"/>
                  </w:tcMar>
                  <w:vAlign w:val="center"/>
                </w:tcPr>
                <w:p w14:paraId="1303741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73.1</w:t>
                  </w:r>
                </w:p>
              </w:tc>
              <w:tc>
                <w:tcPr>
                  <w:tcW w:w="443" w:type="dxa"/>
                  <w:tcBorders>
                    <w:tl2br w:val="nil"/>
                    <w:tr2bl w:val="nil"/>
                  </w:tcBorders>
                  <w:shd w:val="clear" w:color="auto" w:fill="FFFFFF"/>
                  <w:tcMar>
                    <w:top w:w="0" w:type="dxa"/>
                    <w:left w:w="0" w:type="dxa"/>
                    <w:bottom w:w="0" w:type="dxa"/>
                    <w:right w:w="0" w:type="dxa"/>
                  </w:tcMar>
                  <w:vAlign w:val="center"/>
                </w:tcPr>
                <w:p w14:paraId="613C4AA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4FE3A5E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03D0CBF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3D046DC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44B1949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6D9682B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60CCEEE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739AF98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47.3</w:t>
                  </w:r>
                </w:p>
              </w:tc>
              <w:tc>
                <w:tcPr>
                  <w:tcW w:w="453" w:type="dxa"/>
                  <w:tcBorders>
                    <w:tl2br w:val="nil"/>
                    <w:tr2bl w:val="nil"/>
                  </w:tcBorders>
                  <w:shd w:val="clear" w:color="auto" w:fill="FFFFFF"/>
                  <w:tcMar>
                    <w:top w:w="0" w:type="dxa"/>
                    <w:left w:w="0" w:type="dxa"/>
                    <w:bottom w:w="0" w:type="dxa"/>
                    <w:right w:w="0" w:type="dxa"/>
                  </w:tcMar>
                  <w:vAlign w:val="center"/>
                </w:tcPr>
                <w:p w14:paraId="09E54C0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47.1</w:t>
                  </w:r>
                </w:p>
              </w:tc>
              <w:tc>
                <w:tcPr>
                  <w:tcW w:w="624" w:type="dxa"/>
                  <w:tcBorders>
                    <w:tl2br w:val="nil"/>
                    <w:tr2bl w:val="nil"/>
                  </w:tcBorders>
                  <w:shd w:val="clear" w:color="auto" w:fill="FFFFFF"/>
                  <w:tcMar>
                    <w:top w:w="0" w:type="dxa"/>
                    <w:left w:w="0" w:type="dxa"/>
                    <w:bottom w:w="0" w:type="dxa"/>
                    <w:right w:w="0" w:type="dxa"/>
                  </w:tcMar>
                  <w:vAlign w:val="center"/>
                </w:tcPr>
                <w:p w14:paraId="6B1E395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4F6D6C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404D87A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w:t>
                  </w:r>
                </w:p>
              </w:tc>
              <w:tc>
                <w:tcPr>
                  <w:tcW w:w="555" w:type="dxa"/>
                  <w:tcBorders>
                    <w:tl2br w:val="nil"/>
                    <w:tr2bl w:val="nil"/>
                  </w:tcBorders>
                  <w:shd w:val="clear" w:color="auto" w:fill="FFFFFF"/>
                  <w:tcMar>
                    <w:top w:w="0" w:type="dxa"/>
                    <w:left w:w="0" w:type="dxa"/>
                    <w:bottom w:w="0" w:type="dxa"/>
                    <w:right w:w="0" w:type="dxa"/>
                  </w:tcMar>
                  <w:vAlign w:val="center"/>
                </w:tcPr>
                <w:p w14:paraId="7EA9DFC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固体肥车间</w:t>
                  </w:r>
                </w:p>
              </w:tc>
              <w:tc>
                <w:tcPr>
                  <w:tcW w:w="532" w:type="dxa"/>
                  <w:tcBorders>
                    <w:tl2br w:val="nil"/>
                    <w:tr2bl w:val="nil"/>
                  </w:tcBorders>
                  <w:shd w:val="clear" w:color="auto" w:fill="FFFFFF"/>
                  <w:tcMar>
                    <w:top w:w="0" w:type="dxa"/>
                    <w:left w:w="0" w:type="dxa"/>
                    <w:bottom w:w="0" w:type="dxa"/>
                    <w:right w:w="0" w:type="dxa"/>
                  </w:tcMar>
                  <w:vAlign w:val="center"/>
                </w:tcPr>
                <w:p w14:paraId="1770A0E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袋式除尘器</w:t>
                  </w:r>
                </w:p>
              </w:tc>
              <w:tc>
                <w:tcPr>
                  <w:tcW w:w="627" w:type="dxa"/>
                  <w:tcBorders>
                    <w:tl2br w:val="nil"/>
                    <w:tr2bl w:val="nil"/>
                  </w:tcBorders>
                  <w:shd w:val="clear" w:color="auto" w:fill="FFFFFF"/>
                  <w:tcMar>
                    <w:top w:w="0" w:type="dxa"/>
                    <w:left w:w="0" w:type="dxa"/>
                    <w:bottom w:w="0" w:type="dxa"/>
                    <w:right w:w="0" w:type="dxa"/>
                  </w:tcMar>
                  <w:vAlign w:val="center"/>
                </w:tcPr>
                <w:p w14:paraId="5B943DE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71AEC07B">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47188C0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18</w:t>
                  </w:r>
                </w:p>
              </w:tc>
              <w:tc>
                <w:tcPr>
                  <w:tcW w:w="545" w:type="dxa"/>
                  <w:tcBorders>
                    <w:tl2br w:val="nil"/>
                    <w:tr2bl w:val="nil"/>
                  </w:tcBorders>
                  <w:shd w:val="clear" w:color="auto" w:fill="FFFFFF"/>
                  <w:tcMar>
                    <w:top w:w="0" w:type="dxa"/>
                    <w:left w:w="0" w:type="dxa"/>
                    <w:bottom w:w="0" w:type="dxa"/>
                    <w:right w:w="0" w:type="dxa"/>
                  </w:tcMar>
                  <w:vAlign w:val="center"/>
                </w:tcPr>
                <w:p w14:paraId="67DF9DC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39.3</w:t>
                  </w:r>
                </w:p>
              </w:tc>
              <w:tc>
                <w:tcPr>
                  <w:tcW w:w="545" w:type="dxa"/>
                  <w:tcBorders>
                    <w:tl2br w:val="nil"/>
                    <w:tr2bl w:val="nil"/>
                  </w:tcBorders>
                  <w:shd w:val="clear" w:color="auto" w:fill="FFFFFF"/>
                  <w:tcMar>
                    <w:top w:w="0" w:type="dxa"/>
                    <w:left w:w="0" w:type="dxa"/>
                    <w:bottom w:w="0" w:type="dxa"/>
                    <w:right w:w="0" w:type="dxa"/>
                  </w:tcMar>
                  <w:vAlign w:val="center"/>
                </w:tcPr>
                <w:p w14:paraId="01E01B4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71AFB44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9.6</w:t>
                  </w:r>
                </w:p>
              </w:tc>
              <w:tc>
                <w:tcPr>
                  <w:tcW w:w="450" w:type="dxa"/>
                  <w:tcBorders>
                    <w:tl2br w:val="nil"/>
                    <w:tr2bl w:val="nil"/>
                  </w:tcBorders>
                  <w:shd w:val="clear" w:color="auto" w:fill="FFFFFF"/>
                  <w:tcMar>
                    <w:top w:w="0" w:type="dxa"/>
                    <w:left w:w="0" w:type="dxa"/>
                    <w:bottom w:w="0" w:type="dxa"/>
                    <w:right w:w="0" w:type="dxa"/>
                  </w:tcMar>
                  <w:vAlign w:val="center"/>
                </w:tcPr>
                <w:p w14:paraId="7F8F99A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14.0</w:t>
                  </w:r>
                </w:p>
              </w:tc>
              <w:tc>
                <w:tcPr>
                  <w:tcW w:w="450" w:type="dxa"/>
                  <w:tcBorders>
                    <w:tl2br w:val="nil"/>
                    <w:tr2bl w:val="nil"/>
                  </w:tcBorders>
                  <w:shd w:val="clear" w:color="auto" w:fill="FFFFFF"/>
                  <w:tcMar>
                    <w:top w:w="0" w:type="dxa"/>
                    <w:left w:w="0" w:type="dxa"/>
                    <w:bottom w:w="0" w:type="dxa"/>
                    <w:right w:w="0" w:type="dxa"/>
                  </w:tcMar>
                  <w:vAlign w:val="center"/>
                </w:tcPr>
                <w:p w14:paraId="5F5EBDD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12.1</w:t>
                  </w:r>
                </w:p>
              </w:tc>
              <w:tc>
                <w:tcPr>
                  <w:tcW w:w="451" w:type="dxa"/>
                  <w:tcBorders>
                    <w:tl2br w:val="nil"/>
                    <w:tr2bl w:val="nil"/>
                  </w:tcBorders>
                  <w:shd w:val="clear" w:color="auto" w:fill="FFFFFF"/>
                  <w:tcMar>
                    <w:top w:w="0" w:type="dxa"/>
                    <w:left w:w="0" w:type="dxa"/>
                    <w:bottom w:w="0" w:type="dxa"/>
                    <w:right w:w="0" w:type="dxa"/>
                  </w:tcMar>
                  <w:vAlign w:val="center"/>
                </w:tcPr>
                <w:p w14:paraId="658A6E4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45.6</w:t>
                  </w:r>
                </w:p>
              </w:tc>
              <w:tc>
                <w:tcPr>
                  <w:tcW w:w="445" w:type="dxa"/>
                  <w:tcBorders>
                    <w:tl2br w:val="nil"/>
                    <w:tr2bl w:val="nil"/>
                  </w:tcBorders>
                  <w:shd w:val="clear" w:color="auto" w:fill="FFFFFF"/>
                  <w:tcMar>
                    <w:top w:w="0" w:type="dxa"/>
                    <w:left w:w="0" w:type="dxa"/>
                    <w:bottom w:w="0" w:type="dxa"/>
                    <w:right w:w="0" w:type="dxa"/>
                  </w:tcMar>
                  <w:vAlign w:val="center"/>
                </w:tcPr>
                <w:p w14:paraId="323213F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5" w:type="dxa"/>
                  <w:tcBorders>
                    <w:tl2br w:val="nil"/>
                    <w:tr2bl w:val="nil"/>
                  </w:tcBorders>
                  <w:shd w:val="clear" w:color="auto" w:fill="FFFFFF"/>
                  <w:tcMar>
                    <w:top w:w="0" w:type="dxa"/>
                    <w:left w:w="0" w:type="dxa"/>
                    <w:bottom w:w="0" w:type="dxa"/>
                    <w:right w:w="0" w:type="dxa"/>
                  </w:tcMar>
                  <w:vAlign w:val="center"/>
                </w:tcPr>
                <w:p w14:paraId="06EFDDF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5" w:type="dxa"/>
                  <w:tcBorders>
                    <w:tl2br w:val="nil"/>
                    <w:tr2bl w:val="nil"/>
                  </w:tcBorders>
                  <w:shd w:val="clear" w:color="auto" w:fill="FFFFFF"/>
                  <w:tcMar>
                    <w:top w:w="0" w:type="dxa"/>
                    <w:left w:w="0" w:type="dxa"/>
                    <w:bottom w:w="0" w:type="dxa"/>
                    <w:right w:w="0" w:type="dxa"/>
                  </w:tcMar>
                  <w:vAlign w:val="center"/>
                </w:tcPr>
                <w:p w14:paraId="2A55410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73.2</w:t>
                  </w:r>
                </w:p>
              </w:tc>
              <w:tc>
                <w:tcPr>
                  <w:tcW w:w="446" w:type="dxa"/>
                  <w:tcBorders>
                    <w:tl2br w:val="nil"/>
                    <w:tr2bl w:val="nil"/>
                  </w:tcBorders>
                  <w:shd w:val="clear" w:color="auto" w:fill="FFFFFF"/>
                  <w:tcMar>
                    <w:top w:w="0" w:type="dxa"/>
                    <w:left w:w="0" w:type="dxa"/>
                    <w:bottom w:w="0" w:type="dxa"/>
                    <w:right w:w="0" w:type="dxa"/>
                  </w:tcMar>
                  <w:vAlign w:val="center"/>
                </w:tcPr>
                <w:p w14:paraId="0A1A6BF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73.1</w:t>
                  </w:r>
                </w:p>
              </w:tc>
              <w:tc>
                <w:tcPr>
                  <w:tcW w:w="443" w:type="dxa"/>
                  <w:tcBorders>
                    <w:tl2br w:val="nil"/>
                    <w:tr2bl w:val="nil"/>
                  </w:tcBorders>
                  <w:shd w:val="clear" w:color="auto" w:fill="FFFFFF"/>
                  <w:tcMar>
                    <w:top w:w="0" w:type="dxa"/>
                    <w:left w:w="0" w:type="dxa"/>
                    <w:bottom w:w="0" w:type="dxa"/>
                    <w:right w:w="0" w:type="dxa"/>
                  </w:tcMar>
                  <w:vAlign w:val="center"/>
                </w:tcPr>
                <w:p w14:paraId="197339C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31C0465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17A3C98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1B6D7AB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55951F1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3428AB2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532EA62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442E661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47.2</w:t>
                  </w:r>
                </w:p>
              </w:tc>
              <w:tc>
                <w:tcPr>
                  <w:tcW w:w="453" w:type="dxa"/>
                  <w:tcBorders>
                    <w:tl2br w:val="nil"/>
                    <w:tr2bl w:val="nil"/>
                  </w:tcBorders>
                  <w:shd w:val="clear" w:color="auto" w:fill="FFFFFF"/>
                  <w:tcMar>
                    <w:top w:w="0" w:type="dxa"/>
                    <w:left w:w="0" w:type="dxa"/>
                    <w:bottom w:w="0" w:type="dxa"/>
                    <w:right w:w="0" w:type="dxa"/>
                  </w:tcMar>
                  <w:vAlign w:val="center"/>
                </w:tcPr>
                <w:p w14:paraId="0F22916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47.1</w:t>
                  </w:r>
                </w:p>
              </w:tc>
              <w:tc>
                <w:tcPr>
                  <w:tcW w:w="624" w:type="dxa"/>
                  <w:tcBorders>
                    <w:tl2br w:val="nil"/>
                    <w:tr2bl w:val="nil"/>
                  </w:tcBorders>
                  <w:shd w:val="clear" w:color="auto" w:fill="FFFFFF"/>
                  <w:tcMar>
                    <w:top w:w="0" w:type="dxa"/>
                    <w:left w:w="0" w:type="dxa"/>
                    <w:bottom w:w="0" w:type="dxa"/>
                    <w:right w:w="0" w:type="dxa"/>
                  </w:tcMar>
                  <w:vAlign w:val="center"/>
                </w:tcPr>
                <w:p w14:paraId="5D187BB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1FEA6C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71CB83F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11</w:t>
                  </w:r>
                </w:p>
              </w:tc>
              <w:tc>
                <w:tcPr>
                  <w:tcW w:w="555" w:type="dxa"/>
                  <w:tcBorders>
                    <w:tl2br w:val="nil"/>
                    <w:tr2bl w:val="nil"/>
                  </w:tcBorders>
                  <w:shd w:val="clear" w:color="auto" w:fill="FFFFFF"/>
                  <w:tcMar>
                    <w:top w:w="0" w:type="dxa"/>
                    <w:left w:w="0" w:type="dxa"/>
                    <w:bottom w:w="0" w:type="dxa"/>
                    <w:right w:w="0" w:type="dxa"/>
                  </w:tcMar>
                  <w:vAlign w:val="center"/>
                </w:tcPr>
                <w:p w14:paraId="7964195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液体肥车间</w:t>
                  </w:r>
                </w:p>
              </w:tc>
              <w:tc>
                <w:tcPr>
                  <w:tcW w:w="532" w:type="dxa"/>
                  <w:tcBorders>
                    <w:tl2br w:val="nil"/>
                    <w:tr2bl w:val="nil"/>
                  </w:tcBorders>
                  <w:shd w:val="clear" w:color="auto" w:fill="FFFFFF"/>
                  <w:tcMar>
                    <w:top w:w="0" w:type="dxa"/>
                    <w:left w:w="0" w:type="dxa"/>
                    <w:bottom w:w="0" w:type="dxa"/>
                    <w:right w:w="0" w:type="dxa"/>
                  </w:tcMar>
                  <w:vAlign w:val="center"/>
                </w:tcPr>
                <w:p w14:paraId="2B0E68E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过滤器</w:t>
                  </w:r>
                </w:p>
              </w:tc>
              <w:tc>
                <w:tcPr>
                  <w:tcW w:w="627" w:type="dxa"/>
                  <w:tcBorders>
                    <w:tl2br w:val="nil"/>
                    <w:tr2bl w:val="nil"/>
                  </w:tcBorders>
                  <w:shd w:val="clear" w:color="auto" w:fill="FFFFFF"/>
                  <w:tcMar>
                    <w:top w:w="0" w:type="dxa"/>
                    <w:left w:w="0" w:type="dxa"/>
                    <w:bottom w:w="0" w:type="dxa"/>
                    <w:right w:w="0" w:type="dxa"/>
                  </w:tcMar>
                  <w:vAlign w:val="center"/>
                </w:tcPr>
                <w:p w14:paraId="2737671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80</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1E45387D">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7B75E8C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-1.4</w:t>
                  </w:r>
                </w:p>
              </w:tc>
              <w:tc>
                <w:tcPr>
                  <w:tcW w:w="545" w:type="dxa"/>
                  <w:tcBorders>
                    <w:tl2br w:val="nil"/>
                    <w:tr2bl w:val="nil"/>
                  </w:tcBorders>
                  <w:shd w:val="clear" w:color="auto" w:fill="FFFFFF"/>
                  <w:tcMar>
                    <w:top w:w="0" w:type="dxa"/>
                    <w:left w:w="0" w:type="dxa"/>
                    <w:bottom w:w="0" w:type="dxa"/>
                    <w:right w:w="0" w:type="dxa"/>
                  </w:tcMar>
                  <w:vAlign w:val="center"/>
                </w:tcPr>
                <w:p w14:paraId="5E1F030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139.5</w:t>
                  </w:r>
                </w:p>
              </w:tc>
              <w:tc>
                <w:tcPr>
                  <w:tcW w:w="545" w:type="dxa"/>
                  <w:tcBorders>
                    <w:tl2br w:val="nil"/>
                    <w:tr2bl w:val="nil"/>
                  </w:tcBorders>
                  <w:shd w:val="clear" w:color="auto" w:fill="FFFFFF"/>
                  <w:tcMar>
                    <w:top w:w="0" w:type="dxa"/>
                    <w:left w:w="0" w:type="dxa"/>
                    <w:bottom w:w="0" w:type="dxa"/>
                    <w:right w:w="0" w:type="dxa"/>
                  </w:tcMar>
                  <w:vAlign w:val="center"/>
                </w:tcPr>
                <w:p w14:paraId="63411E0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149DD57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23.6</w:t>
                  </w:r>
                </w:p>
              </w:tc>
              <w:tc>
                <w:tcPr>
                  <w:tcW w:w="450" w:type="dxa"/>
                  <w:tcBorders>
                    <w:tl2br w:val="nil"/>
                    <w:tr2bl w:val="nil"/>
                  </w:tcBorders>
                  <w:shd w:val="clear" w:color="auto" w:fill="FFFFFF"/>
                  <w:tcMar>
                    <w:top w:w="0" w:type="dxa"/>
                    <w:left w:w="0" w:type="dxa"/>
                    <w:bottom w:w="0" w:type="dxa"/>
                    <w:right w:w="0" w:type="dxa"/>
                  </w:tcMar>
                  <w:vAlign w:val="center"/>
                </w:tcPr>
                <w:p w14:paraId="26E9ED9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2.5</w:t>
                  </w:r>
                </w:p>
              </w:tc>
              <w:tc>
                <w:tcPr>
                  <w:tcW w:w="450" w:type="dxa"/>
                  <w:tcBorders>
                    <w:tl2br w:val="nil"/>
                    <w:tr2bl w:val="nil"/>
                  </w:tcBorders>
                  <w:shd w:val="clear" w:color="auto" w:fill="FFFFFF"/>
                  <w:tcMar>
                    <w:top w:w="0" w:type="dxa"/>
                    <w:left w:w="0" w:type="dxa"/>
                    <w:bottom w:w="0" w:type="dxa"/>
                    <w:right w:w="0" w:type="dxa"/>
                  </w:tcMar>
                  <w:vAlign w:val="center"/>
                </w:tcPr>
                <w:p w14:paraId="66449A9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21.2</w:t>
                  </w:r>
                </w:p>
              </w:tc>
              <w:tc>
                <w:tcPr>
                  <w:tcW w:w="451" w:type="dxa"/>
                  <w:tcBorders>
                    <w:tl2br w:val="nil"/>
                    <w:tr2bl w:val="nil"/>
                  </w:tcBorders>
                  <w:shd w:val="clear" w:color="auto" w:fill="FFFFFF"/>
                  <w:tcMar>
                    <w:top w:w="0" w:type="dxa"/>
                    <w:left w:w="0" w:type="dxa"/>
                    <w:bottom w:w="0" w:type="dxa"/>
                    <w:right w:w="0" w:type="dxa"/>
                  </w:tcMar>
                  <w:vAlign w:val="center"/>
                </w:tcPr>
                <w:p w14:paraId="3996BB4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8.8</w:t>
                  </w:r>
                </w:p>
              </w:tc>
              <w:tc>
                <w:tcPr>
                  <w:tcW w:w="445" w:type="dxa"/>
                  <w:tcBorders>
                    <w:tl2br w:val="nil"/>
                    <w:tr2bl w:val="nil"/>
                  </w:tcBorders>
                  <w:shd w:val="clear" w:color="auto" w:fill="FFFFFF"/>
                  <w:tcMar>
                    <w:top w:w="0" w:type="dxa"/>
                    <w:left w:w="0" w:type="dxa"/>
                    <w:bottom w:w="0" w:type="dxa"/>
                    <w:right w:w="0" w:type="dxa"/>
                  </w:tcMar>
                  <w:vAlign w:val="center"/>
                </w:tcPr>
                <w:p w14:paraId="107FAD7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69.7</w:t>
                  </w:r>
                </w:p>
              </w:tc>
              <w:tc>
                <w:tcPr>
                  <w:tcW w:w="445" w:type="dxa"/>
                  <w:tcBorders>
                    <w:tl2br w:val="nil"/>
                    <w:tr2bl w:val="nil"/>
                  </w:tcBorders>
                  <w:shd w:val="clear" w:color="auto" w:fill="FFFFFF"/>
                  <w:tcMar>
                    <w:top w:w="0" w:type="dxa"/>
                    <w:left w:w="0" w:type="dxa"/>
                    <w:bottom w:w="0" w:type="dxa"/>
                    <w:right w:w="0" w:type="dxa"/>
                  </w:tcMar>
                  <w:vAlign w:val="center"/>
                </w:tcPr>
                <w:p w14:paraId="20A8EA3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70.3</w:t>
                  </w:r>
                </w:p>
              </w:tc>
              <w:tc>
                <w:tcPr>
                  <w:tcW w:w="445" w:type="dxa"/>
                  <w:tcBorders>
                    <w:tl2br w:val="nil"/>
                    <w:tr2bl w:val="nil"/>
                  </w:tcBorders>
                  <w:shd w:val="clear" w:color="auto" w:fill="FFFFFF"/>
                  <w:tcMar>
                    <w:top w:w="0" w:type="dxa"/>
                    <w:left w:w="0" w:type="dxa"/>
                    <w:bottom w:w="0" w:type="dxa"/>
                    <w:right w:w="0" w:type="dxa"/>
                  </w:tcMar>
                  <w:vAlign w:val="center"/>
                </w:tcPr>
                <w:p w14:paraId="57E9850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69.7</w:t>
                  </w:r>
                </w:p>
              </w:tc>
              <w:tc>
                <w:tcPr>
                  <w:tcW w:w="446" w:type="dxa"/>
                  <w:tcBorders>
                    <w:tl2br w:val="nil"/>
                    <w:tr2bl w:val="nil"/>
                  </w:tcBorders>
                  <w:shd w:val="clear" w:color="auto" w:fill="FFFFFF"/>
                  <w:tcMar>
                    <w:top w:w="0" w:type="dxa"/>
                    <w:left w:w="0" w:type="dxa"/>
                    <w:bottom w:w="0" w:type="dxa"/>
                    <w:right w:w="0" w:type="dxa"/>
                  </w:tcMar>
                  <w:vAlign w:val="center"/>
                </w:tcPr>
                <w:p w14:paraId="77516DD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69.7</w:t>
                  </w:r>
                </w:p>
              </w:tc>
              <w:tc>
                <w:tcPr>
                  <w:tcW w:w="443" w:type="dxa"/>
                  <w:tcBorders>
                    <w:tl2br w:val="nil"/>
                    <w:tr2bl w:val="nil"/>
                  </w:tcBorders>
                  <w:shd w:val="clear" w:color="auto" w:fill="FFFFFF"/>
                  <w:tcMar>
                    <w:top w:w="0" w:type="dxa"/>
                    <w:left w:w="0" w:type="dxa"/>
                    <w:bottom w:w="0" w:type="dxa"/>
                    <w:right w:w="0" w:type="dxa"/>
                  </w:tcMar>
                  <w:vAlign w:val="center"/>
                </w:tcPr>
                <w:p w14:paraId="3914644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6FE80EF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3AC9928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2B05C36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146DA6F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6F7C64D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43.7</w:t>
                  </w:r>
                </w:p>
              </w:tc>
              <w:tc>
                <w:tcPr>
                  <w:tcW w:w="453" w:type="dxa"/>
                  <w:tcBorders>
                    <w:tl2br w:val="nil"/>
                    <w:tr2bl w:val="nil"/>
                  </w:tcBorders>
                  <w:shd w:val="clear" w:color="auto" w:fill="FFFFFF"/>
                  <w:tcMar>
                    <w:top w:w="0" w:type="dxa"/>
                    <w:left w:w="0" w:type="dxa"/>
                    <w:bottom w:w="0" w:type="dxa"/>
                    <w:right w:w="0" w:type="dxa"/>
                  </w:tcMar>
                  <w:vAlign w:val="center"/>
                </w:tcPr>
                <w:p w14:paraId="0A64BA4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44.3</w:t>
                  </w:r>
                </w:p>
              </w:tc>
              <w:tc>
                <w:tcPr>
                  <w:tcW w:w="453" w:type="dxa"/>
                  <w:tcBorders>
                    <w:tl2br w:val="nil"/>
                    <w:tr2bl w:val="nil"/>
                  </w:tcBorders>
                  <w:shd w:val="clear" w:color="auto" w:fill="FFFFFF"/>
                  <w:tcMar>
                    <w:top w:w="0" w:type="dxa"/>
                    <w:left w:w="0" w:type="dxa"/>
                    <w:bottom w:w="0" w:type="dxa"/>
                    <w:right w:w="0" w:type="dxa"/>
                  </w:tcMar>
                  <w:vAlign w:val="center"/>
                </w:tcPr>
                <w:p w14:paraId="540C5FE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43.7</w:t>
                  </w:r>
                </w:p>
              </w:tc>
              <w:tc>
                <w:tcPr>
                  <w:tcW w:w="453" w:type="dxa"/>
                  <w:tcBorders>
                    <w:tl2br w:val="nil"/>
                    <w:tr2bl w:val="nil"/>
                  </w:tcBorders>
                  <w:shd w:val="clear" w:color="auto" w:fill="FFFFFF"/>
                  <w:tcMar>
                    <w:top w:w="0" w:type="dxa"/>
                    <w:left w:w="0" w:type="dxa"/>
                    <w:bottom w:w="0" w:type="dxa"/>
                    <w:right w:w="0" w:type="dxa"/>
                  </w:tcMar>
                  <w:vAlign w:val="center"/>
                </w:tcPr>
                <w:p w14:paraId="64EB7CB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43.7</w:t>
                  </w:r>
                </w:p>
              </w:tc>
              <w:tc>
                <w:tcPr>
                  <w:tcW w:w="624" w:type="dxa"/>
                  <w:tcBorders>
                    <w:tl2br w:val="nil"/>
                    <w:tr2bl w:val="nil"/>
                  </w:tcBorders>
                  <w:shd w:val="clear" w:color="auto" w:fill="FFFFFF"/>
                  <w:tcMar>
                    <w:top w:w="0" w:type="dxa"/>
                    <w:left w:w="0" w:type="dxa"/>
                    <w:bottom w:w="0" w:type="dxa"/>
                    <w:right w:w="0" w:type="dxa"/>
                  </w:tcMar>
                  <w:vAlign w:val="center"/>
                </w:tcPr>
                <w:p w14:paraId="6A6A5B7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5CFB1E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4E40993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555" w:type="dxa"/>
                  <w:tcBorders>
                    <w:tl2br w:val="nil"/>
                    <w:tr2bl w:val="nil"/>
                  </w:tcBorders>
                  <w:shd w:val="clear" w:color="auto" w:fill="FFFFFF"/>
                  <w:tcMar>
                    <w:top w:w="0" w:type="dxa"/>
                    <w:left w:w="0" w:type="dxa"/>
                    <w:bottom w:w="0" w:type="dxa"/>
                    <w:right w:w="0" w:type="dxa"/>
                  </w:tcMar>
                  <w:vAlign w:val="center"/>
                </w:tcPr>
                <w:p w14:paraId="5B82790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热储能车间</w:t>
                  </w:r>
                </w:p>
              </w:tc>
              <w:tc>
                <w:tcPr>
                  <w:tcW w:w="532" w:type="dxa"/>
                  <w:tcBorders>
                    <w:tl2br w:val="nil"/>
                    <w:tr2bl w:val="nil"/>
                  </w:tcBorders>
                  <w:shd w:val="clear" w:color="auto" w:fill="FFFFFF"/>
                  <w:tcMar>
                    <w:top w:w="0" w:type="dxa"/>
                    <w:left w:w="0" w:type="dxa"/>
                    <w:bottom w:w="0" w:type="dxa"/>
                    <w:right w:w="0" w:type="dxa"/>
                  </w:tcMar>
                  <w:vAlign w:val="center"/>
                </w:tcPr>
                <w:p w14:paraId="4148732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热风炉</w:t>
                  </w:r>
                </w:p>
              </w:tc>
              <w:tc>
                <w:tcPr>
                  <w:tcW w:w="627" w:type="dxa"/>
                  <w:tcBorders>
                    <w:tl2br w:val="nil"/>
                    <w:tr2bl w:val="nil"/>
                  </w:tcBorders>
                  <w:shd w:val="clear" w:color="auto" w:fill="FFFFFF"/>
                  <w:tcMar>
                    <w:top w:w="0" w:type="dxa"/>
                    <w:left w:w="0" w:type="dxa"/>
                    <w:bottom w:w="0" w:type="dxa"/>
                    <w:right w:w="0" w:type="dxa"/>
                  </w:tcMar>
                  <w:vAlign w:val="center"/>
                </w:tcPr>
                <w:p w14:paraId="061DB3D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110</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04FC7974">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6CEE484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10.5</w:t>
                  </w:r>
                </w:p>
              </w:tc>
              <w:tc>
                <w:tcPr>
                  <w:tcW w:w="545" w:type="dxa"/>
                  <w:tcBorders>
                    <w:tl2br w:val="nil"/>
                    <w:tr2bl w:val="nil"/>
                  </w:tcBorders>
                  <w:shd w:val="clear" w:color="auto" w:fill="FFFFFF"/>
                  <w:tcMar>
                    <w:top w:w="0" w:type="dxa"/>
                    <w:left w:w="0" w:type="dxa"/>
                    <w:bottom w:w="0" w:type="dxa"/>
                    <w:right w:w="0" w:type="dxa"/>
                  </w:tcMar>
                  <w:vAlign w:val="center"/>
                </w:tcPr>
                <w:p w14:paraId="2EFE5406">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2.2</w:t>
                  </w:r>
                </w:p>
              </w:tc>
              <w:tc>
                <w:tcPr>
                  <w:tcW w:w="545" w:type="dxa"/>
                  <w:tcBorders>
                    <w:tl2br w:val="nil"/>
                    <w:tr2bl w:val="nil"/>
                  </w:tcBorders>
                  <w:shd w:val="clear" w:color="auto" w:fill="FFFFFF"/>
                  <w:tcMar>
                    <w:top w:w="0" w:type="dxa"/>
                    <w:left w:w="0" w:type="dxa"/>
                    <w:bottom w:w="0" w:type="dxa"/>
                    <w:right w:w="0" w:type="dxa"/>
                  </w:tcMar>
                  <w:vAlign w:val="center"/>
                </w:tcPr>
                <w:p w14:paraId="027E04C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111A443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15.2</w:t>
                  </w:r>
                </w:p>
              </w:tc>
              <w:tc>
                <w:tcPr>
                  <w:tcW w:w="450" w:type="dxa"/>
                  <w:tcBorders>
                    <w:tl2br w:val="nil"/>
                    <w:tr2bl w:val="nil"/>
                  </w:tcBorders>
                  <w:shd w:val="clear" w:color="auto" w:fill="FFFFFF"/>
                  <w:tcMar>
                    <w:top w:w="0" w:type="dxa"/>
                    <w:left w:w="0" w:type="dxa"/>
                    <w:bottom w:w="0" w:type="dxa"/>
                    <w:right w:w="0" w:type="dxa"/>
                  </w:tcMar>
                  <w:vAlign w:val="center"/>
                </w:tcPr>
                <w:p w14:paraId="5E5EBC6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6.5</w:t>
                  </w:r>
                </w:p>
              </w:tc>
              <w:tc>
                <w:tcPr>
                  <w:tcW w:w="450" w:type="dxa"/>
                  <w:tcBorders>
                    <w:tl2br w:val="nil"/>
                    <w:tr2bl w:val="nil"/>
                  </w:tcBorders>
                  <w:shd w:val="clear" w:color="auto" w:fill="FFFFFF"/>
                  <w:tcMar>
                    <w:top w:w="0" w:type="dxa"/>
                    <w:left w:w="0" w:type="dxa"/>
                    <w:bottom w:w="0" w:type="dxa"/>
                    <w:right w:w="0" w:type="dxa"/>
                  </w:tcMar>
                  <w:vAlign w:val="center"/>
                </w:tcPr>
                <w:p w14:paraId="6B1157E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4.0</w:t>
                  </w:r>
                </w:p>
              </w:tc>
              <w:tc>
                <w:tcPr>
                  <w:tcW w:w="451" w:type="dxa"/>
                  <w:tcBorders>
                    <w:tl2br w:val="nil"/>
                    <w:tr2bl w:val="nil"/>
                  </w:tcBorders>
                  <w:shd w:val="clear" w:color="auto" w:fill="FFFFFF"/>
                  <w:tcMar>
                    <w:top w:w="0" w:type="dxa"/>
                    <w:left w:w="0" w:type="dxa"/>
                    <w:bottom w:w="0" w:type="dxa"/>
                    <w:right w:w="0" w:type="dxa"/>
                  </w:tcMar>
                  <w:vAlign w:val="center"/>
                </w:tcPr>
                <w:p w14:paraId="6C25128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6.9</w:t>
                  </w:r>
                </w:p>
              </w:tc>
              <w:tc>
                <w:tcPr>
                  <w:tcW w:w="445" w:type="dxa"/>
                  <w:tcBorders>
                    <w:tl2br w:val="nil"/>
                    <w:tr2bl w:val="nil"/>
                  </w:tcBorders>
                  <w:shd w:val="clear" w:color="auto" w:fill="FFFFFF"/>
                  <w:tcMar>
                    <w:top w:w="0" w:type="dxa"/>
                    <w:left w:w="0" w:type="dxa"/>
                    <w:bottom w:w="0" w:type="dxa"/>
                    <w:right w:w="0" w:type="dxa"/>
                  </w:tcMar>
                  <w:vAlign w:val="center"/>
                </w:tcPr>
                <w:p w14:paraId="564D5A6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101.9</w:t>
                  </w:r>
                </w:p>
              </w:tc>
              <w:tc>
                <w:tcPr>
                  <w:tcW w:w="445" w:type="dxa"/>
                  <w:tcBorders>
                    <w:tl2br w:val="nil"/>
                    <w:tr2bl w:val="nil"/>
                  </w:tcBorders>
                  <w:shd w:val="clear" w:color="auto" w:fill="FFFFFF"/>
                  <w:tcMar>
                    <w:top w:w="0" w:type="dxa"/>
                    <w:left w:w="0" w:type="dxa"/>
                    <w:bottom w:w="0" w:type="dxa"/>
                    <w:right w:w="0" w:type="dxa"/>
                  </w:tcMar>
                  <w:vAlign w:val="center"/>
                </w:tcPr>
                <w:p w14:paraId="4D5E22B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101.9</w:t>
                  </w:r>
                </w:p>
              </w:tc>
              <w:tc>
                <w:tcPr>
                  <w:tcW w:w="445" w:type="dxa"/>
                  <w:tcBorders>
                    <w:tl2br w:val="nil"/>
                    <w:tr2bl w:val="nil"/>
                  </w:tcBorders>
                  <w:shd w:val="clear" w:color="auto" w:fill="FFFFFF"/>
                  <w:tcMar>
                    <w:top w:w="0" w:type="dxa"/>
                    <w:left w:w="0" w:type="dxa"/>
                    <w:bottom w:w="0" w:type="dxa"/>
                    <w:right w:w="0" w:type="dxa"/>
                  </w:tcMar>
                  <w:vAlign w:val="center"/>
                </w:tcPr>
                <w:p w14:paraId="21F39FC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102.0</w:t>
                  </w:r>
                </w:p>
              </w:tc>
              <w:tc>
                <w:tcPr>
                  <w:tcW w:w="446" w:type="dxa"/>
                  <w:tcBorders>
                    <w:tl2br w:val="nil"/>
                    <w:tr2bl w:val="nil"/>
                  </w:tcBorders>
                  <w:shd w:val="clear" w:color="auto" w:fill="FFFFFF"/>
                  <w:tcMar>
                    <w:top w:w="0" w:type="dxa"/>
                    <w:left w:w="0" w:type="dxa"/>
                    <w:bottom w:w="0" w:type="dxa"/>
                    <w:right w:w="0" w:type="dxa"/>
                  </w:tcMar>
                  <w:vAlign w:val="center"/>
                </w:tcPr>
                <w:p w14:paraId="3F06D36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101.9</w:t>
                  </w:r>
                </w:p>
              </w:tc>
              <w:tc>
                <w:tcPr>
                  <w:tcW w:w="443" w:type="dxa"/>
                  <w:tcBorders>
                    <w:tl2br w:val="nil"/>
                    <w:tr2bl w:val="nil"/>
                  </w:tcBorders>
                  <w:shd w:val="clear" w:color="auto" w:fill="FFFFFF"/>
                  <w:tcMar>
                    <w:top w:w="0" w:type="dxa"/>
                    <w:left w:w="0" w:type="dxa"/>
                    <w:bottom w:w="0" w:type="dxa"/>
                    <w:right w:w="0" w:type="dxa"/>
                  </w:tcMar>
                  <w:vAlign w:val="center"/>
                </w:tcPr>
                <w:p w14:paraId="64B8F9E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20AAB3C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42B36A9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043DD93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6C64BC9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0B850F5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75.9</w:t>
                  </w:r>
                </w:p>
              </w:tc>
              <w:tc>
                <w:tcPr>
                  <w:tcW w:w="453" w:type="dxa"/>
                  <w:tcBorders>
                    <w:tl2br w:val="nil"/>
                    <w:tr2bl w:val="nil"/>
                  </w:tcBorders>
                  <w:shd w:val="clear" w:color="auto" w:fill="FFFFFF"/>
                  <w:tcMar>
                    <w:top w:w="0" w:type="dxa"/>
                    <w:left w:w="0" w:type="dxa"/>
                    <w:bottom w:w="0" w:type="dxa"/>
                    <w:right w:w="0" w:type="dxa"/>
                  </w:tcMar>
                  <w:vAlign w:val="center"/>
                </w:tcPr>
                <w:p w14:paraId="2748AA1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75.9</w:t>
                  </w:r>
                </w:p>
              </w:tc>
              <w:tc>
                <w:tcPr>
                  <w:tcW w:w="453" w:type="dxa"/>
                  <w:tcBorders>
                    <w:tl2br w:val="nil"/>
                    <w:tr2bl w:val="nil"/>
                  </w:tcBorders>
                  <w:shd w:val="clear" w:color="auto" w:fill="FFFFFF"/>
                  <w:tcMar>
                    <w:top w:w="0" w:type="dxa"/>
                    <w:left w:w="0" w:type="dxa"/>
                    <w:bottom w:w="0" w:type="dxa"/>
                    <w:right w:w="0" w:type="dxa"/>
                  </w:tcMar>
                  <w:vAlign w:val="center"/>
                </w:tcPr>
                <w:p w14:paraId="695FB349">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76.0</w:t>
                  </w:r>
                </w:p>
              </w:tc>
              <w:tc>
                <w:tcPr>
                  <w:tcW w:w="453" w:type="dxa"/>
                  <w:tcBorders>
                    <w:tl2br w:val="nil"/>
                    <w:tr2bl w:val="nil"/>
                  </w:tcBorders>
                  <w:shd w:val="clear" w:color="auto" w:fill="FFFFFF"/>
                  <w:tcMar>
                    <w:top w:w="0" w:type="dxa"/>
                    <w:left w:w="0" w:type="dxa"/>
                    <w:bottom w:w="0" w:type="dxa"/>
                    <w:right w:w="0" w:type="dxa"/>
                  </w:tcMar>
                  <w:vAlign w:val="center"/>
                </w:tcPr>
                <w:p w14:paraId="5A90D05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75.9</w:t>
                  </w:r>
                </w:p>
              </w:tc>
              <w:tc>
                <w:tcPr>
                  <w:tcW w:w="624" w:type="dxa"/>
                  <w:tcBorders>
                    <w:tl2br w:val="nil"/>
                    <w:tr2bl w:val="nil"/>
                  </w:tcBorders>
                  <w:shd w:val="clear" w:color="auto" w:fill="FFFFFF"/>
                  <w:tcMar>
                    <w:top w:w="0" w:type="dxa"/>
                    <w:left w:w="0" w:type="dxa"/>
                    <w:bottom w:w="0" w:type="dxa"/>
                    <w:right w:w="0" w:type="dxa"/>
                  </w:tcMar>
                  <w:vAlign w:val="center"/>
                </w:tcPr>
                <w:p w14:paraId="4191E4A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tr w14:paraId="3C98F7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0" w:type="dxa"/>
                  <w:tcBorders>
                    <w:tl2br w:val="nil"/>
                    <w:tr2bl w:val="nil"/>
                  </w:tcBorders>
                  <w:shd w:val="clear" w:color="auto" w:fill="FFFFFF"/>
                  <w:tcMar>
                    <w:top w:w="0" w:type="dxa"/>
                    <w:left w:w="0" w:type="dxa"/>
                    <w:bottom w:w="0" w:type="dxa"/>
                    <w:right w:w="0" w:type="dxa"/>
                  </w:tcMar>
                  <w:vAlign w:val="center"/>
                </w:tcPr>
                <w:p w14:paraId="712BFAB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13</w:t>
                  </w:r>
                </w:p>
              </w:tc>
              <w:tc>
                <w:tcPr>
                  <w:tcW w:w="555" w:type="dxa"/>
                  <w:tcBorders>
                    <w:tl2br w:val="nil"/>
                    <w:tr2bl w:val="nil"/>
                  </w:tcBorders>
                  <w:shd w:val="clear" w:color="auto" w:fill="FFFFFF"/>
                  <w:tcMar>
                    <w:top w:w="0" w:type="dxa"/>
                    <w:left w:w="0" w:type="dxa"/>
                    <w:bottom w:w="0" w:type="dxa"/>
                    <w:right w:w="0" w:type="dxa"/>
                  </w:tcMar>
                  <w:vAlign w:val="center"/>
                </w:tcPr>
                <w:p w14:paraId="125907A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热储能车间</w:t>
                  </w:r>
                </w:p>
              </w:tc>
              <w:tc>
                <w:tcPr>
                  <w:tcW w:w="532" w:type="dxa"/>
                  <w:tcBorders>
                    <w:tl2br w:val="nil"/>
                    <w:tr2bl w:val="nil"/>
                  </w:tcBorders>
                  <w:shd w:val="clear" w:color="auto" w:fill="FFFFFF"/>
                  <w:tcMar>
                    <w:top w:w="0" w:type="dxa"/>
                    <w:left w:w="0" w:type="dxa"/>
                    <w:bottom w:w="0" w:type="dxa"/>
                    <w:right w:w="0" w:type="dxa"/>
                  </w:tcMar>
                  <w:vAlign w:val="center"/>
                </w:tcPr>
                <w:p w14:paraId="74938EA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静电除尘器</w:t>
                  </w:r>
                </w:p>
              </w:tc>
              <w:tc>
                <w:tcPr>
                  <w:tcW w:w="627" w:type="dxa"/>
                  <w:tcBorders>
                    <w:tl2br w:val="nil"/>
                    <w:tr2bl w:val="nil"/>
                  </w:tcBorders>
                  <w:shd w:val="clear" w:color="auto" w:fill="FFFFFF"/>
                  <w:tcMar>
                    <w:top w:w="0" w:type="dxa"/>
                    <w:left w:w="0" w:type="dxa"/>
                    <w:bottom w:w="0" w:type="dxa"/>
                    <w:right w:w="0" w:type="dxa"/>
                  </w:tcMar>
                  <w:vAlign w:val="center"/>
                </w:tcPr>
                <w:p w14:paraId="0A970BCF">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85</w:t>
                  </w:r>
                </w:p>
              </w:tc>
              <w:tc>
                <w:tcPr>
                  <w:tcW w:w="546" w:type="dxa"/>
                  <w:vMerge w:val="continue"/>
                  <w:tcBorders>
                    <w:tl2br w:val="nil"/>
                    <w:tr2bl w:val="nil"/>
                  </w:tcBorders>
                  <w:shd w:val="clear" w:color="auto" w:fill="FFFFFF"/>
                  <w:tcMar>
                    <w:top w:w="0" w:type="dxa"/>
                    <w:left w:w="0" w:type="dxa"/>
                    <w:bottom w:w="0" w:type="dxa"/>
                    <w:right w:w="0" w:type="dxa"/>
                  </w:tcMar>
                  <w:vAlign w:val="center"/>
                </w:tcPr>
                <w:p w14:paraId="66B93F82">
                  <w:pPr>
                    <w:jc w:val="center"/>
                    <w:rPr>
                      <w:rFonts w:hint="default" w:ascii="Times New Roman" w:hAnsi="Times New Roman" w:cs="Times New Roman"/>
                      <w:color w:val="000000" w:themeColor="text1"/>
                      <w14:textFill>
                        <w14:solidFill>
                          <w14:schemeClr w14:val="tx1"/>
                        </w14:solidFill>
                      </w14:textFill>
                    </w:rPr>
                  </w:pPr>
                </w:p>
              </w:tc>
              <w:tc>
                <w:tcPr>
                  <w:tcW w:w="545" w:type="dxa"/>
                  <w:tcBorders>
                    <w:tl2br w:val="nil"/>
                    <w:tr2bl w:val="nil"/>
                  </w:tcBorders>
                  <w:shd w:val="clear" w:color="auto" w:fill="FFFFFF"/>
                  <w:tcMar>
                    <w:top w:w="0" w:type="dxa"/>
                    <w:left w:w="0" w:type="dxa"/>
                    <w:bottom w:w="0" w:type="dxa"/>
                    <w:right w:w="0" w:type="dxa"/>
                  </w:tcMar>
                  <w:vAlign w:val="center"/>
                </w:tcPr>
                <w:p w14:paraId="305360B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16.5</w:t>
                  </w:r>
                </w:p>
              </w:tc>
              <w:tc>
                <w:tcPr>
                  <w:tcW w:w="545" w:type="dxa"/>
                  <w:tcBorders>
                    <w:tl2br w:val="nil"/>
                    <w:tr2bl w:val="nil"/>
                  </w:tcBorders>
                  <w:shd w:val="clear" w:color="auto" w:fill="FFFFFF"/>
                  <w:tcMar>
                    <w:top w:w="0" w:type="dxa"/>
                    <w:left w:w="0" w:type="dxa"/>
                    <w:bottom w:w="0" w:type="dxa"/>
                    <w:right w:w="0" w:type="dxa"/>
                  </w:tcMar>
                  <w:vAlign w:val="center"/>
                </w:tcPr>
                <w:p w14:paraId="10A78A95">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1.8</w:t>
                  </w:r>
                </w:p>
              </w:tc>
              <w:tc>
                <w:tcPr>
                  <w:tcW w:w="545" w:type="dxa"/>
                  <w:tcBorders>
                    <w:tl2br w:val="nil"/>
                    <w:tr2bl w:val="nil"/>
                  </w:tcBorders>
                  <w:shd w:val="clear" w:color="auto" w:fill="FFFFFF"/>
                  <w:tcMar>
                    <w:top w:w="0" w:type="dxa"/>
                    <w:left w:w="0" w:type="dxa"/>
                    <w:bottom w:w="0" w:type="dxa"/>
                    <w:right w:w="0" w:type="dxa"/>
                  </w:tcMar>
                  <w:vAlign w:val="center"/>
                </w:tcPr>
                <w:p w14:paraId="505644E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1.2</w:t>
                  </w:r>
                </w:p>
              </w:tc>
              <w:tc>
                <w:tcPr>
                  <w:tcW w:w="450" w:type="dxa"/>
                  <w:tcBorders>
                    <w:tl2br w:val="nil"/>
                    <w:tr2bl w:val="nil"/>
                  </w:tcBorders>
                  <w:shd w:val="clear" w:color="auto" w:fill="FFFFFF"/>
                  <w:tcMar>
                    <w:top w:w="0" w:type="dxa"/>
                    <w:left w:w="0" w:type="dxa"/>
                    <w:bottom w:w="0" w:type="dxa"/>
                    <w:right w:w="0" w:type="dxa"/>
                  </w:tcMar>
                  <w:vAlign w:val="center"/>
                </w:tcPr>
                <w:p w14:paraId="53812252">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9.3</w:t>
                  </w:r>
                </w:p>
              </w:tc>
              <w:tc>
                <w:tcPr>
                  <w:tcW w:w="450" w:type="dxa"/>
                  <w:tcBorders>
                    <w:tl2br w:val="nil"/>
                    <w:tr2bl w:val="nil"/>
                  </w:tcBorders>
                  <w:shd w:val="clear" w:color="auto" w:fill="FFFFFF"/>
                  <w:tcMar>
                    <w:top w:w="0" w:type="dxa"/>
                    <w:left w:w="0" w:type="dxa"/>
                    <w:bottom w:w="0" w:type="dxa"/>
                    <w:right w:w="0" w:type="dxa"/>
                  </w:tcMar>
                  <w:vAlign w:val="center"/>
                </w:tcPr>
                <w:p w14:paraId="25B0E791">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7.4</w:t>
                  </w:r>
                </w:p>
              </w:tc>
              <w:tc>
                <w:tcPr>
                  <w:tcW w:w="450" w:type="dxa"/>
                  <w:tcBorders>
                    <w:tl2br w:val="nil"/>
                    <w:tr2bl w:val="nil"/>
                  </w:tcBorders>
                  <w:shd w:val="clear" w:color="auto" w:fill="FFFFFF"/>
                  <w:tcMar>
                    <w:top w:w="0" w:type="dxa"/>
                    <w:left w:w="0" w:type="dxa"/>
                    <w:bottom w:w="0" w:type="dxa"/>
                    <w:right w:w="0" w:type="dxa"/>
                  </w:tcMar>
                  <w:vAlign w:val="center"/>
                </w:tcPr>
                <w:p w14:paraId="042B92B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10.0</w:t>
                  </w:r>
                </w:p>
              </w:tc>
              <w:tc>
                <w:tcPr>
                  <w:tcW w:w="451" w:type="dxa"/>
                  <w:tcBorders>
                    <w:tl2br w:val="nil"/>
                    <w:tr2bl w:val="nil"/>
                  </w:tcBorders>
                  <w:shd w:val="clear" w:color="auto" w:fill="FFFFFF"/>
                  <w:tcMar>
                    <w:top w:w="0" w:type="dxa"/>
                    <w:left w:w="0" w:type="dxa"/>
                    <w:bottom w:w="0" w:type="dxa"/>
                    <w:right w:w="0" w:type="dxa"/>
                  </w:tcMar>
                  <w:vAlign w:val="center"/>
                </w:tcPr>
                <w:p w14:paraId="201490D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7.1</w:t>
                  </w:r>
                </w:p>
              </w:tc>
              <w:tc>
                <w:tcPr>
                  <w:tcW w:w="445" w:type="dxa"/>
                  <w:tcBorders>
                    <w:tl2br w:val="nil"/>
                    <w:tr2bl w:val="nil"/>
                  </w:tcBorders>
                  <w:shd w:val="clear" w:color="auto" w:fill="FFFFFF"/>
                  <w:tcMar>
                    <w:top w:w="0" w:type="dxa"/>
                    <w:left w:w="0" w:type="dxa"/>
                    <w:bottom w:w="0" w:type="dxa"/>
                    <w:right w:w="0" w:type="dxa"/>
                  </w:tcMar>
                  <w:vAlign w:val="center"/>
                </w:tcPr>
                <w:p w14:paraId="10569E9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76.9</w:t>
                  </w:r>
                </w:p>
              </w:tc>
              <w:tc>
                <w:tcPr>
                  <w:tcW w:w="445" w:type="dxa"/>
                  <w:tcBorders>
                    <w:tl2br w:val="nil"/>
                    <w:tr2bl w:val="nil"/>
                  </w:tcBorders>
                  <w:shd w:val="clear" w:color="auto" w:fill="FFFFFF"/>
                  <w:tcMar>
                    <w:top w:w="0" w:type="dxa"/>
                    <w:left w:w="0" w:type="dxa"/>
                    <w:bottom w:w="0" w:type="dxa"/>
                    <w:right w:w="0" w:type="dxa"/>
                  </w:tcMar>
                  <w:vAlign w:val="center"/>
                </w:tcPr>
                <w:p w14:paraId="308F0804">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76.9</w:t>
                  </w:r>
                </w:p>
              </w:tc>
              <w:tc>
                <w:tcPr>
                  <w:tcW w:w="445" w:type="dxa"/>
                  <w:tcBorders>
                    <w:tl2br w:val="nil"/>
                    <w:tr2bl w:val="nil"/>
                  </w:tcBorders>
                  <w:shd w:val="clear" w:color="auto" w:fill="FFFFFF"/>
                  <w:tcMar>
                    <w:top w:w="0" w:type="dxa"/>
                    <w:left w:w="0" w:type="dxa"/>
                    <w:bottom w:w="0" w:type="dxa"/>
                    <w:right w:w="0" w:type="dxa"/>
                  </w:tcMar>
                  <w:vAlign w:val="center"/>
                </w:tcPr>
                <w:p w14:paraId="0CFF1BC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76.9</w:t>
                  </w:r>
                </w:p>
              </w:tc>
              <w:tc>
                <w:tcPr>
                  <w:tcW w:w="446" w:type="dxa"/>
                  <w:tcBorders>
                    <w:tl2br w:val="nil"/>
                    <w:tr2bl w:val="nil"/>
                  </w:tcBorders>
                  <w:shd w:val="clear" w:color="auto" w:fill="FFFFFF"/>
                  <w:tcMar>
                    <w:top w:w="0" w:type="dxa"/>
                    <w:left w:w="0" w:type="dxa"/>
                    <w:bottom w:w="0" w:type="dxa"/>
                    <w:right w:w="0" w:type="dxa"/>
                  </w:tcMar>
                  <w:vAlign w:val="center"/>
                </w:tcPr>
                <w:p w14:paraId="0EDCACCD">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76.9</w:t>
                  </w:r>
                </w:p>
              </w:tc>
              <w:tc>
                <w:tcPr>
                  <w:tcW w:w="443" w:type="dxa"/>
                  <w:tcBorders>
                    <w:tl2br w:val="nil"/>
                    <w:tr2bl w:val="nil"/>
                  </w:tcBorders>
                  <w:shd w:val="clear" w:color="auto" w:fill="FFFFFF"/>
                  <w:tcMar>
                    <w:top w:w="0" w:type="dxa"/>
                    <w:left w:w="0" w:type="dxa"/>
                    <w:bottom w:w="0" w:type="dxa"/>
                    <w:right w:w="0" w:type="dxa"/>
                  </w:tcMar>
                  <w:vAlign w:val="center"/>
                </w:tcPr>
                <w:p w14:paraId="2AE0C52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24.0</w:t>
                  </w:r>
                </w:p>
              </w:tc>
              <w:tc>
                <w:tcPr>
                  <w:tcW w:w="429" w:type="dxa"/>
                  <w:tcBorders>
                    <w:tl2br w:val="nil"/>
                    <w:tr2bl w:val="nil"/>
                  </w:tcBorders>
                  <w:shd w:val="clear" w:color="auto" w:fill="FFFFFF"/>
                  <w:tcMar>
                    <w:top w:w="0" w:type="dxa"/>
                    <w:left w:w="0" w:type="dxa"/>
                    <w:bottom w:w="0" w:type="dxa"/>
                    <w:right w:w="0" w:type="dxa"/>
                  </w:tcMar>
                  <w:vAlign w:val="center"/>
                </w:tcPr>
                <w:p w14:paraId="53177CC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1818317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3F2D941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29" w:type="dxa"/>
                  <w:tcBorders>
                    <w:tl2br w:val="nil"/>
                    <w:tr2bl w:val="nil"/>
                  </w:tcBorders>
                  <w:shd w:val="clear" w:color="auto" w:fill="FFFFFF"/>
                  <w:tcMar>
                    <w:top w:w="0" w:type="dxa"/>
                    <w:left w:w="0" w:type="dxa"/>
                    <w:bottom w:w="0" w:type="dxa"/>
                    <w:right w:w="0" w:type="dxa"/>
                  </w:tcMar>
                  <w:vAlign w:val="center"/>
                </w:tcPr>
                <w:p w14:paraId="52922BD3">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26.0</w:t>
                  </w:r>
                </w:p>
              </w:tc>
              <w:tc>
                <w:tcPr>
                  <w:tcW w:w="453" w:type="dxa"/>
                  <w:tcBorders>
                    <w:tl2br w:val="nil"/>
                    <w:tr2bl w:val="nil"/>
                  </w:tcBorders>
                  <w:shd w:val="clear" w:color="auto" w:fill="FFFFFF"/>
                  <w:tcMar>
                    <w:top w:w="0" w:type="dxa"/>
                    <w:left w:w="0" w:type="dxa"/>
                    <w:bottom w:w="0" w:type="dxa"/>
                    <w:right w:w="0" w:type="dxa"/>
                  </w:tcMar>
                  <w:vAlign w:val="center"/>
                </w:tcPr>
                <w:p w14:paraId="7CC87D6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50.9</w:t>
                  </w:r>
                </w:p>
              </w:tc>
              <w:tc>
                <w:tcPr>
                  <w:tcW w:w="453" w:type="dxa"/>
                  <w:tcBorders>
                    <w:tl2br w:val="nil"/>
                    <w:tr2bl w:val="nil"/>
                  </w:tcBorders>
                  <w:shd w:val="clear" w:color="auto" w:fill="FFFFFF"/>
                  <w:tcMar>
                    <w:top w:w="0" w:type="dxa"/>
                    <w:left w:w="0" w:type="dxa"/>
                    <w:bottom w:w="0" w:type="dxa"/>
                    <w:right w:w="0" w:type="dxa"/>
                  </w:tcMar>
                  <w:vAlign w:val="center"/>
                </w:tcPr>
                <w:p w14:paraId="3A9172F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50.9</w:t>
                  </w:r>
                </w:p>
              </w:tc>
              <w:tc>
                <w:tcPr>
                  <w:tcW w:w="453" w:type="dxa"/>
                  <w:tcBorders>
                    <w:tl2br w:val="nil"/>
                    <w:tr2bl w:val="nil"/>
                  </w:tcBorders>
                  <w:shd w:val="clear" w:color="auto" w:fill="FFFFFF"/>
                  <w:tcMar>
                    <w:top w:w="0" w:type="dxa"/>
                    <w:left w:w="0" w:type="dxa"/>
                    <w:bottom w:w="0" w:type="dxa"/>
                    <w:right w:w="0" w:type="dxa"/>
                  </w:tcMar>
                  <w:vAlign w:val="center"/>
                </w:tcPr>
                <w:p w14:paraId="2E5456CC">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50.9</w:t>
                  </w:r>
                </w:p>
              </w:tc>
              <w:tc>
                <w:tcPr>
                  <w:tcW w:w="453" w:type="dxa"/>
                  <w:tcBorders>
                    <w:tl2br w:val="nil"/>
                    <w:tr2bl w:val="nil"/>
                  </w:tcBorders>
                  <w:shd w:val="clear" w:color="auto" w:fill="FFFFFF"/>
                  <w:tcMar>
                    <w:top w:w="0" w:type="dxa"/>
                    <w:left w:w="0" w:type="dxa"/>
                    <w:bottom w:w="0" w:type="dxa"/>
                    <w:right w:w="0" w:type="dxa"/>
                  </w:tcMar>
                  <w:vAlign w:val="center"/>
                </w:tcPr>
                <w:p w14:paraId="665572DA">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50.9</w:t>
                  </w:r>
                </w:p>
              </w:tc>
              <w:tc>
                <w:tcPr>
                  <w:tcW w:w="624" w:type="dxa"/>
                  <w:tcBorders>
                    <w:tl2br w:val="nil"/>
                    <w:tr2bl w:val="nil"/>
                  </w:tcBorders>
                  <w:shd w:val="clear" w:color="auto" w:fill="FFFFFF"/>
                  <w:tcMar>
                    <w:top w:w="0" w:type="dxa"/>
                    <w:left w:w="0" w:type="dxa"/>
                    <w:bottom w:w="0" w:type="dxa"/>
                    <w:right w:w="0" w:type="dxa"/>
                  </w:tcMar>
                  <w:vAlign w:val="center"/>
                </w:tcPr>
                <w:p w14:paraId="7310A9FE">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1</w:t>
                  </w:r>
                </w:p>
              </w:tc>
            </w:tr>
            <w:bookmarkEnd w:id="7"/>
          </w:tbl>
          <w:p w14:paraId="18B851A5">
            <w:pPr>
              <w:adjustRightInd w:val="0"/>
              <w:snapToGrid w:val="0"/>
              <w:rPr>
                <w:rFonts w:hint="default" w:ascii="Times New Roman" w:hAnsi="Times New Roman" w:eastAsia="宋体" w:cs="Times New Roman"/>
                <w:bCs/>
                <w:color w:val="000000" w:themeColor="text1"/>
                <w:spacing w:val="-10"/>
                <w:sz w:val="24"/>
                <w:szCs w:val="24"/>
                <w:highlight w:val="none"/>
                <w14:textFill>
                  <w14:solidFill>
                    <w14:schemeClr w14:val="tx1"/>
                  </w14:solidFill>
                </w14:textFill>
              </w:rPr>
            </w:pPr>
          </w:p>
        </w:tc>
      </w:tr>
    </w:tbl>
    <w:p w14:paraId="3FE598B6">
      <w:pPr>
        <w:adjustRightInd w:val="0"/>
        <w:snapToGrid w:val="0"/>
        <w:spacing w:line="360" w:lineRule="auto"/>
        <w:rPr>
          <w:rFonts w:hint="default" w:ascii="Times New Roman" w:hAnsi="Times New Roman" w:eastAsia="宋体" w:cs="Times New Roman"/>
          <w:b/>
          <w:color w:val="000000" w:themeColor="text1"/>
          <w:kern w:val="0"/>
          <w:sz w:val="28"/>
          <w:szCs w:val="28"/>
          <w14:textFill>
            <w14:solidFill>
              <w14:schemeClr w14:val="tx1"/>
            </w14:solidFill>
          </w14:textFill>
        </w:rPr>
        <w:sectPr>
          <w:pgSz w:w="16840" w:h="11907" w:orient="landscape"/>
          <w:pgMar w:top="1531" w:right="1701" w:bottom="1531" w:left="212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9"/>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2"/>
        <w:gridCol w:w="8229"/>
      </w:tblGrid>
      <w:tr w14:paraId="0F8C4F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2791" w:hRule="atLeast"/>
          <w:jc w:val="center"/>
        </w:trPr>
        <w:tc>
          <w:tcPr>
            <w:tcW w:w="746" w:type="dxa"/>
            <w:noWrap w:val="0"/>
            <w:tcMar>
              <w:left w:w="28" w:type="dxa"/>
              <w:right w:w="28" w:type="dxa"/>
            </w:tcMar>
            <w:vAlign w:val="center"/>
          </w:tcPr>
          <w:p w14:paraId="4D431583">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运营</w:t>
            </w:r>
          </w:p>
          <w:p w14:paraId="4CF4F608">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期环</w:t>
            </w:r>
          </w:p>
          <w:p w14:paraId="3FE1C907">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境影</w:t>
            </w:r>
          </w:p>
          <w:p w14:paraId="3606CAB7">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响和</w:t>
            </w:r>
          </w:p>
          <w:p w14:paraId="4C8092FF">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保护</w:t>
            </w:r>
          </w:p>
          <w:p w14:paraId="6F0C97F0">
            <w:pPr>
              <w:adjustRightInd w:val="0"/>
              <w:snapToGrid w:val="0"/>
              <w:jc w:val="center"/>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措施</w:t>
            </w:r>
          </w:p>
        </w:tc>
        <w:tc>
          <w:tcPr>
            <w:tcW w:w="8162" w:type="dxa"/>
            <w:noWrap w:val="0"/>
            <w:vAlign w:val="center"/>
          </w:tcPr>
          <w:p w14:paraId="4179B12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3.2预测模型</w:t>
            </w:r>
          </w:p>
          <w:p w14:paraId="7CDC9A70">
            <w:pPr>
              <w:pStyle w:val="36"/>
              <w:keepNext w:val="0"/>
              <w:keepLines w:val="0"/>
              <w:pageBreakBefore w:val="0"/>
              <w:widowControl w:val="0"/>
              <w:numPr>
                <w:ilvl w:val="0"/>
                <w:numId w:val="0"/>
              </w:numPr>
              <w:suppressLineNumbers w:val="0"/>
              <w:tabs>
                <w:tab w:val="left" w:pos="312"/>
                <w:tab w:val="clear" w:pos="1845"/>
              </w:tabs>
              <w:kinsoku/>
              <w:wordWrap/>
              <w:overflowPunct/>
              <w:topLinePunct w:val="0"/>
              <w:autoSpaceDE w:val="0"/>
              <w:autoSpaceDN w:val="0"/>
              <w:bidi w:val="0"/>
              <w:adjustRightInd/>
              <w:snapToGrid/>
              <w:spacing w:before="0" w:beforeAutospacing="0" w:after="0" w:afterAutospacing="0" w:line="360" w:lineRule="auto"/>
              <w:ind w:right="0" w:rightChars="0"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根据项目建设内容及《环境影响评价技术导则 声环境》（HJ2.4-2021）的要求，本评价采用的模型为《环境影响评价技术导则 声环境》（HJ2.4-2021）附录A（规范性附录）户外声传播的衰减和附录B（规范性附录）中“B.1工业噪声预测计算模型”。</w:t>
            </w:r>
          </w:p>
          <w:p w14:paraId="77735CEF">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3.3预测参数</w:t>
            </w:r>
          </w:p>
          <w:p w14:paraId="2E5BD9A0">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表</w:t>
            </w:r>
            <w:r>
              <w:rPr>
                <w:rFonts w:hint="eastAsia"/>
                <w:b/>
                <w:bCs/>
                <w:color w:val="000000" w:themeColor="text1"/>
                <w:highlight w:val="none"/>
                <w:lang w:val="en-US" w:eastAsia="zh-CN"/>
                <w14:textFill>
                  <w14:solidFill>
                    <w14:schemeClr w14:val="tx1"/>
                  </w14:solidFill>
                </w14:textFill>
              </w:rPr>
              <w:t xml:space="preserve">4-16   </w:t>
            </w:r>
            <w:r>
              <w:rPr>
                <w:rFonts w:hint="default"/>
                <w:b/>
                <w:bCs/>
                <w:color w:val="000000" w:themeColor="text1"/>
                <w:highlight w:val="none"/>
                <w:lang w:val="en-US" w:eastAsia="zh-CN"/>
                <w14:textFill>
                  <w14:solidFill>
                    <w14:schemeClr w14:val="tx1"/>
                  </w14:solidFill>
                </w14:textFill>
              </w:rPr>
              <w:t>项目噪声环境影响预测基础数据表</w:t>
            </w:r>
          </w:p>
          <w:tbl>
            <w:tblPr>
              <w:tblStyle w:val="29"/>
              <w:tblW w:w="495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95"/>
              <w:gridCol w:w="2078"/>
              <w:gridCol w:w="1586"/>
              <w:gridCol w:w="1586"/>
              <w:gridCol w:w="1587"/>
            </w:tblGrid>
            <w:tr w14:paraId="26D2A87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8" w:type="dxa"/>
                  <w:tcBorders>
                    <w:tl2br w:val="nil"/>
                    <w:tr2bl w:val="nil"/>
                  </w:tcBorders>
                  <w:noWrap w:val="0"/>
                  <w:vAlign w:val="center"/>
                </w:tcPr>
                <w:p w14:paraId="5F74510D">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序号</w:t>
                  </w:r>
                </w:p>
              </w:tc>
              <w:tc>
                <w:tcPr>
                  <w:tcW w:w="2107" w:type="dxa"/>
                  <w:tcBorders>
                    <w:tl2br w:val="nil"/>
                    <w:tr2bl w:val="nil"/>
                  </w:tcBorders>
                  <w:noWrap w:val="0"/>
                  <w:vAlign w:val="center"/>
                </w:tcPr>
                <w:p w14:paraId="62C085D9">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名称</w:t>
                  </w:r>
                </w:p>
              </w:tc>
              <w:tc>
                <w:tcPr>
                  <w:tcW w:w="1608" w:type="dxa"/>
                  <w:tcBorders>
                    <w:tl2br w:val="nil"/>
                    <w:tr2bl w:val="nil"/>
                  </w:tcBorders>
                  <w:noWrap w:val="0"/>
                  <w:vAlign w:val="center"/>
                </w:tcPr>
                <w:p w14:paraId="5D24A6E9">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单位</w:t>
                  </w:r>
                </w:p>
              </w:tc>
              <w:tc>
                <w:tcPr>
                  <w:tcW w:w="1608" w:type="dxa"/>
                  <w:tcBorders>
                    <w:tl2br w:val="nil"/>
                    <w:tr2bl w:val="nil"/>
                  </w:tcBorders>
                  <w:noWrap w:val="0"/>
                  <w:vAlign w:val="center"/>
                </w:tcPr>
                <w:p w14:paraId="62DA27E9">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数据</w:t>
                  </w:r>
                </w:p>
              </w:tc>
              <w:tc>
                <w:tcPr>
                  <w:tcW w:w="1608" w:type="dxa"/>
                  <w:tcBorders>
                    <w:tl2br w:val="nil"/>
                    <w:tr2bl w:val="nil"/>
                  </w:tcBorders>
                  <w:noWrap w:val="0"/>
                  <w:vAlign w:val="center"/>
                </w:tcPr>
                <w:p w14:paraId="13DDCDCD">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备注</w:t>
                  </w:r>
                </w:p>
              </w:tc>
            </w:tr>
            <w:tr w14:paraId="16E4B1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1108" w:type="dxa"/>
                  <w:tcBorders>
                    <w:tl2br w:val="nil"/>
                    <w:tr2bl w:val="nil"/>
                  </w:tcBorders>
                  <w:shd w:val="clear" w:color="auto" w:fill="auto"/>
                  <w:noWrap w:val="0"/>
                  <w:vAlign w:val="center"/>
                </w:tcPr>
                <w:p w14:paraId="2C1C5107">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w:t>
                  </w:r>
                </w:p>
              </w:tc>
              <w:tc>
                <w:tcPr>
                  <w:tcW w:w="2107" w:type="dxa"/>
                  <w:tcBorders>
                    <w:tl2br w:val="nil"/>
                    <w:tr2bl w:val="nil"/>
                  </w:tcBorders>
                  <w:shd w:val="clear" w:color="auto" w:fill="auto"/>
                  <w:noWrap w:val="0"/>
                  <w:vAlign w:val="center"/>
                </w:tcPr>
                <w:p w14:paraId="28C65882">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年平均风速</w:t>
                  </w:r>
                </w:p>
              </w:tc>
              <w:tc>
                <w:tcPr>
                  <w:tcW w:w="1608" w:type="dxa"/>
                  <w:tcBorders>
                    <w:tl2br w:val="nil"/>
                    <w:tr2bl w:val="nil"/>
                  </w:tcBorders>
                  <w:shd w:val="clear" w:color="auto" w:fill="auto"/>
                  <w:noWrap w:val="0"/>
                  <w:vAlign w:val="center"/>
                </w:tcPr>
                <w:p w14:paraId="7399416E">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m/s</w:t>
                  </w:r>
                </w:p>
              </w:tc>
              <w:tc>
                <w:tcPr>
                  <w:tcW w:w="1608" w:type="dxa"/>
                  <w:tcBorders>
                    <w:tl2br w:val="nil"/>
                    <w:tr2bl w:val="nil"/>
                  </w:tcBorders>
                  <w:shd w:val="clear" w:color="auto" w:fill="auto"/>
                  <w:noWrap w:val="0"/>
                  <w:vAlign w:val="center"/>
                </w:tcPr>
                <w:p w14:paraId="5E0121F7">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2.2</w:t>
                  </w:r>
                </w:p>
              </w:tc>
              <w:tc>
                <w:tcPr>
                  <w:tcW w:w="1608" w:type="dxa"/>
                  <w:tcBorders>
                    <w:tl2br w:val="nil"/>
                    <w:tr2bl w:val="nil"/>
                  </w:tcBorders>
                  <w:shd w:val="clear" w:color="auto" w:fill="auto"/>
                  <w:noWrap w:val="0"/>
                  <w:vAlign w:val="center"/>
                </w:tcPr>
                <w:p w14:paraId="4DF4E40B">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7A1A63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1108" w:type="dxa"/>
                  <w:tcBorders>
                    <w:tl2br w:val="nil"/>
                    <w:tr2bl w:val="nil"/>
                  </w:tcBorders>
                  <w:shd w:val="clear" w:color="auto" w:fill="auto"/>
                  <w:noWrap w:val="0"/>
                  <w:vAlign w:val="center"/>
                </w:tcPr>
                <w:p w14:paraId="4DF590EB">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2</w:t>
                  </w:r>
                </w:p>
              </w:tc>
              <w:tc>
                <w:tcPr>
                  <w:tcW w:w="2107" w:type="dxa"/>
                  <w:tcBorders>
                    <w:tl2br w:val="nil"/>
                    <w:tr2bl w:val="nil"/>
                  </w:tcBorders>
                  <w:shd w:val="clear" w:color="auto" w:fill="auto"/>
                  <w:noWrap w:val="0"/>
                  <w:vAlign w:val="center"/>
                </w:tcPr>
                <w:p w14:paraId="6E5F1870">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主导风向</w:t>
                  </w:r>
                </w:p>
              </w:tc>
              <w:tc>
                <w:tcPr>
                  <w:tcW w:w="1608" w:type="dxa"/>
                  <w:tcBorders>
                    <w:tl2br w:val="nil"/>
                    <w:tr2bl w:val="nil"/>
                  </w:tcBorders>
                  <w:shd w:val="clear" w:color="auto" w:fill="auto"/>
                  <w:noWrap w:val="0"/>
                  <w:vAlign w:val="center"/>
                </w:tcPr>
                <w:p w14:paraId="22196F31">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p>
              </w:tc>
              <w:tc>
                <w:tcPr>
                  <w:tcW w:w="1608" w:type="dxa"/>
                  <w:tcBorders>
                    <w:tl2br w:val="nil"/>
                    <w:tr2bl w:val="nil"/>
                  </w:tcBorders>
                  <w:shd w:val="clear" w:color="auto" w:fill="auto"/>
                  <w:noWrap w:val="0"/>
                  <w:vAlign w:val="center"/>
                </w:tcPr>
                <w:p w14:paraId="6E8FA440">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西南</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风</w:t>
                  </w:r>
                </w:p>
              </w:tc>
              <w:tc>
                <w:tcPr>
                  <w:tcW w:w="1608" w:type="dxa"/>
                  <w:tcBorders>
                    <w:tl2br w:val="nil"/>
                    <w:tr2bl w:val="nil"/>
                  </w:tcBorders>
                  <w:shd w:val="clear" w:color="auto" w:fill="auto"/>
                  <w:noWrap w:val="0"/>
                  <w:vAlign w:val="center"/>
                </w:tcPr>
                <w:p w14:paraId="4CA362A6">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4AD8B88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1108" w:type="dxa"/>
                  <w:tcBorders>
                    <w:tl2br w:val="nil"/>
                    <w:tr2bl w:val="nil"/>
                  </w:tcBorders>
                  <w:shd w:val="clear" w:color="auto" w:fill="auto"/>
                  <w:noWrap w:val="0"/>
                  <w:vAlign w:val="center"/>
                </w:tcPr>
                <w:p w14:paraId="402DD484">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3</w:t>
                  </w:r>
                </w:p>
              </w:tc>
              <w:tc>
                <w:tcPr>
                  <w:tcW w:w="2107" w:type="dxa"/>
                  <w:tcBorders>
                    <w:tl2br w:val="nil"/>
                    <w:tr2bl w:val="nil"/>
                  </w:tcBorders>
                  <w:shd w:val="clear" w:color="auto" w:fill="auto"/>
                  <w:noWrap w:val="0"/>
                  <w:vAlign w:val="center"/>
                </w:tcPr>
                <w:p w14:paraId="44F2E495">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年平均气温</w:t>
                  </w:r>
                </w:p>
              </w:tc>
              <w:tc>
                <w:tcPr>
                  <w:tcW w:w="1608" w:type="dxa"/>
                  <w:tcBorders>
                    <w:tl2br w:val="nil"/>
                    <w:tr2bl w:val="nil"/>
                  </w:tcBorders>
                  <w:shd w:val="clear" w:color="auto" w:fill="auto"/>
                  <w:noWrap w:val="0"/>
                  <w:vAlign w:val="center"/>
                </w:tcPr>
                <w:p w14:paraId="0B2CD419">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p>
              </w:tc>
              <w:tc>
                <w:tcPr>
                  <w:tcW w:w="1608" w:type="dxa"/>
                  <w:tcBorders>
                    <w:tl2br w:val="nil"/>
                    <w:tr2bl w:val="nil"/>
                  </w:tcBorders>
                  <w:shd w:val="clear" w:color="auto" w:fill="auto"/>
                  <w:noWrap w:val="0"/>
                  <w:vAlign w:val="center"/>
                </w:tcPr>
                <w:p w14:paraId="401583EB">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7.1</w:t>
                  </w:r>
                </w:p>
              </w:tc>
              <w:tc>
                <w:tcPr>
                  <w:tcW w:w="1608" w:type="dxa"/>
                  <w:tcBorders>
                    <w:tl2br w:val="nil"/>
                    <w:tr2bl w:val="nil"/>
                  </w:tcBorders>
                  <w:shd w:val="clear" w:color="auto" w:fill="auto"/>
                  <w:noWrap w:val="0"/>
                  <w:vAlign w:val="center"/>
                </w:tcPr>
                <w:p w14:paraId="6F3D6F0B">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33A337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1108" w:type="dxa"/>
                  <w:tcBorders>
                    <w:tl2br w:val="nil"/>
                    <w:tr2bl w:val="nil"/>
                  </w:tcBorders>
                  <w:shd w:val="clear" w:color="auto" w:fill="auto"/>
                  <w:noWrap w:val="0"/>
                  <w:vAlign w:val="center"/>
                </w:tcPr>
                <w:p w14:paraId="175DBD30">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4</w:t>
                  </w:r>
                </w:p>
              </w:tc>
              <w:tc>
                <w:tcPr>
                  <w:tcW w:w="2107" w:type="dxa"/>
                  <w:tcBorders>
                    <w:tl2br w:val="nil"/>
                    <w:tr2bl w:val="nil"/>
                  </w:tcBorders>
                  <w:shd w:val="clear" w:color="auto" w:fill="auto"/>
                  <w:noWrap w:val="0"/>
                  <w:vAlign w:val="center"/>
                </w:tcPr>
                <w:p w14:paraId="711ACFA8">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年平均相对湿度</w:t>
                  </w:r>
                </w:p>
              </w:tc>
              <w:tc>
                <w:tcPr>
                  <w:tcW w:w="1608" w:type="dxa"/>
                  <w:tcBorders>
                    <w:tl2br w:val="nil"/>
                    <w:tr2bl w:val="nil"/>
                  </w:tcBorders>
                  <w:shd w:val="clear" w:color="auto" w:fill="auto"/>
                  <w:noWrap w:val="0"/>
                  <w:vAlign w:val="center"/>
                </w:tcPr>
                <w:p w14:paraId="15B2FB35">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p>
              </w:tc>
              <w:tc>
                <w:tcPr>
                  <w:tcW w:w="1608" w:type="dxa"/>
                  <w:tcBorders>
                    <w:tl2br w:val="nil"/>
                    <w:tr2bl w:val="nil"/>
                  </w:tcBorders>
                  <w:shd w:val="clear" w:color="auto" w:fill="auto"/>
                  <w:noWrap w:val="0"/>
                  <w:vAlign w:val="center"/>
                </w:tcPr>
                <w:p w14:paraId="0EAC065F">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62</w:t>
                  </w:r>
                </w:p>
              </w:tc>
              <w:tc>
                <w:tcPr>
                  <w:tcW w:w="1608" w:type="dxa"/>
                  <w:tcBorders>
                    <w:tl2br w:val="nil"/>
                    <w:tr2bl w:val="nil"/>
                  </w:tcBorders>
                  <w:shd w:val="clear" w:color="auto" w:fill="auto"/>
                  <w:noWrap w:val="0"/>
                  <w:vAlign w:val="center"/>
                </w:tcPr>
                <w:p w14:paraId="3A137CD4">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10D6D56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1108" w:type="dxa"/>
                  <w:tcBorders>
                    <w:tl2br w:val="nil"/>
                    <w:tr2bl w:val="nil"/>
                  </w:tcBorders>
                  <w:shd w:val="clear" w:color="auto" w:fill="auto"/>
                  <w:noWrap w:val="0"/>
                  <w:vAlign w:val="center"/>
                </w:tcPr>
                <w:p w14:paraId="7A11FE83">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5</w:t>
                  </w:r>
                </w:p>
              </w:tc>
              <w:tc>
                <w:tcPr>
                  <w:tcW w:w="2107" w:type="dxa"/>
                  <w:tcBorders>
                    <w:tl2br w:val="nil"/>
                    <w:tr2bl w:val="nil"/>
                  </w:tcBorders>
                  <w:shd w:val="clear" w:color="auto" w:fill="auto"/>
                  <w:noWrap w:val="0"/>
                  <w:vAlign w:val="center"/>
                </w:tcPr>
                <w:p w14:paraId="0591F256">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大气压强</w:t>
                  </w:r>
                </w:p>
              </w:tc>
              <w:tc>
                <w:tcPr>
                  <w:tcW w:w="1608" w:type="dxa"/>
                  <w:tcBorders>
                    <w:tl2br w:val="nil"/>
                    <w:tr2bl w:val="nil"/>
                  </w:tcBorders>
                  <w:shd w:val="clear" w:color="auto" w:fill="auto"/>
                  <w:noWrap w:val="0"/>
                  <w:vAlign w:val="center"/>
                </w:tcPr>
                <w:p w14:paraId="68BA7D30">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atm</w:t>
                  </w:r>
                </w:p>
              </w:tc>
              <w:tc>
                <w:tcPr>
                  <w:tcW w:w="1608" w:type="dxa"/>
                  <w:tcBorders>
                    <w:tl2br w:val="nil"/>
                    <w:tr2bl w:val="nil"/>
                  </w:tcBorders>
                  <w:shd w:val="clear" w:color="auto" w:fill="auto"/>
                  <w:noWrap w:val="0"/>
                  <w:vAlign w:val="center"/>
                </w:tcPr>
                <w:p w14:paraId="7432BB57">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w:t>
                  </w:r>
                </w:p>
              </w:tc>
              <w:tc>
                <w:tcPr>
                  <w:tcW w:w="1608" w:type="dxa"/>
                  <w:tcBorders>
                    <w:tl2br w:val="nil"/>
                    <w:tr2bl w:val="nil"/>
                  </w:tcBorders>
                  <w:shd w:val="clear" w:color="auto" w:fill="auto"/>
                  <w:noWrap w:val="0"/>
                  <w:vAlign w:val="center"/>
                </w:tcPr>
                <w:p w14:paraId="43979711">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bl>
          <w:p w14:paraId="5635F7FF">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3.4评价标准</w:t>
            </w:r>
          </w:p>
          <w:p w14:paraId="62A8431F">
            <w:pPr>
              <w:pStyle w:val="36"/>
              <w:keepNext w:val="0"/>
              <w:keepLines w:val="0"/>
              <w:pageBreakBefore w:val="0"/>
              <w:widowControl w:val="0"/>
              <w:numPr>
                <w:ilvl w:val="0"/>
                <w:numId w:val="0"/>
              </w:numPr>
              <w:suppressLineNumbers w:val="0"/>
              <w:tabs>
                <w:tab w:val="left" w:pos="312"/>
                <w:tab w:val="clear" w:pos="1845"/>
              </w:tabs>
              <w:kinsoku/>
              <w:wordWrap/>
              <w:overflowPunct/>
              <w:topLinePunct w:val="0"/>
              <w:autoSpaceDE w:val="0"/>
              <w:autoSpaceDN w:val="0"/>
              <w:bidi w:val="0"/>
              <w:adjustRightInd/>
              <w:snapToGrid/>
              <w:spacing w:before="0" w:beforeAutospacing="0" w:after="0" w:afterAutospacing="0" w:line="360" w:lineRule="auto"/>
              <w:ind w:right="0" w:rightChars="0"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评价标准采用《工业企业厂界环境噪声排放标准》（GB12348-2008）中</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类</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标准</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p>
          <w:p w14:paraId="76CE342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3.5预测结果</w:t>
            </w:r>
          </w:p>
          <w:p w14:paraId="69D586D5">
            <w:pPr>
              <w:pStyle w:val="36"/>
              <w:keepNext w:val="0"/>
              <w:keepLines w:val="0"/>
              <w:pageBreakBefore w:val="0"/>
              <w:widowControl w:val="0"/>
              <w:numPr>
                <w:ilvl w:val="0"/>
                <w:numId w:val="0"/>
              </w:numPr>
              <w:suppressLineNumbers w:val="0"/>
              <w:tabs>
                <w:tab w:val="left" w:pos="312"/>
                <w:tab w:val="clear" w:pos="1845"/>
              </w:tabs>
              <w:kinsoku/>
              <w:wordWrap/>
              <w:overflowPunct/>
              <w:topLinePunct w:val="0"/>
              <w:autoSpaceDE w:val="0"/>
              <w:autoSpaceDN w:val="0"/>
              <w:bidi w:val="0"/>
              <w:adjustRightInd/>
              <w:snapToGrid/>
              <w:spacing w:before="0" w:beforeAutospacing="0" w:after="0" w:afterAutospacing="0" w:line="360" w:lineRule="auto"/>
              <w:ind w:right="0" w:rightChars="0"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通过预测模型计算，项目厂界噪声预测结果与达标分析见表</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4-1</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7</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p>
          <w:p w14:paraId="6C4D6D3D">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表</w:t>
            </w:r>
            <w:r>
              <w:rPr>
                <w:rFonts w:hint="eastAsia"/>
                <w:b/>
                <w:bCs/>
                <w:color w:val="000000" w:themeColor="text1"/>
                <w:highlight w:val="none"/>
                <w:lang w:val="en-US" w:eastAsia="zh-CN"/>
                <w14:textFill>
                  <w14:solidFill>
                    <w14:schemeClr w14:val="tx1"/>
                  </w14:solidFill>
                </w14:textFill>
              </w:rPr>
              <w:t>4</w:t>
            </w:r>
            <w:r>
              <w:rPr>
                <w:rFonts w:hint="default"/>
                <w:b/>
                <w:bCs/>
                <w:color w:val="000000" w:themeColor="text1"/>
                <w:highlight w:val="none"/>
                <w:lang w:val="en-US" w:eastAsia="zh-CN"/>
                <w14:textFill>
                  <w14:solidFill>
                    <w14:schemeClr w14:val="tx1"/>
                  </w14:solidFill>
                </w14:textFill>
              </w:rPr>
              <w:t>-</w:t>
            </w:r>
            <w:r>
              <w:rPr>
                <w:rFonts w:hint="eastAsia"/>
                <w:b/>
                <w:bCs/>
                <w:color w:val="000000" w:themeColor="text1"/>
                <w:highlight w:val="none"/>
                <w:lang w:val="en-US" w:eastAsia="zh-CN"/>
                <w14:textFill>
                  <w14:solidFill>
                    <w14:schemeClr w14:val="tx1"/>
                  </w14:solidFill>
                </w14:textFill>
              </w:rPr>
              <w:t>17</w:t>
            </w:r>
            <w:r>
              <w:rPr>
                <w:rFonts w:hint="default"/>
                <w:b/>
                <w:bCs/>
                <w:color w:val="000000" w:themeColor="text1"/>
                <w:highlight w:val="none"/>
                <w:lang w:val="en-US" w:eastAsia="zh-CN"/>
                <w14:textFill>
                  <w14:solidFill>
                    <w14:schemeClr w14:val="tx1"/>
                  </w14:solidFill>
                </w14:textFill>
              </w:rPr>
              <w:t xml:space="preserve">  </w:t>
            </w:r>
            <w:r>
              <w:rPr>
                <w:rFonts w:hint="eastAsia"/>
                <w:b/>
                <w:bCs/>
                <w:color w:val="000000" w:themeColor="text1"/>
                <w:highlight w:val="none"/>
                <w:lang w:val="en-US" w:eastAsia="zh-CN"/>
                <w14:textFill>
                  <w14:solidFill>
                    <w14:schemeClr w14:val="tx1"/>
                  </w14:solidFill>
                </w14:textFill>
              </w:rPr>
              <w:t xml:space="preserve"> </w:t>
            </w:r>
            <w:r>
              <w:rPr>
                <w:rFonts w:hint="default"/>
                <w:b/>
                <w:bCs/>
                <w:color w:val="000000" w:themeColor="text1"/>
                <w:highlight w:val="none"/>
                <w:lang w:val="en-US" w:eastAsia="zh-CN"/>
                <w14:textFill>
                  <w14:solidFill>
                    <w14:schemeClr w14:val="tx1"/>
                  </w14:solidFill>
                </w14:textFill>
              </w:rPr>
              <w:t>厂界噪声预测结果与达标分析表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754"/>
              <w:gridCol w:w="755"/>
              <w:gridCol w:w="756"/>
              <w:gridCol w:w="933"/>
              <w:gridCol w:w="1332"/>
              <w:gridCol w:w="1333"/>
              <w:gridCol w:w="1116"/>
            </w:tblGrid>
            <w:tr w14:paraId="39B902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3" w:type="dxa"/>
                  <w:vMerge w:val="restart"/>
                  <w:tcBorders>
                    <w:tl2br w:val="nil"/>
                    <w:tr2bl w:val="nil"/>
                  </w:tcBorders>
                  <w:vAlign w:val="center"/>
                </w:tcPr>
                <w:p w14:paraId="4406DEEB">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预测方位</w:t>
                  </w:r>
                </w:p>
              </w:tc>
              <w:tc>
                <w:tcPr>
                  <w:tcW w:w="2260" w:type="dxa"/>
                  <w:gridSpan w:val="3"/>
                  <w:tcBorders>
                    <w:tl2br w:val="nil"/>
                    <w:tr2bl w:val="nil"/>
                  </w:tcBorders>
                  <w:vAlign w:val="center"/>
                </w:tcPr>
                <w:p w14:paraId="6201F130">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最大值点</w:t>
                  </w:r>
                  <w:r>
                    <w:rPr>
                      <w:rFonts w:hint="default" w:ascii="Times New Roman" w:hAnsi="Times New Roman" w:eastAsia="宋体" w:cs="Times New Roman"/>
                      <w:b/>
                      <w:color w:val="000000" w:themeColor="text1"/>
                      <w:sz w:val="21"/>
                      <w:szCs w:val="21"/>
                      <w14:textFill>
                        <w14:solidFill>
                          <w14:schemeClr w14:val="tx1"/>
                        </w14:solidFill>
                      </w14:textFill>
                    </w:rPr>
                    <w:t>空间相对位置/m</w:t>
                  </w:r>
                </w:p>
              </w:tc>
              <w:tc>
                <w:tcPr>
                  <w:tcW w:w="931" w:type="dxa"/>
                  <w:vMerge w:val="restart"/>
                  <w:tcBorders>
                    <w:tl2br w:val="nil"/>
                    <w:tr2bl w:val="nil"/>
                  </w:tcBorders>
                  <w:vAlign w:val="center"/>
                </w:tcPr>
                <w:p w14:paraId="481A5CB9">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时段</w:t>
                  </w:r>
                </w:p>
              </w:tc>
              <w:tc>
                <w:tcPr>
                  <w:tcW w:w="1329" w:type="dxa"/>
                  <w:vMerge w:val="restart"/>
                  <w:tcBorders>
                    <w:tl2br w:val="nil"/>
                    <w:tr2bl w:val="nil"/>
                  </w:tcBorders>
                  <w:vAlign w:val="center"/>
                </w:tcPr>
                <w:p w14:paraId="3411454A">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贡献值（dB(A)）</w:t>
                  </w:r>
                </w:p>
              </w:tc>
              <w:tc>
                <w:tcPr>
                  <w:tcW w:w="1330" w:type="dxa"/>
                  <w:vMerge w:val="restart"/>
                  <w:tcBorders>
                    <w:tl2br w:val="nil"/>
                    <w:tr2bl w:val="nil"/>
                  </w:tcBorders>
                  <w:vAlign w:val="center"/>
                </w:tcPr>
                <w:p w14:paraId="713AFAE8">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标准限值（dB(A)）</w:t>
                  </w:r>
                </w:p>
              </w:tc>
              <w:tc>
                <w:tcPr>
                  <w:tcW w:w="1114" w:type="dxa"/>
                  <w:vMerge w:val="restart"/>
                  <w:tcBorders>
                    <w:tl2br w:val="nil"/>
                    <w:tr2bl w:val="nil"/>
                  </w:tcBorders>
                  <w:vAlign w:val="center"/>
                </w:tcPr>
                <w:p w14:paraId="14C614C7">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达标情况</w:t>
                  </w:r>
                </w:p>
              </w:tc>
            </w:tr>
            <w:tr w14:paraId="3716A8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3" w:type="dxa"/>
                  <w:vMerge w:val="continue"/>
                  <w:tcBorders>
                    <w:tl2br w:val="nil"/>
                    <w:tr2bl w:val="nil"/>
                  </w:tcBorders>
                  <w:shd w:val="clear" w:color="auto" w:fill="FFFFFF"/>
                  <w:vAlign w:val="center"/>
                </w:tcPr>
                <w:p w14:paraId="4DEAEB1F">
                  <w:pPr>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753" w:type="dxa"/>
                  <w:tcBorders>
                    <w:tl2br w:val="nil"/>
                    <w:tr2bl w:val="nil"/>
                  </w:tcBorders>
                  <w:shd w:val="clear" w:color="auto" w:fill="FFFFFF"/>
                  <w:vAlign w:val="center"/>
                </w:tcPr>
                <w:p w14:paraId="6D973BA6">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X</w:t>
                  </w:r>
                </w:p>
              </w:tc>
              <w:tc>
                <w:tcPr>
                  <w:tcW w:w="753" w:type="dxa"/>
                  <w:tcBorders>
                    <w:tl2br w:val="nil"/>
                    <w:tr2bl w:val="nil"/>
                  </w:tcBorders>
                  <w:shd w:val="clear" w:color="auto" w:fill="FFFFFF"/>
                  <w:vAlign w:val="center"/>
                </w:tcPr>
                <w:p w14:paraId="36C733D4">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w:t>
                  </w:r>
                </w:p>
              </w:tc>
              <w:tc>
                <w:tcPr>
                  <w:tcW w:w="754" w:type="dxa"/>
                  <w:tcBorders>
                    <w:tl2br w:val="nil"/>
                    <w:tr2bl w:val="nil"/>
                  </w:tcBorders>
                  <w:shd w:val="clear" w:color="auto" w:fill="FFFFFF"/>
                  <w:vAlign w:val="center"/>
                </w:tcPr>
                <w:p w14:paraId="3A12291D">
                  <w:pPr>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Z</w:t>
                  </w:r>
                </w:p>
              </w:tc>
              <w:tc>
                <w:tcPr>
                  <w:tcW w:w="931" w:type="dxa"/>
                  <w:vMerge w:val="continue"/>
                  <w:tcBorders>
                    <w:tl2br w:val="nil"/>
                    <w:tr2bl w:val="nil"/>
                  </w:tcBorders>
                  <w:shd w:val="clear" w:color="auto" w:fill="FFFFFF"/>
                  <w:vAlign w:val="center"/>
                </w:tcPr>
                <w:p w14:paraId="662A00D8">
                  <w:pPr>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329" w:type="dxa"/>
                  <w:vMerge w:val="continue"/>
                  <w:tcBorders>
                    <w:tl2br w:val="nil"/>
                    <w:tr2bl w:val="nil"/>
                  </w:tcBorders>
                  <w:shd w:val="clear" w:color="auto" w:fill="FFFFFF"/>
                  <w:vAlign w:val="center"/>
                </w:tcPr>
                <w:p w14:paraId="2B3C7270">
                  <w:pPr>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330" w:type="dxa"/>
                  <w:vMerge w:val="continue"/>
                  <w:tcBorders>
                    <w:tl2br w:val="nil"/>
                    <w:tr2bl w:val="nil"/>
                  </w:tcBorders>
                  <w:shd w:val="clear" w:color="auto" w:fill="FFFFFF"/>
                  <w:vAlign w:val="center"/>
                </w:tcPr>
                <w:p w14:paraId="1F25BFC2">
                  <w:pPr>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114" w:type="dxa"/>
                  <w:vMerge w:val="continue"/>
                  <w:tcBorders>
                    <w:tl2br w:val="nil"/>
                    <w:tr2bl w:val="nil"/>
                  </w:tcBorders>
                  <w:shd w:val="clear" w:color="auto" w:fill="FFFFFF"/>
                  <w:vAlign w:val="center"/>
                </w:tcPr>
                <w:p w14:paraId="04294247">
                  <w:pPr>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508AE4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restart"/>
                  <w:tcBorders>
                    <w:tl2br w:val="nil"/>
                    <w:tr2bl w:val="nil"/>
                  </w:tcBorders>
                  <w:shd w:val="clear" w:color="auto" w:fill="FFFFFF"/>
                  <w:vAlign w:val="center"/>
                </w:tcPr>
                <w:p w14:paraId="6248FF1E">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东侧</w:t>
                  </w:r>
                </w:p>
              </w:tc>
              <w:tc>
                <w:tcPr>
                  <w:tcW w:w="753" w:type="dxa"/>
                  <w:tcBorders>
                    <w:tl2br w:val="nil"/>
                    <w:tr2bl w:val="nil"/>
                  </w:tcBorders>
                  <w:shd w:val="clear" w:color="auto" w:fill="FFFFFF"/>
                  <w:vAlign w:val="center"/>
                </w:tcPr>
                <w:p w14:paraId="099CDCFC">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39.5</w:t>
                  </w:r>
                </w:p>
              </w:tc>
              <w:tc>
                <w:tcPr>
                  <w:tcW w:w="753" w:type="dxa"/>
                  <w:tcBorders>
                    <w:tl2br w:val="nil"/>
                    <w:tr2bl w:val="nil"/>
                  </w:tcBorders>
                  <w:shd w:val="clear" w:color="auto" w:fill="FFFFFF"/>
                  <w:vAlign w:val="center"/>
                </w:tcPr>
                <w:p w14:paraId="6308C51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-73.3</w:t>
                  </w:r>
                </w:p>
              </w:tc>
              <w:tc>
                <w:tcPr>
                  <w:tcW w:w="754" w:type="dxa"/>
                  <w:tcBorders>
                    <w:tl2br w:val="nil"/>
                    <w:tr2bl w:val="nil"/>
                  </w:tcBorders>
                  <w:shd w:val="clear" w:color="auto" w:fill="FFFFFF"/>
                  <w:vAlign w:val="center"/>
                </w:tcPr>
                <w:p w14:paraId="593FE54C">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39D4B65C">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昼间</w:t>
                  </w:r>
                </w:p>
              </w:tc>
              <w:tc>
                <w:tcPr>
                  <w:tcW w:w="1329" w:type="dxa"/>
                  <w:tcBorders>
                    <w:tl2br w:val="nil"/>
                    <w:tr2bl w:val="nil"/>
                  </w:tcBorders>
                  <w:shd w:val="clear" w:color="auto" w:fill="FFFFFF"/>
                  <w:vAlign w:val="center"/>
                </w:tcPr>
                <w:p w14:paraId="124921E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48.9</w:t>
                  </w:r>
                </w:p>
              </w:tc>
              <w:tc>
                <w:tcPr>
                  <w:tcW w:w="1330" w:type="dxa"/>
                  <w:tcBorders>
                    <w:tl2br w:val="nil"/>
                    <w:tr2bl w:val="nil"/>
                  </w:tcBorders>
                  <w:shd w:val="clear" w:color="auto" w:fill="FFFFFF"/>
                  <w:vAlign w:val="center"/>
                </w:tcPr>
                <w:p w14:paraId="3F0E63CB">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60</w:t>
                  </w:r>
                </w:p>
              </w:tc>
              <w:tc>
                <w:tcPr>
                  <w:tcW w:w="1114" w:type="dxa"/>
                  <w:tcBorders>
                    <w:tl2br w:val="nil"/>
                    <w:tr2bl w:val="nil"/>
                  </w:tcBorders>
                  <w:shd w:val="clear" w:color="auto" w:fill="FFFFFF"/>
                  <w:vAlign w:val="center"/>
                </w:tcPr>
                <w:p w14:paraId="492B47A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2B0BB4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continue"/>
                  <w:tcBorders>
                    <w:tl2br w:val="nil"/>
                    <w:tr2bl w:val="nil"/>
                  </w:tcBorders>
                  <w:shd w:val="clear" w:color="auto" w:fill="FFFFFF"/>
                  <w:vAlign w:val="center"/>
                </w:tcPr>
                <w:p w14:paraId="5A2A8932">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753" w:type="dxa"/>
                  <w:tcBorders>
                    <w:tl2br w:val="nil"/>
                    <w:tr2bl w:val="nil"/>
                  </w:tcBorders>
                  <w:shd w:val="clear" w:color="auto" w:fill="FFFFFF"/>
                  <w:vAlign w:val="center"/>
                </w:tcPr>
                <w:p w14:paraId="3CF2B4D8">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39.5</w:t>
                  </w:r>
                </w:p>
              </w:tc>
              <w:tc>
                <w:tcPr>
                  <w:tcW w:w="753" w:type="dxa"/>
                  <w:tcBorders>
                    <w:tl2br w:val="nil"/>
                    <w:tr2bl w:val="nil"/>
                  </w:tcBorders>
                  <w:shd w:val="clear" w:color="auto" w:fill="FFFFFF"/>
                  <w:vAlign w:val="center"/>
                </w:tcPr>
                <w:p w14:paraId="1171AB4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-73.3</w:t>
                  </w:r>
                </w:p>
              </w:tc>
              <w:tc>
                <w:tcPr>
                  <w:tcW w:w="754" w:type="dxa"/>
                  <w:tcBorders>
                    <w:tl2br w:val="nil"/>
                    <w:tr2bl w:val="nil"/>
                  </w:tcBorders>
                  <w:shd w:val="clear" w:color="auto" w:fill="FFFFFF"/>
                  <w:vAlign w:val="center"/>
                </w:tcPr>
                <w:p w14:paraId="075B918C">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5F8EDACB">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夜间</w:t>
                  </w:r>
                </w:p>
              </w:tc>
              <w:tc>
                <w:tcPr>
                  <w:tcW w:w="1329" w:type="dxa"/>
                  <w:tcBorders>
                    <w:tl2br w:val="nil"/>
                    <w:tr2bl w:val="nil"/>
                  </w:tcBorders>
                  <w:shd w:val="clear" w:color="auto" w:fill="FFFFFF"/>
                  <w:vAlign w:val="center"/>
                </w:tcPr>
                <w:p w14:paraId="1E0E681D">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48.9</w:t>
                  </w:r>
                </w:p>
              </w:tc>
              <w:tc>
                <w:tcPr>
                  <w:tcW w:w="1330" w:type="dxa"/>
                  <w:tcBorders>
                    <w:tl2br w:val="nil"/>
                    <w:tr2bl w:val="nil"/>
                  </w:tcBorders>
                  <w:shd w:val="clear" w:color="auto" w:fill="FFFFFF"/>
                  <w:vAlign w:val="center"/>
                </w:tcPr>
                <w:p w14:paraId="398F0F00">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50</w:t>
                  </w:r>
                </w:p>
              </w:tc>
              <w:tc>
                <w:tcPr>
                  <w:tcW w:w="1114" w:type="dxa"/>
                  <w:tcBorders>
                    <w:tl2br w:val="nil"/>
                    <w:tr2bl w:val="nil"/>
                  </w:tcBorders>
                  <w:shd w:val="clear" w:color="auto" w:fill="FFFFFF"/>
                  <w:vAlign w:val="center"/>
                </w:tcPr>
                <w:p w14:paraId="63C2F3F2">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23D76E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restart"/>
                  <w:tcBorders>
                    <w:tl2br w:val="nil"/>
                    <w:tr2bl w:val="nil"/>
                  </w:tcBorders>
                  <w:shd w:val="clear" w:color="auto" w:fill="FFFFFF"/>
                  <w:vAlign w:val="center"/>
                </w:tcPr>
                <w:p w14:paraId="30ACBBE7">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南侧</w:t>
                  </w:r>
                </w:p>
              </w:tc>
              <w:tc>
                <w:tcPr>
                  <w:tcW w:w="753" w:type="dxa"/>
                  <w:tcBorders>
                    <w:tl2br w:val="nil"/>
                    <w:tr2bl w:val="nil"/>
                  </w:tcBorders>
                  <w:shd w:val="clear" w:color="auto" w:fill="FFFFFF"/>
                  <w:vAlign w:val="center"/>
                </w:tcPr>
                <w:p w14:paraId="267989D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-7.9</w:t>
                  </w:r>
                </w:p>
              </w:tc>
              <w:tc>
                <w:tcPr>
                  <w:tcW w:w="753" w:type="dxa"/>
                  <w:tcBorders>
                    <w:tl2br w:val="nil"/>
                    <w:tr2bl w:val="nil"/>
                  </w:tcBorders>
                  <w:shd w:val="clear" w:color="auto" w:fill="FFFFFF"/>
                  <w:vAlign w:val="center"/>
                </w:tcPr>
                <w:p w14:paraId="1E81B32A">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-124.7</w:t>
                  </w:r>
                </w:p>
              </w:tc>
              <w:tc>
                <w:tcPr>
                  <w:tcW w:w="754" w:type="dxa"/>
                  <w:tcBorders>
                    <w:tl2br w:val="nil"/>
                    <w:tr2bl w:val="nil"/>
                  </w:tcBorders>
                  <w:shd w:val="clear" w:color="auto" w:fill="FFFFFF"/>
                  <w:vAlign w:val="center"/>
                </w:tcPr>
                <w:p w14:paraId="5B43E1C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6C6FA7FE">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昼间</w:t>
                  </w:r>
                </w:p>
              </w:tc>
              <w:tc>
                <w:tcPr>
                  <w:tcW w:w="1329" w:type="dxa"/>
                  <w:tcBorders>
                    <w:tl2br w:val="nil"/>
                    <w:tr2bl w:val="nil"/>
                  </w:tcBorders>
                  <w:shd w:val="clear" w:color="auto" w:fill="FFFFFF"/>
                  <w:vAlign w:val="center"/>
                </w:tcPr>
                <w:p w14:paraId="427C09AC">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41.3</w:t>
                  </w:r>
                </w:p>
              </w:tc>
              <w:tc>
                <w:tcPr>
                  <w:tcW w:w="1330" w:type="dxa"/>
                  <w:tcBorders>
                    <w:tl2br w:val="nil"/>
                    <w:tr2bl w:val="nil"/>
                  </w:tcBorders>
                  <w:shd w:val="clear" w:color="auto" w:fill="FFFFFF"/>
                  <w:vAlign w:val="center"/>
                </w:tcPr>
                <w:p w14:paraId="3F6E75E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60</w:t>
                  </w:r>
                </w:p>
              </w:tc>
              <w:tc>
                <w:tcPr>
                  <w:tcW w:w="1114" w:type="dxa"/>
                  <w:tcBorders>
                    <w:tl2br w:val="nil"/>
                    <w:tr2bl w:val="nil"/>
                  </w:tcBorders>
                  <w:shd w:val="clear" w:color="auto" w:fill="FFFFFF"/>
                  <w:vAlign w:val="center"/>
                </w:tcPr>
                <w:p w14:paraId="02DF833A">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35DEC4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continue"/>
                  <w:tcBorders>
                    <w:tl2br w:val="nil"/>
                    <w:tr2bl w:val="nil"/>
                  </w:tcBorders>
                  <w:shd w:val="clear" w:color="auto" w:fill="FFFFFF"/>
                  <w:vAlign w:val="center"/>
                </w:tcPr>
                <w:p w14:paraId="2CED9026">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753" w:type="dxa"/>
                  <w:tcBorders>
                    <w:tl2br w:val="nil"/>
                    <w:tr2bl w:val="nil"/>
                  </w:tcBorders>
                  <w:shd w:val="clear" w:color="auto" w:fill="FFFFFF"/>
                  <w:vAlign w:val="center"/>
                </w:tcPr>
                <w:p w14:paraId="4FDA8499">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-7.9</w:t>
                  </w:r>
                </w:p>
              </w:tc>
              <w:tc>
                <w:tcPr>
                  <w:tcW w:w="753" w:type="dxa"/>
                  <w:tcBorders>
                    <w:tl2br w:val="nil"/>
                    <w:tr2bl w:val="nil"/>
                  </w:tcBorders>
                  <w:shd w:val="clear" w:color="auto" w:fill="FFFFFF"/>
                  <w:vAlign w:val="center"/>
                </w:tcPr>
                <w:p w14:paraId="1B9FDC2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-124.7</w:t>
                  </w:r>
                </w:p>
              </w:tc>
              <w:tc>
                <w:tcPr>
                  <w:tcW w:w="754" w:type="dxa"/>
                  <w:tcBorders>
                    <w:tl2br w:val="nil"/>
                    <w:tr2bl w:val="nil"/>
                  </w:tcBorders>
                  <w:shd w:val="clear" w:color="auto" w:fill="FFFFFF"/>
                  <w:vAlign w:val="center"/>
                </w:tcPr>
                <w:p w14:paraId="63BEA72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5A0ADB3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夜间</w:t>
                  </w:r>
                </w:p>
              </w:tc>
              <w:tc>
                <w:tcPr>
                  <w:tcW w:w="1329" w:type="dxa"/>
                  <w:tcBorders>
                    <w:tl2br w:val="nil"/>
                    <w:tr2bl w:val="nil"/>
                  </w:tcBorders>
                  <w:shd w:val="clear" w:color="auto" w:fill="FFFFFF"/>
                  <w:vAlign w:val="center"/>
                </w:tcPr>
                <w:p w14:paraId="3B8002C6">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41.3</w:t>
                  </w:r>
                </w:p>
              </w:tc>
              <w:tc>
                <w:tcPr>
                  <w:tcW w:w="1330" w:type="dxa"/>
                  <w:tcBorders>
                    <w:tl2br w:val="nil"/>
                    <w:tr2bl w:val="nil"/>
                  </w:tcBorders>
                  <w:shd w:val="clear" w:color="auto" w:fill="FFFFFF"/>
                  <w:vAlign w:val="center"/>
                </w:tcPr>
                <w:p w14:paraId="522F0EAB">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50</w:t>
                  </w:r>
                </w:p>
              </w:tc>
              <w:tc>
                <w:tcPr>
                  <w:tcW w:w="1114" w:type="dxa"/>
                  <w:tcBorders>
                    <w:tl2br w:val="nil"/>
                    <w:tr2bl w:val="nil"/>
                  </w:tcBorders>
                  <w:shd w:val="clear" w:color="auto" w:fill="FFFFFF"/>
                  <w:vAlign w:val="center"/>
                </w:tcPr>
                <w:p w14:paraId="0C4C65BC">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6C85E7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restart"/>
                  <w:tcBorders>
                    <w:tl2br w:val="nil"/>
                    <w:tr2bl w:val="nil"/>
                  </w:tcBorders>
                  <w:shd w:val="clear" w:color="auto" w:fill="FFFFFF"/>
                  <w:vAlign w:val="center"/>
                </w:tcPr>
                <w:p w14:paraId="79174AEA">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西侧</w:t>
                  </w:r>
                </w:p>
              </w:tc>
              <w:tc>
                <w:tcPr>
                  <w:tcW w:w="753" w:type="dxa"/>
                  <w:tcBorders>
                    <w:tl2br w:val="nil"/>
                    <w:tr2bl w:val="nil"/>
                  </w:tcBorders>
                  <w:shd w:val="clear" w:color="auto" w:fill="FFFFFF"/>
                  <w:vAlign w:val="center"/>
                </w:tcPr>
                <w:p w14:paraId="471C45F8">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-31.2</w:t>
                  </w:r>
                </w:p>
              </w:tc>
              <w:tc>
                <w:tcPr>
                  <w:tcW w:w="753" w:type="dxa"/>
                  <w:tcBorders>
                    <w:tl2br w:val="nil"/>
                    <w:tr2bl w:val="nil"/>
                  </w:tcBorders>
                  <w:shd w:val="clear" w:color="auto" w:fill="FFFFFF"/>
                  <w:vAlign w:val="center"/>
                </w:tcPr>
                <w:p w14:paraId="2AC560E0">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50</w:t>
                  </w:r>
                </w:p>
              </w:tc>
              <w:tc>
                <w:tcPr>
                  <w:tcW w:w="754" w:type="dxa"/>
                  <w:tcBorders>
                    <w:tl2br w:val="nil"/>
                    <w:tr2bl w:val="nil"/>
                  </w:tcBorders>
                  <w:shd w:val="clear" w:color="auto" w:fill="FFFFFF"/>
                  <w:vAlign w:val="center"/>
                </w:tcPr>
                <w:p w14:paraId="42341CA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10BEC049">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昼间</w:t>
                  </w:r>
                </w:p>
              </w:tc>
              <w:tc>
                <w:tcPr>
                  <w:tcW w:w="1329" w:type="dxa"/>
                  <w:tcBorders>
                    <w:tl2br w:val="nil"/>
                    <w:tr2bl w:val="nil"/>
                  </w:tcBorders>
                  <w:shd w:val="clear" w:color="auto" w:fill="FFFFFF"/>
                  <w:vAlign w:val="center"/>
                </w:tcPr>
                <w:p w14:paraId="786973D6">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48</w:t>
                  </w:r>
                </w:p>
              </w:tc>
              <w:tc>
                <w:tcPr>
                  <w:tcW w:w="1330" w:type="dxa"/>
                  <w:tcBorders>
                    <w:tl2br w:val="nil"/>
                    <w:tr2bl w:val="nil"/>
                  </w:tcBorders>
                  <w:shd w:val="clear" w:color="auto" w:fill="FFFFFF"/>
                  <w:vAlign w:val="center"/>
                </w:tcPr>
                <w:p w14:paraId="7539C6C6">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60</w:t>
                  </w:r>
                </w:p>
              </w:tc>
              <w:tc>
                <w:tcPr>
                  <w:tcW w:w="1114" w:type="dxa"/>
                  <w:tcBorders>
                    <w:tl2br w:val="nil"/>
                    <w:tr2bl w:val="nil"/>
                  </w:tcBorders>
                  <w:shd w:val="clear" w:color="auto" w:fill="FFFFFF"/>
                  <w:vAlign w:val="center"/>
                </w:tcPr>
                <w:p w14:paraId="622DF85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1F9B0F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continue"/>
                  <w:tcBorders>
                    <w:tl2br w:val="nil"/>
                    <w:tr2bl w:val="nil"/>
                  </w:tcBorders>
                  <w:shd w:val="clear" w:color="auto" w:fill="FFFFFF"/>
                  <w:vAlign w:val="center"/>
                </w:tcPr>
                <w:p w14:paraId="7EDA7FEC">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753" w:type="dxa"/>
                  <w:tcBorders>
                    <w:tl2br w:val="nil"/>
                    <w:tr2bl w:val="nil"/>
                  </w:tcBorders>
                  <w:shd w:val="clear" w:color="auto" w:fill="FFFFFF"/>
                  <w:vAlign w:val="center"/>
                </w:tcPr>
                <w:p w14:paraId="3244B2A5">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-31.2</w:t>
                  </w:r>
                </w:p>
              </w:tc>
              <w:tc>
                <w:tcPr>
                  <w:tcW w:w="753" w:type="dxa"/>
                  <w:tcBorders>
                    <w:tl2br w:val="nil"/>
                    <w:tr2bl w:val="nil"/>
                  </w:tcBorders>
                  <w:shd w:val="clear" w:color="auto" w:fill="FFFFFF"/>
                  <w:vAlign w:val="center"/>
                </w:tcPr>
                <w:p w14:paraId="5B3D79A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50</w:t>
                  </w:r>
                </w:p>
              </w:tc>
              <w:tc>
                <w:tcPr>
                  <w:tcW w:w="754" w:type="dxa"/>
                  <w:tcBorders>
                    <w:tl2br w:val="nil"/>
                    <w:tr2bl w:val="nil"/>
                  </w:tcBorders>
                  <w:shd w:val="clear" w:color="auto" w:fill="FFFFFF"/>
                  <w:vAlign w:val="center"/>
                </w:tcPr>
                <w:p w14:paraId="29714B41">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531CC460">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夜间</w:t>
                  </w:r>
                </w:p>
              </w:tc>
              <w:tc>
                <w:tcPr>
                  <w:tcW w:w="1329" w:type="dxa"/>
                  <w:tcBorders>
                    <w:tl2br w:val="nil"/>
                    <w:tr2bl w:val="nil"/>
                  </w:tcBorders>
                  <w:shd w:val="clear" w:color="auto" w:fill="FFFFFF"/>
                  <w:vAlign w:val="center"/>
                </w:tcPr>
                <w:p w14:paraId="5A74D030">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48</w:t>
                  </w:r>
                </w:p>
              </w:tc>
              <w:tc>
                <w:tcPr>
                  <w:tcW w:w="1330" w:type="dxa"/>
                  <w:tcBorders>
                    <w:tl2br w:val="nil"/>
                    <w:tr2bl w:val="nil"/>
                  </w:tcBorders>
                  <w:shd w:val="clear" w:color="auto" w:fill="FFFFFF"/>
                  <w:vAlign w:val="center"/>
                </w:tcPr>
                <w:p w14:paraId="5D8103A1">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50</w:t>
                  </w:r>
                </w:p>
              </w:tc>
              <w:tc>
                <w:tcPr>
                  <w:tcW w:w="1114" w:type="dxa"/>
                  <w:tcBorders>
                    <w:tl2br w:val="nil"/>
                    <w:tr2bl w:val="nil"/>
                  </w:tcBorders>
                  <w:shd w:val="clear" w:color="auto" w:fill="FFFFFF"/>
                  <w:vAlign w:val="center"/>
                </w:tcPr>
                <w:p w14:paraId="6050CEF5">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11160A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restart"/>
                  <w:tcBorders>
                    <w:tl2br w:val="nil"/>
                    <w:tr2bl w:val="nil"/>
                  </w:tcBorders>
                  <w:shd w:val="clear" w:color="auto" w:fill="FFFFFF"/>
                  <w:vAlign w:val="center"/>
                </w:tcPr>
                <w:p w14:paraId="3F78776A">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北侧</w:t>
                  </w:r>
                </w:p>
              </w:tc>
              <w:tc>
                <w:tcPr>
                  <w:tcW w:w="753" w:type="dxa"/>
                  <w:tcBorders>
                    <w:tl2br w:val="nil"/>
                    <w:tr2bl w:val="nil"/>
                  </w:tcBorders>
                  <w:shd w:val="clear" w:color="auto" w:fill="FFFFFF"/>
                  <w:vAlign w:val="center"/>
                </w:tcPr>
                <w:p w14:paraId="38E1EA7E">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-0.4</w:t>
                  </w:r>
                </w:p>
              </w:tc>
              <w:tc>
                <w:tcPr>
                  <w:tcW w:w="753" w:type="dxa"/>
                  <w:tcBorders>
                    <w:tl2br w:val="nil"/>
                    <w:tr2bl w:val="nil"/>
                  </w:tcBorders>
                  <w:shd w:val="clear" w:color="auto" w:fill="FFFFFF"/>
                  <w:vAlign w:val="center"/>
                </w:tcPr>
                <w:p w14:paraId="05A2699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151</w:t>
                  </w:r>
                </w:p>
              </w:tc>
              <w:tc>
                <w:tcPr>
                  <w:tcW w:w="754" w:type="dxa"/>
                  <w:tcBorders>
                    <w:tl2br w:val="nil"/>
                    <w:tr2bl w:val="nil"/>
                  </w:tcBorders>
                  <w:shd w:val="clear" w:color="auto" w:fill="FFFFFF"/>
                  <w:vAlign w:val="center"/>
                </w:tcPr>
                <w:p w14:paraId="6F5B1D58">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108257E1">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昼间</w:t>
                  </w:r>
                </w:p>
              </w:tc>
              <w:tc>
                <w:tcPr>
                  <w:tcW w:w="1329" w:type="dxa"/>
                  <w:tcBorders>
                    <w:tl2br w:val="nil"/>
                    <w:tr2bl w:val="nil"/>
                  </w:tcBorders>
                  <w:shd w:val="clear" w:color="auto" w:fill="FFFFFF"/>
                  <w:vAlign w:val="center"/>
                </w:tcPr>
                <w:p w14:paraId="685704D0">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22.4</w:t>
                  </w:r>
                </w:p>
              </w:tc>
              <w:tc>
                <w:tcPr>
                  <w:tcW w:w="1330" w:type="dxa"/>
                  <w:tcBorders>
                    <w:tl2br w:val="nil"/>
                    <w:tr2bl w:val="nil"/>
                  </w:tcBorders>
                  <w:shd w:val="clear" w:color="auto" w:fill="FFFFFF"/>
                  <w:vAlign w:val="center"/>
                </w:tcPr>
                <w:p w14:paraId="2BB12093">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60</w:t>
                  </w:r>
                </w:p>
              </w:tc>
              <w:tc>
                <w:tcPr>
                  <w:tcW w:w="1114" w:type="dxa"/>
                  <w:tcBorders>
                    <w:tl2br w:val="nil"/>
                    <w:tr2bl w:val="nil"/>
                  </w:tcBorders>
                  <w:shd w:val="clear" w:color="auto" w:fill="FFFFFF"/>
                  <w:vAlign w:val="center"/>
                </w:tcPr>
                <w:p w14:paraId="70E4E95E">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14:paraId="19D489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1033" w:type="dxa"/>
                  <w:vMerge w:val="continue"/>
                  <w:tcBorders>
                    <w:tl2br w:val="nil"/>
                    <w:tr2bl w:val="nil"/>
                  </w:tcBorders>
                  <w:shd w:val="clear" w:color="auto" w:fill="FFFFFF"/>
                  <w:vAlign w:val="center"/>
                </w:tcPr>
                <w:p w14:paraId="4D42997F">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753" w:type="dxa"/>
                  <w:tcBorders>
                    <w:tl2br w:val="nil"/>
                    <w:tr2bl w:val="nil"/>
                  </w:tcBorders>
                  <w:shd w:val="clear" w:color="auto" w:fill="FFFFFF"/>
                  <w:vAlign w:val="center"/>
                </w:tcPr>
                <w:p w14:paraId="1AC9A956">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-0.4</w:t>
                  </w:r>
                </w:p>
              </w:tc>
              <w:tc>
                <w:tcPr>
                  <w:tcW w:w="753" w:type="dxa"/>
                  <w:tcBorders>
                    <w:tl2br w:val="nil"/>
                    <w:tr2bl w:val="nil"/>
                  </w:tcBorders>
                  <w:shd w:val="clear" w:color="auto" w:fill="FFFFFF"/>
                  <w:vAlign w:val="center"/>
                </w:tcPr>
                <w:p w14:paraId="4814CE39">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151</w:t>
                  </w:r>
                </w:p>
              </w:tc>
              <w:tc>
                <w:tcPr>
                  <w:tcW w:w="754" w:type="dxa"/>
                  <w:tcBorders>
                    <w:tl2br w:val="nil"/>
                    <w:tr2bl w:val="nil"/>
                  </w:tcBorders>
                  <w:shd w:val="clear" w:color="auto" w:fill="FFFFFF"/>
                  <w:vAlign w:val="center"/>
                </w:tcPr>
                <w:p w14:paraId="597188B8">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1.2</w:t>
                  </w:r>
                </w:p>
              </w:tc>
              <w:tc>
                <w:tcPr>
                  <w:tcW w:w="931" w:type="dxa"/>
                  <w:tcBorders>
                    <w:tl2br w:val="nil"/>
                    <w:tr2bl w:val="nil"/>
                  </w:tcBorders>
                  <w:shd w:val="clear" w:color="auto" w:fill="FFFFFF"/>
                  <w:vAlign w:val="center"/>
                </w:tcPr>
                <w:p w14:paraId="0FBC4EE7">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夜间</w:t>
                  </w:r>
                </w:p>
              </w:tc>
              <w:tc>
                <w:tcPr>
                  <w:tcW w:w="1329" w:type="dxa"/>
                  <w:tcBorders>
                    <w:tl2br w:val="nil"/>
                    <w:tr2bl w:val="nil"/>
                  </w:tcBorders>
                  <w:shd w:val="clear" w:color="auto" w:fill="FFFFFF"/>
                  <w:vAlign w:val="center"/>
                </w:tcPr>
                <w:p w14:paraId="2B481192">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22.4</w:t>
                  </w:r>
                </w:p>
              </w:tc>
              <w:tc>
                <w:tcPr>
                  <w:tcW w:w="1330" w:type="dxa"/>
                  <w:tcBorders>
                    <w:tl2br w:val="nil"/>
                    <w:tr2bl w:val="nil"/>
                  </w:tcBorders>
                  <w:shd w:val="clear" w:color="auto" w:fill="FFFFFF"/>
                  <w:vAlign w:val="center"/>
                </w:tcPr>
                <w:p w14:paraId="3C32F195">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50</w:t>
                  </w:r>
                </w:p>
              </w:tc>
              <w:tc>
                <w:tcPr>
                  <w:tcW w:w="1114" w:type="dxa"/>
                  <w:tcBorders>
                    <w:tl2br w:val="nil"/>
                    <w:tr2bl w:val="nil"/>
                  </w:tcBorders>
                  <w:shd w:val="clear" w:color="auto" w:fill="FFFFFF"/>
                  <w:vAlign w:val="center"/>
                </w:tcPr>
                <w:p w14:paraId="4116C56B">
                  <w:pPr>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bl>
          <w:p w14:paraId="1CACC807">
            <w:pPr>
              <w:pStyle w:val="36"/>
              <w:keepNext w:val="0"/>
              <w:keepLines w:val="0"/>
              <w:pageBreakBefore w:val="0"/>
              <w:widowControl w:val="0"/>
              <w:numPr>
                <w:ilvl w:val="0"/>
                <w:numId w:val="0"/>
              </w:numPr>
              <w:suppressLineNumbers w:val="0"/>
              <w:tabs>
                <w:tab w:val="left" w:pos="312"/>
                <w:tab w:val="clear" w:pos="1845"/>
              </w:tabs>
              <w:kinsoku/>
              <w:wordWrap/>
              <w:overflowPunct/>
              <w:topLinePunct w:val="0"/>
              <w:autoSpaceDE w:val="0"/>
              <w:autoSpaceDN w:val="0"/>
              <w:bidi w:val="0"/>
              <w:adjustRightInd/>
              <w:snapToGrid/>
              <w:spacing w:before="0" w:beforeAutospacing="0" w:after="0" w:afterAutospacing="0" w:line="360" w:lineRule="auto"/>
              <w:ind w:right="0" w:rightChars="0" w:firstLine="420" w:firstLineChars="200"/>
              <w:jc w:val="left"/>
              <w:textAlignment w:val="auto"/>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注：表中坐标以厂界中心（</w:t>
            </w:r>
            <w:bookmarkStart w:id="9" w:name="PO_7"/>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86.6476669，44.174888</w:t>
            </w:r>
            <w:bookmarkEnd w:id="9"/>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）为坐标原点，正东向为X轴正方向，正北向为Y轴正方向。</w:t>
            </w:r>
          </w:p>
          <w:p w14:paraId="52D8516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由上表可知，正常工况下，项目厂界噪声满足《工业企业厂界环境噪声排放标准》</w:t>
            </w:r>
            <w:bookmarkStart w:id="10" w:name="PO_3"/>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（GB12348-2008）</w:t>
            </w:r>
            <w:bookmarkEnd w:id="10"/>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2类标准。</w:t>
            </w:r>
          </w:p>
          <w:p w14:paraId="18BFF541">
            <w:pPr>
              <w:pStyle w:val="36"/>
              <w:keepNext w:val="0"/>
              <w:keepLines w:val="0"/>
              <w:pageBreakBefore w:val="0"/>
              <w:widowControl w:val="0"/>
              <w:numPr>
                <w:ilvl w:val="0"/>
                <w:numId w:val="0"/>
              </w:numPr>
              <w:suppressLineNumbers w:val="0"/>
              <w:tabs>
                <w:tab w:val="left" w:pos="312"/>
                <w:tab w:val="clear" w:pos="1845"/>
              </w:tabs>
              <w:kinsoku/>
              <w:wordWrap/>
              <w:overflowPunct/>
              <w:topLinePunct w:val="0"/>
              <w:autoSpaceDE w:val="0"/>
              <w:autoSpaceDN w:val="0"/>
              <w:bidi w:val="0"/>
              <w:adjustRightInd/>
              <w:snapToGrid/>
              <w:spacing w:before="0" w:beforeAutospacing="0" w:after="0" w:afterAutospacing="0" w:line="360" w:lineRule="auto"/>
              <w:ind w:right="0" w:rightChars="0"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通过预测模型计算，</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距离本项目最近的为红柳塘村四队（距离为105~535m），</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噪声预测</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贡献</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结果与达标分析见表</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4-1</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8</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p>
          <w:p w14:paraId="392A9785">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4-1</w:t>
            </w:r>
            <w:r>
              <w:rPr>
                <w:rFonts w:hint="eastAsia" w:cs="Times New Roman"/>
                <w:b/>
                <w:bCs/>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红柳塘村四队预测结果与达标分析表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376"/>
              <w:gridCol w:w="988"/>
              <w:gridCol w:w="988"/>
              <w:gridCol w:w="988"/>
              <w:gridCol w:w="988"/>
              <w:gridCol w:w="988"/>
              <w:gridCol w:w="991"/>
            </w:tblGrid>
            <w:tr w14:paraId="5D9765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5" w:type="dxa"/>
                  <w:vMerge w:val="restart"/>
                  <w:tcBorders>
                    <w:tl2br w:val="nil"/>
                    <w:tr2bl w:val="nil"/>
                  </w:tcBorders>
                  <w:vAlign w:val="center"/>
                </w:tcPr>
                <w:p w14:paraId="69D657E3">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序号</w:t>
                  </w:r>
                </w:p>
              </w:tc>
              <w:tc>
                <w:tcPr>
                  <w:tcW w:w="790" w:type="dxa"/>
                  <w:vMerge w:val="restart"/>
                  <w:tcBorders>
                    <w:tl2br w:val="nil"/>
                    <w:tr2bl w:val="nil"/>
                  </w:tcBorders>
                  <w:vAlign w:val="center"/>
                </w:tcPr>
                <w:p w14:paraId="60C468EF">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声环境保护目标名称</w:t>
                  </w:r>
                </w:p>
              </w:tc>
              <w:tc>
                <w:tcPr>
                  <w:tcW w:w="1134" w:type="dxa"/>
                  <w:gridSpan w:val="2"/>
                  <w:tcBorders>
                    <w:tl2br w:val="nil"/>
                    <w:tr2bl w:val="nil"/>
                  </w:tcBorders>
                  <w:vAlign w:val="center"/>
                </w:tcPr>
                <w:p w14:paraId="18CDA785">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噪声标准/dB(A)</w:t>
                  </w:r>
                </w:p>
              </w:tc>
              <w:tc>
                <w:tcPr>
                  <w:tcW w:w="1134" w:type="dxa"/>
                  <w:gridSpan w:val="2"/>
                  <w:tcBorders>
                    <w:tl2br w:val="nil"/>
                    <w:tr2bl w:val="nil"/>
                  </w:tcBorders>
                  <w:vAlign w:val="center"/>
                </w:tcPr>
                <w:p w14:paraId="610DE12D">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噪声贡献值/dB(A)</w:t>
                  </w:r>
                </w:p>
              </w:tc>
              <w:tc>
                <w:tcPr>
                  <w:tcW w:w="1136" w:type="dxa"/>
                  <w:gridSpan w:val="2"/>
                  <w:tcBorders>
                    <w:tl2br w:val="nil"/>
                    <w:tr2bl w:val="nil"/>
                  </w:tcBorders>
                  <w:vAlign w:val="center"/>
                </w:tcPr>
                <w:p w14:paraId="794C3C99">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超标和达标情况</w:t>
                  </w:r>
                </w:p>
              </w:tc>
            </w:tr>
            <w:tr w14:paraId="589360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5" w:type="dxa"/>
                  <w:vMerge w:val="continue"/>
                  <w:tcBorders>
                    <w:tl2br w:val="nil"/>
                    <w:tr2bl w:val="nil"/>
                  </w:tcBorders>
                  <w:shd w:val="clear" w:color="auto" w:fill="FFFFFF"/>
                  <w:vAlign w:val="center"/>
                </w:tcPr>
                <w:p w14:paraId="3ED782CC">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790" w:type="dxa"/>
                  <w:vMerge w:val="continue"/>
                  <w:tcBorders>
                    <w:tl2br w:val="nil"/>
                    <w:tr2bl w:val="nil"/>
                  </w:tcBorders>
                  <w:shd w:val="clear" w:color="auto" w:fill="FFFFFF"/>
                  <w:vAlign w:val="center"/>
                </w:tcPr>
                <w:p w14:paraId="439250C8">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567" w:type="dxa"/>
                  <w:tcBorders>
                    <w:tl2br w:val="nil"/>
                    <w:tr2bl w:val="nil"/>
                  </w:tcBorders>
                  <w:shd w:val="clear" w:color="auto" w:fill="FFFFFF"/>
                  <w:vAlign w:val="center"/>
                </w:tcPr>
                <w:p w14:paraId="76946E5D">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昼间</w:t>
                  </w:r>
                </w:p>
              </w:tc>
              <w:tc>
                <w:tcPr>
                  <w:tcW w:w="567" w:type="dxa"/>
                  <w:tcBorders>
                    <w:tl2br w:val="nil"/>
                    <w:tr2bl w:val="nil"/>
                  </w:tcBorders>
                  <w:shd w:val="clear" w:color="auto" w:fill="FFFFFF"/>
                  <w:vAlign w:val="center"/>
                </w:tcPr>
                <w:p w14:paraId="235CDFF5">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夜间</w:t>
                  </w:r>
                </w:p>
              </w:tc>
              <w:tc>
                <w:tcPr>
                  <w:tcW w:w="567" w:type="dxa"/>
                  <w:tcBorders>
                    <w:tl2br w:val="nil"/>
                    <w:tr2bl w:val="nil"/>
                  </w:tcBorders>
                  <w:shd w:val="clear" w:color="auto" w:fill="FFFFFF"/>
                  <w:vAlign w:val="center"/>
                </w:tcPr>
                <w:p w14:paraId="5AF7AAED">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昼间</w:t>
                  </w:r>
                </w:p>
              </w:tc>
              <w:tc>
                <w:tcPr>
                  <w:tcW w:w="567" w:type="dxa"/>
                  <w:tcBorders>
                    <w:tl2br w:val="nil"/>
                    <w:tr2bl w:val="nil"/>
                  </w:tcBorders>
                  <w:shd w:val="clear" w:color="auto" w:fill="FFFFFF"/>
                  <w:vAlign w:val="center"/>
                </w:tcPr>
                <w:p w14:paraId="6FD8F2E7">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夜间</w:t>
                  </w:r>
                </w:p>
              </w:tc>
              <w:tc>
                <w:tcPr>
                  <w:tcW w:w="567" w:type="dxa"/>
                  <w:tcBorders>
                    <w:tl2br w:val="nil"/>
                    <w:tr2bl w:val="nil"/>
                  </w:tcBorders>
                  <w:shd w:val="clear" w:color="auto" w:fill="FFFFFF"/>
                  <w:vAlign w:val="center"/>
                </w:tcPr>
                <w:p w14:paraId="1873A52B">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昼间</w:t>
                  </w:r>
                </w:p>
              </w:tc>
              <w:tc>
                <w:tcPr>
                  <w:tcW w:w="569" w:type="dxa"/>
                  <w:tcBorders>
                    <w:tl2br w:val="nil"/>
                    <w:tr2bl w:val="nil"/>
                  </w:tcBorders>
                  <w:shd w:val="clear" w:color="auto" w:fill="FFFFFF"/>
                  <w:vAlign w:val="center"/>
                </w:tcPr>
                <w:p w14:paraId="737E117C">
                  <w:pPr>
                    <w:pStyle w:val="36"/>
                    <w:keepNext w:val="0"/>
                    <w:keepLines w:val="0"/>
                    <w:pageBreakBefore w:val="0"/>
                    <w:widowControl w:val="0"/>
                    <w:tabs>
                      <w:tab w:val="left" w:pos="2760"/>
                      <w:tab w:val="clear" w:pos="1845"/>
                    </w:tabs>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夜间</w:t>
                  </w:r>
                </w:p>
              </w:tc>
            </w:tr>
            <w:tr w14:paraId="633358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atLeast"/>
                <w:jc w:val="center"/>
              </w:trPr>
              <w:tc>
                <w:tcPr>
                  <w:tcW w:w="405" w:type="dxa"/>
                  <w:tcBorders>
                    <w:tl2br w:val="nil"/>
                    <w:tr2bl w:val="nil"/>
                  </w:tcBorders>
                  <w:shd w:val="clear" w:color="auto" w:fill="FFFFFF"/>
                  <w:vAlign w:val="center"/>
                </w:tcPr>
                <w:p w14:paraId="1EB2F8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p>
              </w:tc>
              <w:tc>
                <w:tcPr>
                  <w:tcW w:w="790" w:type="dxa"/>
                  <w:tcBorders>
                    <w:tl2br w:val="nil"/>
                    <w:tr2bl w:val="nil"/>
                  </w:tcBorders>
                  <w:shd w:val="clear" w:color="auto" w:fill="FFFFFF"/>
                  <w:vAlign w:val="center"/>
                </w:tcPr>
                <w:p w14:paraId="793E1F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红柳塘村四队</w:t>
                  </w:r>
                </w:p>
              </w:tc>
              <w:tc>
                <w:tcPr>
                  <w:tcW w:w="567" w:type="dxa"/>
                  <w:tcBorders>
                    <w:tl2br w:val="nil"/>
                    <w:tr2bl w:val="nil"/>
                  </w:tcBorders>
                  <w:shd w:val="clear" w:color="auto" w:fill="FFFFFF"/>
                  <w:vAlign w:val="center"/>
                </w:tcPr>
                <w:p w14:paraId="69A1DA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60</w:t>
                  </w:r>
                </w:p>
              </w:tc>
              <w:tc>
                <w:tcPr>
                  <w:tcW w:w="567" w:type="dxa"/>
                  <w:tcBorders>
                    <w:tl2br w:val="nil"/>
                    <w:tr2bl w:val="nil"/>
                  </w:tcBorders>
                  <w:shd w:val="clear" w:color="auto" w:fill="FFFFFF"/>
                  <w:vAlign w:val="center"/>
                </w:tcPr>
                <w:p w14:paraId="3EDBF3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50</w:t>
                  </w:r>
                </w:p>
              </w:tc>
              <w:tc>
                <w:tcPr>
                  <w:tcW w:w="567" w:type="dxa"/>
                  <w:tcBorders>
                    <w:tl2br w:val="nil"/>
                    <w:tr2bl w:val="nil"/>
                  </w:tcBorders>
                  <w:shd w:val="clear" w:color="auto" w:fill="FFFFFF"/>
                  <w:vAlign w:val="center"/>
                </w:tcPr>
                <w:p w14:paraId="015E0135">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7.5</w:t>
                  </w:r>
                </w:p>
              </w:tc>
              <w:tc>
                <w:tcPr>
                  <w:tcW w:w="567" w:type="dxa"/>
                  <w:tcBorders>
                    <w:tl2br w:val="nil"/>
                    <w:tr2bl w:val="nil"/>
                  </w:tcBorders>
                  <w:shd w:val="clear" w:color="auto" w:fill="FFFFFF"/>
                  <w:vAlign w:val="center"/>
                </w:tcPr>
                <w:p w14:paraId="17110098">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Arial" w:cs="Times New Roman"/>
                      <w:color w:val="000000" w:themeColor="text1"/>
                      <w:sz w:val="20"/>
                      <w14:textFill>
                        <w14:solidFill>
                          <w14:schemeClr w14:val="tx1"/>
                        </w14:solidFill>
                      </w14:textFill>
                    </w:rPr>
                    <w:t>7.5</w:t>
                  </w:r>
                </w:p>
              </w:tc>
              <w:tc>
                <w:tcPr>
                  <w:tcW w:w="567" w:type="dxa"/>
                  <w:tcBorders>
                    <w:tl2br w:val="nil"/>
                    <w:tr2bl w:val="nil"/>
                  </w:tcBorders>
                  <w:shd w:val="clear" w:color="auto" w:fill="FFFFFF"/>
                  <w:vAlign w:val="center"/>
                </w:tcPr>
                <w:p w14:paraId="3183C2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达标</w:t>
                  </w:r>
                </w:p>
              </w:tc>
              <w:tc>
                <w:tcPr>
                  <w:tcW w:w="569" w:type="dxa"/>
                  <w:tcBorders>
                    <w:tl2br w:val="nil"/>
                    <w:tr2bl w:val="nil"/>
                  </w:tcBorders>
                  <w:shd w:val="clear" w:color="auto" w:fill="FFFFFF"/>
                  <w:vAlign w:val="center"/>
                </w:tcPr>
                <w:p w14:paraId="03F467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达标</w:t>
                  </w:r>
                </w:p>
              </w:tc>
            </w:tr>
          </w:tbl>
          <w:p w14:paraId="53257500">
            <w:pPr>
              <w:pStyle w:val="36"/>
              <w:keepNext w:val="0"/>
              <w:keepLines w:val="0"/>
              <w:pageBreakBefore w:val="0"/>
              <w:widowControl w:val="0"/>
              <w:numPr>
                <w:ilvl w:val="0"/>
                <w:numId w:val="0"/>
              </w:numPr>
              <w:suppressLineNumbers w:val="0"/>
              <w:tabs>
                <w:tab w:val="left" w:pos="312"/>
                <w:tab w:val="clear" w:pos="1845"/>
              </w:tabs>
              <w:kinsoku/>
              <w:wordWrap/>
              <w:overflowPunct/>
              <w:topLinePunct w:val="0"/>
              <w:autoSpaceDE w:val="0"/>
              <w:autoSpaceDN w:val="0"/>
              <w:bidi w:val="0"/>
              <w:adjustRightInd w:val="0"/>
              <w:snapToGrid w:val="0"/>
              <w:spacing w:beforeAutospacing="0" w:afterAutospacing="0" w:line="360" w:lineRule="auto"/>
              <w:ind w:right="0" w:rightChars="0"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由上表可知，正常工况下，</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红柳塘村四队</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噪声贡献值均满足《声环境质量标准》（GB</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3096</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-2008）2类标准。</w:t>
            </w:r>
          </w:p>
          <w:p w14:paraId="14306B38">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噪声预测等声级线图见附图9。</w:t>
            </w:r>
          </w:p>
          <w:p w14:paraId="687D52A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w:t>
            </w: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6</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噪声防治措施及可行性分析</w:t>
            </w:r>
          </w:p>
          <w:p w14:paraId="6FCA0473">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（1）产噪设备置于室内，减速慢行、禁止鸣笛；</w:t>
            </w:r>
          </w:p>
          <w:p w14:paraId="1FB89BF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）采取合理布局、基础减震、隔声等降噪措施</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p>
          <w:p w14:paraId="4BBD8D7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根据噪声影响预测评价，项目建成运行后，</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厂界</w:t>
            </w:r>
            <w:r>
              <w:rPr>
                <w:rFonts w:hint="eastAsia" w:cs="Times New Roman"/>
                <w:color w:val="000000" w:themeColor="text1"/>
                <w:kern w:val="0"/>
                <w:sz w:val="24"/>
                <w:szCs w:val="24"/>
                <w:highlight w:val="none"/>
                <w:lang w:val="en-US" w:eastAsia="zh-CN" w:bidi="ar"/>
                <w14:textFill>
                  <w14:solidFill>
                    <w14:schemeClr w14:val="tx1"/>
                  </w14:solidFill>
                </w14:textFill>
              </w:rPr>
              <w:t>及</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红柳塘村四队</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噪声满足《工业企业厂界环境噪声排放标准》</w:t>
            </w:r>
            <w:r>
              <w:rPr>
                <w:rFonts w:hint="eastAsia" w:ascii="Times New Roman"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GB12348</w:t>
            </w:r>
            <w:r>
              <w:rPr>
                <w:rFonts w:hint="eastAsia" w:ascii="Times New Roman"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2008</w:t>
            </w:r>
            <w:r>
              <w:rPr>
                <w:rFonts w:hint="eastAsia" w:ascii="Times New Roman" w:cs="Times New Roman"/>
                <w:color w:val="000000" w:themeColor="text1"/>
                <w:kern w:val="0"/>
                <w:sz w:val="24"/>
                <w:szCs w:val="24"/>
                <w:highlight w:val="none"/>
                <w:lang w:val="en-US" w:eastAsia="zh-CN" w:bidi="ar"/>
                <w14:textFill>
                  <w14:solidFill>
                    <w14:schemeClr w14:val="tx1"/>
                  </w14:solidFill>
                </w14:textFill>
              </w:rPr>
              <w:t>）2</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类标准，</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措施可行。</w:t>
            </w:r>
          </w:p>
          <w:p w14:paraId="1F377AC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3.7噪声监测计划</w:t>
            </w:r>
          </w:p>
          <w:p w14:paraId="60FDA71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运营期监测计划：对照《排污单位自行监测技术指南总则》（</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HJ819-2017</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），制定出本项目营运期噪声监测计划见表</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4-</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1</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9</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p>
          <w:p w14:paraId="01ACBC74">
            <w:pPr>
              <w:keepNext w:val="0"/>
              <w:keepLines w:val="0"/>
              <w:widowControl/>
              <w:suppressLineNumbers w:val="0"/>
              <w:spacing w:line="240" w:lineRule="auto"/>
              <w:jc w:val="center"/>
              <w:rPr>
                <w:color w:val="000000" w:themeColor="text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表</w:t>
            </w: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4-</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1</w:t>
            </w:r>
            <w:r>
              <w:rPr>
                <w:rFonts w:hint="eastAsia" w:cs="Times New Roman"/>
                <w:b/>
                <w:bCs/>
                <w:color w:val="000000" w:themeColor="text1"/>
                <w:kern w:val="0"/>
                <w:sz w:val="21"/>
                <w:szCs w:val="21"/>
                <w:highlight w:val="none"/>
                <w:lang w:val="en-US" w:eastAsia="zh-CN" w:bidi="ar"/>
                <w14:textFill>
                  <w14:solidFill>
                    <w14:schemeClr w14:val="tx1"/>
                  </w14:solidFill>
                </w14:textFill>
              </w:rPr>
              <w:t>9</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 xml:space="preserve">   </w:t>
            </w: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本项目运营期噪声环境监测计划一览表</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22"/>
              <w:gridCol w:w="1660"/>
              <w:gridCol w:w="1140"/>
              <w:gridCol w:w="1334"/>
              <w:gridCol w:w="3257"/>
            </w:tblGrid>
            <w:tr w14:paraId="12A0C7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8" w:type="pct"/>
                  <w:tcBorders>
                    <w:tl2br w:val="nil"/>
                    <w:tr2bl w:val="nil"/>
                  </w:tcBorders>
                  <w:noWrap w:val="0"/>
                  <w:vAlign w:val="center"/>
                </w:tcPr>
                <w:p w14:paraId="3B90C89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t>要素</w:t>
                  </w:r>
                </w:p>
              </w:tc>
              <w:tc>
                <w:tcPr>
                  <w:tcW w:w="1035" w:type="pct"/>
                  <w:tcBorders>
                    <w:tl2br w:val="nil"/>
                    <w:tr2bl w:val="nil"/>
                  </w:tcBorders>
                  <w:noWrap w:val="0"/>
                  <w:vAlign w:val="center"/>
                </w:tcPr>
                <w:p w14:paraId="0F744AD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t>监测位置</w:t>
                  </w:r>
                </w:p>
              </w:tc>
              <w:tc>
                <w:tcPr>
                  <w:tcW w:w="711" w:type="pct"/>
                  <w:tcBorders>
                    <w:tl2br w:val="nil"/>
                    <w:tr2bl w:val="nil"/>
                  </w:tcBorders>
                  <w:noWrap w:val="0"/>
                  <w:vAlign w:val="center"/>
                </w:tcPr>
                <w:p w14:paraId="0BFDBA0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
                      <w14:textFill>
                        <w14:solidFill>
                          <w14:schemeClr w14:val="tx1"/>
                        </w14:solidFill>
                      </w14:textFill>
                    </w:rPr>
                    <w:t>监测指标</w:t>
                  </w:r>
                </w:p>
              </w:tc>
              <w:tc>
                <w:tcPr>
                  <w:tcW w:w="832" w:type="pct"/>
                  <w:tcBorders>
                    <w:tl2br w:val="nil"/>
                    <w:tr2bl w:val="nil"/>
                  </w:tcBorders>
                  <w:noWrap w:val="0"/>
                  <w:vAlign w:val="center"/>
                </w:tcPr>
                <w:p w14:paraId="6B33479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
                      <w14:textFill>
                        <w14:solidFill>
                          <w14:schemeClr w14:val="tx1"/>
                        </w14:solidFill>
                      </w14:textFill>
                    </w:rPr>
                    <w:t>监测频次</w:t>
                  </w:r>
                </w:p>
              </w:tc>
              <w:tc>
                <w:tcPr>
                  <w:tcW w:w="2031" w:type="pct"/>
                  <w:tcBorders>
                    <w:tl2br w:val="nil"/>
                    <w:tr2bl w:val="nil"/>
                  </w:tcBorders>
                  <w:noWrap w:val="0"/>
                  <w:vAlign w:val="center"/>
                </w:tcPr>
                <w:p w14:paraId="4999FDF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
                      <w14:textFill>
                        <w14:solidFill>
                          <w14:schemeClr w14:val="tx1"/>
                        </w14:solidFill>
                      </w14:textFill>
                    </w:rPr>
                    <w:t>执行标准</w:t>
                  </w:r>
                </w:p>
              </w:tc>
            </w:tr>
            <w:tr w14:paraId="3F67466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88" w:type="pct"/>
                  <w:tcBorders>
                    <w:tl2br w:val="nil"/>
                    <w:tr2bl w:val="nil"/>
                  </w:tcBorders>
                  <w:noWrap w:val="0"/>
                  <w:vAlign w:val="center"/>
                </w:tcPr>
                <w:p w14:paraId="4959333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工业企业噪声</w:t>
                  </w:r>
                </w:p>
              </w:tc>
              <w:tc>
                <w:tcPr>
                  <w:tcW w:w="1035" w:type="pct"/>
                  <w:tcBorders>
                    <w:tl2br w:val="nil"/>
                    <w:tr2bl w:val="nil"/>
                  </w:tcBorders>
                  <w:noWrap w:val="0"/>
                  <w:vAlign w:val="center"/>
                </w:tcPr>
                <w:p w14:paraId="5BFE2B4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厂界四周外1</w:t>
                  </w:r>
                  <w:r>
                    <w:rPr>
                      <w:rFonts w:hint="eastAsia"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米</w:t>
                  </w: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处</w:t>
                  </w:r>
                </w:p>
              </w:tc>
              <w:tc>
                <w:tcPr>
                  <w:tcW w:w="711" w:type="pct"/>
                  <w:tcBorders>
                    <w:tl2br w:val="nil"/>
                    <w:tr2bl w:val="nil"/>
                  </w:tcBorders>
                  <w:noWrap w:val="0"/>
                  <w:vAlign w:val="center"/>
                </w:tcPr>
                <w:p w14:paraId="2FFAC65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等效连续A声级</w:t>
                  </w:r>
                </w:p>
              </w:tc>
              <w:tc>
                <w:tcPr>
                  <w:tcW w:w="832" w:type="pct"/>
                  <w:tcBorders>
                    <w:tl2br w:val="nil"/>
                    <w:tr2bl w:val="nil"/>
                  </w:tcBorders>
                  <w:noWrap w:val="0"/>
                  <w:vAlign w:val="center"/>
                </w:tcPr>
                <w:p w14:paraId="3BF7484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1次/季度昼监测</w:t>
                  </w:r>
                </w:p>
              </w:tc>
              <w:tc>
                <w:tcPr>
                  <w:tcW w:w="2031" w:type="pct"/>
                  <w:tcBorders>
                    <w:tl2br w:val="nil"/>
                    <w:tr2bl w:val="nil"/>
                  </w:tcBorders>
                  <w:noWrap w:val="0"/>
                  <w:vAlign w:val="center"/>
                </w:tcPr>
                <w:p w14:paraId="185C86E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《工业企业厂界环境噪声排放标准》（GB12348-2008）中</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类区标准</w:t>
                  </w:r>
                </w:p>
              </w:tc>
            </w:tr>
          </w:tbl>
          <w:p w14:paraId="5637E0B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sz w:val="24"/>
                <w:szCs w:val="32"/>
                <w:highlight w:val="none"/>
                <w14:textFill>
                  <w14:solidFill>
                    <w14:schemeClr w14:val="tx1"/>
                  </w14:solidFill>
                </w14:textFill>
              </w:rPr>
            </w:pPr>
            <w:r>
              <w:rPr>
                <w:rFonts w:hint="default" w:ascii="Times New Roman" w:hAnsi="Times New Roman" w:eastAsia="宋体" w:cs="Times New Roman"/>
                <w:b/>
                <w:bCs/>
                <w:color w:val="000000" w:themeColor="text1"/>
                <w:sz w:val="24"/>
                <w:szCs w:val="32"/>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szCs w:val="32"/>
                <w:highlight w:val="none"/>
                <w14:textFill>
                  <w14:solidFill>
                    <w14:schemeClr w14:val="tx1"/>
                  </w14:solidFill>
                </w14:textFill>
              </w:rPr>
              <w:t>固体废物的产生及治理</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措施</w:t>
            </w:r>
          </w:p>
          <w:p w14:paraId="29059EA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zh-CN"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zh-CN" w:eastAsia="zh-CN" w:bidi="ar"/>
                <w14:textFill>
                  <w14:solidFill>
                    <w14:schemeClr w14:val="tx1"/>
                  </w14:solidFill>
                </w14:textFill>
              </w:rPr>
              <w:t>本项目运营期固体废物主要</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为除尘灰</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、废包装材料、废润滑油、废润滑油</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桶</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Times New Roman" w:cs="Times New Roman"/>
                <w:color w:val="000000" w:themeColor="text1"/>
                <w:spacing w:val="-2"/>
                <w:sz w:val="24"/>
                <w:szCs w:val="24"/>
                <w:highlight w:val="none"/>
                <w:lang w:val="en-GB" w:eastAsia="zh-CN"/>
                <w14:textFill>
                  <w14:solidFill>
                    <w14:schemeClr w14:val="tx1"/>
                  </w14:solidFill>
                </w14:textFill>
              </w:rPr>
              <w:t>含油废抹布、</w:t>
            </w:r>
            <w:r>
              <w:rPr>
                <w:rFonts w:hint="default" w:ascii="Times New Roman" w:hAnsi="Times New Roman" w:eastAsia="宋体" w:cs="Times New Roman"/>
                <w:b w:val="0"/>
                <w:bCs w:val="0"/>
                <w:color w:val="000000" w:themeColor="text1"/>
                <w:kern w:val="0"/>
                <w:sz w:val="24"/>
                <w:szCs w:val="24"/>
                <w:highlight w:val="none"/>
                <w:lang w:val="zh-CN" w:eastAsia="zh-CN" w:bidi="ar"/>
                <w14:textFill>
                  <w14:solidFill>
                    <w14:schemeClr w14:val="tx1"/>
                  </w14:solidFill>
                </w14:textFill>
              </w:rPr>
              <w:t>生活垃圾。</w:t>
            </w:r>
          </w:p>
          <w:p w14:paraId="2C21F11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根据建设单位提供信息，碳化后的炭渣全部计入生物炭内，不产生固废。</w:t>
            </w:r>
          </w:p>
          <w:p w14:paraId="73B973A2">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4.1危废废物</w:t>
            </w:r>
          </w:p>
          <w:p w14:paraId="2E45B5B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（1）废润滑油</w:t>
            </w:r>
          </w:p>
          <w:p w14:paraId="6205198B">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根据建设单位提供</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信息</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，项目设备维</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修</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时会有</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废润滑油</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产生，</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废润滑油</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产生量约为0.</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t/a</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属于危险废物，</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《国家危险废物名录（202</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年版）》，</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废润滑油属于名录“</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HW08</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废矿物油与含矿物油废物”中“车辆、轮船及其它机械维修过程中产生的废发动机油、制动器油、自动变速器油、齿轮油等废润滑油”类，废物代</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码为900-214-08</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，在厂区危废贮存库暂存后，由有危废处置资质的单位处置；</w:t>
            </w:r>
          </w:p>
          <w:p w14:paraId="4AAD8ED1">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（2）废润滑油</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桶</w:t>
            </w:r>
          </w:p>
          <w:p w14:paraId="5C37C17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废润滑油</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桶产生量约</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为</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0.1t/a，属于危险废物，</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《国家危险废物名录（202</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年版）》，</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废润滑油</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桶</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属于名录“</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HW08</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废矿物油与含矿物油废物”中“其他生产、销售、使用过程中产生的废矿物油及沾染矿物油的废弃包装物”类，废物代</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码为900-</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249</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-08</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，在厂区危废贮存库暂存后，由有危废处置资质的单位处置。</w:t>
            </w:r>
          </w:p>
          <w:p w14:paraId="142DA52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（3）含油废抹布</w:t>
            </w:r>
          </w:p>
          <w:p w14:paraId="7D0F699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cs="Times New Roman"/>
                <w:b w:val="0"/>
                <w:bCs w:val="0"/>
                <w:color w:val="000000" w:themeColor="text1"/>
                <w:kern w:val="0"/>
                <w:sz w:val="24"/>
                <w:szCs w:val="24"/>
                <w:highlight w:val="none"/>
                <w:lang w:val="en-US" w:eastAsia="zh-CN" w:bidi="ar"/>
                <w14:textFill>
                  <w14:solidFill>
                    <w14:schemeClr w14:val="tx1"/>
                  </w14:solidFill>
                </w14:textFill>
              </w:rPr>
              <w:t>破碎机</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等</w:t>
            </w:r>
            <w:r>
              <w:rPr>
                <w:rFonts w:hint="eastAsia" w:ascii="Times New Roman" w:hAnsi="Times New Roman" w:eastAsia="宋体" w:cs="Times New Roman"/>
                <w:b w:val="0"/>
                <w:bCs w:val="0"/>
                <w:color w:val="000000" w:themeColor="text1"/>
                <w:kern w:val="0"/>
                <w:sz w:val="24"/>
                <w:szCs w:val="24"/>
                <w:highlight w:val="none"/>
                <w:lang w:val="en-GB" w:eastAsia="zh-CN" w:bidi="ar"/>
                <w14:textFill>
                  <w14:solidFill>
                    <w14:schemeClr w14:val="tx1"/>
                  </w14:solidFill>
                </w14:textFill>
              </w:rPr>
              <w:t>润滑、检修过程会产生含油废抹布，</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根据建设单位提供</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信息</w:t>
            </w:r>
            <w:r>
              <w:rPr>
                <w:rFonts w:hint="eastAsia" w:ascii="Times New Roman" w:hAnsi="Times New Roman" w:eastAsia="宋体" w:cs="Times New Roman"/>
                <w:b w:val="0"/>
                <w:bCs w:val="0"/>
                <w:color w:val="000000" w:themeColor="text1"/>
                <w:kern w:val="0"/>
                <w:sz w:val="24"/>
                <w:szCs w:val="24"/>
                <w:highlight w:val="none"/>
                <w:lang w:val="en-GB" w:eastAsia="zh-CN" w:bidi="ar"/>
                <w14:textFill>
                  <w14:solidFill>
                    <w14:schemeClr w14:val="tx1"/>
                  </w14:solidFill>
                </w14:textFill>
              </w:rPr>
              <w:t>，产生量约为0.0</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1</w:t>
            </w:r>
            <w:r>
              <w:rPr>
                <w:rFonts w:hint="eastAsia" w:ascii="Times New Roman" w:hAnsi="Times New Roman" w:eastAsia="宋体" w:cs="Times New Roman"/>
                <w:b w:val="0"/>
                <w:bCs w:val="0"/>
                <w:color w:val="000000" w:themeColor="text1"/>
                <w:kern w:val="0"/>
                <w:sz w:val="24"/>
                <w:szCs w:val="24"/>
                <w:highlight w:val="none"/>
                <w:lang w:val="en-GB" w:eastAsia="zh-CN" w:bidi="ar"/>
                <w14:textFill>
                  <w14:solidFill>
                    <w14:schemeClr w14:val="tx1"/>
                  </w14:solidFill>
                </w14:textFill>
              </w:rPr>
              <w:t>t/a，</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属于危险废物，</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《国家危险废物名录（202</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年版）》，</w:t>
            </w:r>
            <w:r>
              <w:rPr>
                <w:rFonts w:hint="eastAsia" w:ascii="Times New Roman" w:hAnsi="Times New Roman" w:eastAsia="宋体" w:cs="Times New Roman"/>
                <w:b w:val="0"/>
                <w:bCs w:val="0"/>
                <w:color w:val="000000" w:themeColor="text1"/>
                <w:kern w:val="0"/>
                <w:sz w:val="24"/>
                <w:szCs w:val="24"/>
                <w:highlight w:val="none"/>
                <w:lang w:val="en-GB" w:eastAsia="zh-CN" w:bidi="ar"/>
                <w14:textFill>
                  <w14:solidFill>
                    <w14:schemeClr w14:val="tx1"/>
                  </w14:solidFill>
                </w14:textFill>
              </w:rPr>
              <w:t>含油废抹布</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属于名录“</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HW</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49其他废物”中“非特定行业-含有或者沾染毒性、感染性危险废物的废弃的包装物、容器、过滤吸附介质”类，废物代</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码为900-041-49</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，本项目含油废抹布进行</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分类</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集中收集，全过程按危险废物管理</w:t>
            </w:r>
            <w:r>
              <w:rPr>
                <w:rFonts w:hint="eastAsia" w:ascii="Times New Roman" w:hAnsi="Times New Roman" w:eastAsia="宋体" w:cs="Times New Roman"/>
                <w:b w:val="0"/>
                <w:bCs w:val="0"/>
                <w:color w:val="000000" w:themeColor="text1"/>
                <w:kern w:val="0"/>
                <w:sz w:val="24"/>
                <w:szCs w:val="24"/>
                <w:highlight w:val="none"/>
                <w:lang w:val="en-GB" w:eastAsia="zh-CN" w:bidi="ar"/>
                <w14:textFill>
                  <w14:solidFill>
                    <w14:schemeClr w14:val="tx1"/>
                  </w14:solidFill>
                </w14:textFill>
              </w:rPr>
              <w:t>。</w:t>
            </w:r>
          </w:p>
          <w:p w14:paraId="0D5E089F">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4.2一般固废</w:t>
            </w:r>
          </w:p>
          <w:p w14:paraId="2FB2057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（1）土块及石子</w:t>
            </w:r>
          </w:p>
          <w:p w14:paraId="08D59FA3">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秸秆破碎工序中分拣出的土块及石子约为</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5</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t/a，统一移交农户，运至低洼地块</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进行</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填埋处理。</w:t>
            </w:r>
          </w:p>
          <w:p w14:paraId="7AE4B4F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土块及石子返回农户进行低洼处填埋可行性分析</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w:t>
            </w:r>
          </w:p>
          <w:p w14:paraId="6CEB56BF">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本项目以果木枝条、农作物秸秆等农林废弃物为原料开展炭化生产，炭化产出木炭，木炭与外购矿源腐殖酸粉、复合生物酶粉剂等配料加工制备有机肥；生产过程副产木醋液，有机肥、木醋液均具备土壤改良、提升耕地地力的作用。原料预处理工序产生土块、石子，属于一般工业固体废物，拟统一移交周边农户，转运至农户低洼地块开展填埋处置，现就该处置方案可行性分析如下：</w:t>
            </w:r>
          </w:p>
          <w:p w14:paraId="101129B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①</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废物属性符合性</w:t>
            </w:r>
          </w:p>
          <w:p w14:paraId="22540C9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本项目产生的土块、石子来源于农林秸秆、果木枝条原料夹带的泥土、碎石，不属于危险废物，为一般工业固体废物，组分以土壤、砂石为主，不含有毒有害物质，无腐蚀性、浸出毒性等污染特性，理化性质稳定，填埋后不会向土壤、地下水释放有毒有害污染物，从废物属性角度，具备就地土地填埋处置的基础条件。</w:t>
            </w:r>
          </w:p>
          <w:p w14:paraId="2E9F9363">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②</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土地资源与区位条件可行性</w:t>
            </w:r>
          </w:p>
          <w:p w14:paraId="60D6A82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项目周边分布大量农田，区域内存在部分天然低洼闲置地块，农户自有低洼地块可用于该类惰性固废填埋消纳；项目距离周边农户农田运距较短，转运距离近，运输成本可控，运输路线均为现有乡村道路，运输条件便利。土块、石子用于低洼地块填埋，可起到填平洼地、消除地块积水内涝隐患，改善地块地形条件，填埋后的地块后续可复垦为农业用地，实现固废就地就近消纳，符合固体废物“减量化、资源化、就近处置”原则。</w:t>
            </w:r>
          </w:p>
          <w:p w14:paraId="087E6E4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③</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环境影响可控性</w:t>
            </w:r>
          </w:p>
          <w:p w14:paraId="42B9B19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土块、石子为惰性砂石泥土类物料，移交农户填埋前，要求对固废进行简单分拣，杜绝混入生产过程其他辅料、生产垃圾；运输过程采用密闭篷布遮盖，防止沿途撒落，避免运输途中产生扬尘；填埋选址避开饮用水水源保护区、沟渠河道等敏感区域，选择农户非耕地低洼坑塘、废弃洼地；填埋作业分层压实，填埋完成后表层覆土，恢复地表地貌。落实上述管控条件后，填埋作业不会对区域土壤、地下水、地表水体造成污染，对周边环境影响可接受。</w:t>
            </w:r>
          </w:p>
          <w:p w14:paraId="6D99440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（2）除尘灰</w:t>
            </w:r>
          </w:p>
          <w:p w14:paraId="1496D76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根据废气源强分析，除尘器收集到的除尘灰为25.14087003</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t/a，全部回用于生产线。</w:t>
            </w:r>
          </w:p>
          <w:p w14:paraId="66074F7B">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（3）废包装材料</w:t>
            </w:r>
          </w:p>
          <w:p w14:paraId="3CD15B4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cs="Times New Roman"/>
                <w:b w:val="0"/>
                <w:bCs w:val="0"/>
                <w:color w:val="000000" w:themeColor="text1"/>
                <w:kern w:val="0"/>
                <w:sz w:val="24"/>
                <w:szCs w:val="24"/>
                <w:highlight w:val="none"/>
                <w:lang w:val="en-US" w:eastAsia="zh-CN" w:bidi="ar"/>
                <w14:textFill>
                  <w14:solidFill>
                    <w14:schemeClr w14:val="tx1"/>
                  </w14:solidFill>
                </w14:textFill>
              </w:rPr>
              <w:t>原辅材料拆装</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产生的废包装材料约为0.1t/a，收集后外售。</w:t>
            </w:r>
          </w:p>
          <w:p w14:paraId="5BED9C5D">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cs="Times New Roman"/>
                <w:b w:val="0"/>
                <w:bCs w:val="0"/>
                <w:color w:val="000000" w:themeColor="text1"/>
                <w:kern w:val="0"/>
                <w:sz w:val="24"/>
                <w:szCs w:val="24"/>
                <w:highlight w:val="none"/>
                <w:lang w:val="en-US" w:eastAsia="zh-CN" w:bidi="ar"/>
                <w14:textFill>
                  <w14:solidFill>
                    <w14:schemeClr w14:val="tx1"/>
                  </w14:solidFill>
                </w14:textFill>
              </w:rPr>
              <w:t>（4）</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生活垃圾</w:t>
            </w:r>
          </w:p>
          <w:p w14:paraId="6363CD3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本项目劳动定员</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12</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人，每人每天生活垃圾产生量按0.5</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kg</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d</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计，本项目年生产</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3</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00</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天，则本项目生活垃圾</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1.8</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t/a</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，集中收集委托环卫部门集中清运。</w:t>
            </w:r>
          </w:p>
          <w:p w14:paraId="4DED1F36">
            <w:pPr>
              <w:spacing w:line="360" w:lineRule="auto"/>
              <w:ind w:firstLine="472" w:firstLineChars="200"/>
              <w:rPr>
                <w:rFonts w:hint="eastAsia"/>
                <w:color w:val="000000" w:themeColor="text1"/>
                <w:spacing w:val="-2"/>
                <w:sz w:val="24"/>
                <w:szCs w:val="24"/>
                <w:highlight w:val="none"/>
                <w:lang w:val="en-US" w:eastAsia="zh-CN"/>
                <w14:textFill>
                  <w14:solidFill>
                    <w14:schemeClr w14:val="tx1"/>
                  </w14:solidFill>
                </w14:textFill>
              </w:rPr>
            </w:pPr>
            <w:r>
              <w:rPr>
                <w:rFonts w:hint="eastAsia"/>
                <w:color w:val="000000" w:themeColor="text1"/>
                <w:spacing w:val="-2"/>
                <w:sz w:val="24"/>
                <w:szCs w:val="24"/>
                <w:highlight w:val="none"/>
                <w:lang w:val="en-US" w:eastAsia="zh-CN"/>
                <w14:textFill>
                  <w14:solidFill>
                    <w14:schemeClr w14:val="tx1"/>
                  </w14:solidFill>
                </w14:textFill>
              </w:rPr>
              <w:t>一般工业</w:t>
            </w:r>
            <w:r>
              <w:rPr>
                <w:color w:val="000000" w:themeColor="text1"/>
                <w:spacing w:val="-2"/>
                <w:sz w:val="24"/>
                <w:szCs w:val="24"/>
                <w:highlight w:val="none"/>
                <w14:textFill>
                  <w14:solidFill>
                    <w14:schemeClr w14:val="tx1"/>
                  </w14:solidFill>
                </w14:textFill>
              </w:rPr>
              <w:t>固体废物</w:t>
            </w:r>
            <w:r>
              <w:rPr>
                <w:rFonts w:hint="eastAsia"/>
                <w:color w:val="000000" w:themeColor="text1"/>
                <w:spacing w:val="-2"/>
                <w:sz w:val="24"/>
                <w:szCs w:val="24"/>
                <w:highlight w:val="none"/>
                <w:lang w:val="en-US" w:eastAsia="zh-CN"/>
                <w14:textFill>
                  <w14:solidFill>
                    <w14:schemeClr w14:val="tx1"/>
                  </w14:solidFill>
                </w14:textFill>
              </w:rPr>
              <w:t>及生活垃圾</w:t>
            </w:r>
            <w:r>
              <w:rPr>
                <w:color w:val="000000" w:themeColor="text1"/>
                <w:spacing w:val="-2"/>
                <w:sz w:val="24"/>
                <w:szCs w:val="24"/>
                <w:highlight w:val="none"/>
                <w14:textFill>
                  <w14:solidFill>
                    <w14:schemeClr w14:val="tx1"/>
                  </w14:solidFill>
                </w14:textFill>
              </w:rPr>
              <w:t>产生、贮存、处置情况汇总</w:t>
            </w:r>
            <w:r>
              <w:rPr>
                <w:rFonts w:hint="eastAsia"/>
                <w:color w:val="000000" w:themeColor="text1"/>
                <w:spacing w:val="-2"/>
                <w:sz w:val="24"/>
                <w:szCs w:val="24"/>
                <w:highlight w:val="none"/>
                <w:lang w:val="en-US" w:eastAsia="zh-CN"/>
                <w14:textFill>
                  <w14:solidFill>
                    <w14:schemeClr w14:val="tx1"/>
                  </w14:solidFill>
                </w14:textFill>
              </w:rPr>
              <w:t>见表4-20。</w:t>
            </w:r>
          </w:p>
          <w:p w14:paraId="76950105">
            <w:pPr>
              <w:jc w:val="center"/>
              <w:rPr>
                <w:rFonts w:ascii="Times New Roman" w:hAnsi="Times New Roman"/>
                <w:b/>
                <w:bCs/>
                <w:color w:val="000000" w:themeColor="text1"/>
                <w:kern w:val="2"/>
                <w:sz w:val="21"/>
                <w:szCs w:val="21"/>
                <w:highlight w:val="none"/>
                <w:lang w:eastAsia="zh-CN"/>
                <w14:textFill>
                  <w14:solidFill>
                    <w14:schemeClr w14:val="tx1"/>
                  </w14:solidFill>
                </w14:textFill>
              </w:rPr>
            </w:pPr>
            <w:r>
              <w:rPr>
                <w:rFonts w:ascii="Times New Roman" w:hAnsi="Times New Roman"/>
                <w:b/>
                <w:bCs/>
                <w:color w:val="000000" w:themeColor="text1"/>
                <w:kern w:val="2"/>
                <w:sz w:val="21"/>
                <w:szCs w:val="21"/>
                <w:highlight w:val="none"/>
                <w:lang w:eastAsia="zh-CN"/>
                <w14:textFill>
                  <w14:solidFill>
                    <w14:schemeClr w14:val="tx1"/>
                  </w14:solidFill>
                </w14:textFill>
              </w:rPr>
              <w:t>表4-</w:t>
            </w:r>
            <w:r>
              <w:rPr>
                <w:rFonts w:hint="eastAsia"/>
                <w:b/>
                <w:bCs/>
                <w:color w:val="000000" w:themeColor="text1"/>
                <w:kern w:val="2"/>
                <w:sz w:val="21"/>
                <w:szCs w:val="21"/>
                <w:highlight w:val="none"/>
                <w:lang w:val="en-US" w:eastAsia="zh-CN"/>
                <w14:textFill>
                  <w14:solidFill>
                    <w14:schemeClr w14:val="tx1"/>
                  </w14:solidFill>
                </w14:textFill>
              </w:rPr>
              <w:t>20</w:t>
            </w:r>
            <w:r>
              <w:rPr>
                <w:rFonts w:hint="eastAsia" w:ascii="Times New Roman" w:hAnsi="Times New Roman"/>
                <w:b/>
                <w:bCs/>
                <w:color w:val="000000" w:themeColor="text1"/>
                <w:kern w:val="2"/>
                <w:sz w:val="21"/>
                <w:szCs w:val="21"/>
                <w:highlight w:val="none"/>
                <w:lang w:eastAsia="zh-CN"/>
                <w14:textFill>
                  <w14:solidFill>
                    <w14:schemeClr w14:val="tx1"/>
                  </w14:solidFill>
                </w14:textFill>
              </w:rPr>
              <w:t xml:space="preserve">   </w:t>
            </w:r>
            <w:r>
              <w:rPr>
                <w:rFonts w:ascii="Times New Roman" w:hAnsi="Times New Roman"/>
                <w:b/>
                <w:bCs/>
                <w:color w:val="000000" w:themeColor="text1"/>
                <w:kern w:val="2"/>
                <w:sz w:val="21"/>
                <w:szCs w:val="21"/>
                <w:highlight w:val="none"/>
                <w:lang w:eastAsia="zh-CN"/>
                <w14:textFill>
                  <w14:solidFill>
                    <w14:schemeClr w14:val="tx1"/>
                  </w14:solidFill>
                </w14:textFill>
              </w:rPr>
              <w:t>项目</w:t>
            </w:r>
            <w:r>
              <w:rPr>
                <w:rFonts w:hint="eastAsia" w:ascii="Times New Roman" w:hAnsi="Times New Roman"/>
                <w:b/>
                <w:bCs/>
                <w:color w:val="000000" w:themeColor="text1"/>
                <w:kern w:val="2"/>
                <w:sz w:val="21"/>
                <w:szCs w:val="21"/>
                <w:highlight w:val="none"/>
                <w:lang w:val="en-US" w:eastAsia="zh-CN"/>
                <w14:textFill>
                  <w14:solidFill>
                    <w14:schemeClr w14:val="tx1"/>
                  </w14:solidFill>
                </w14:textFill>
              </w:rPr>
              <w:t>一般工业</w:t>
            </w:r>
            <w:r>
              <w:rPr>
                <w:rFonts w:ascii="Times New Roman" w:hAnsi="Times New Roman"/>
                <w:b/>
                <w:bCs/>
                <w:color w:val="000000" w:themeColor="text1"/>
                <w:kern w:val="2"/>
                <w:sz w:val="21"/>
                <w:szCs w:val="21"/>
                <w:highlight w:val="none"/>
                <w:lang w:eastAsia="zh-CN"/>
                <w14:textFill>
                  <w14:solidFill>
                    <w14:schemeClr w14:val="tx1"/>
                  </w14:solidFill>
                </w14:textFill>
              </w:rPr>
              <w:t>固体废物</w:t>
            </w:r>
            <w:r>
              <w:rPr>
                <w:rFonts w:hint="eastAsia" w:ascii="Times New Roman" w:hAnsi="Times New Roman"/>
                <w:b/>
                <w:bCs/>
                <w:color w:val="000000" w:themeColor="text1"/>
                <w:kern w:val="2"/>
                <w:sz w:val="21"/>
                <w:szCs w:val="21"/>
                <w:highlight w:val="none"/>
                <w:lang w:val="en-US" w:eastAsia="zh-CN"/>
                <w14:textFill>
                  <w14:solidFill>
                    <w14:schemeClr w14:val="tx1"/>
                  </w14:solidFill>
                </w14:textFill>
              </w:rPr>
              <w:t>及生活垃圾</w:t>
            </w:r>
            <w:r>
              <w:rPr>
                <w:rFonts w:ascii="Times New Roman" w:hAnsi="Times New Roman"/>
                <w:b/>
                <w:bCs/>
                <w:color w:val="000000" w:themeColor="text1"/>
                <w:kern w:val="2"/>
                <w:sz w:val="21"/>
                <w:szCs w:val="21"/>
                <w:highlight w:val="none"/>
                <w:lang w:eastAsia="zh-CN"/>
                <w14:textFill>
                  <w14:solidFill>
                    <w14:schemeClr w14:val="tx1"/>
                  </w14:solidFill>
                </w14:textFill>
              </w:rPr>
              <w:t>产生及处置方式表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60"/>
              <w:gridCol w:w="659"/>
              <w:gridCol w:w="1024"/>
              <w:gridCol w:w="549"/>
              <w:gridCol w:w="988"/>
              <w:gridCol w:w="917"/>
              <w:gridCol w:w="882"/>
              <w:gridCol w:w="842"/>
              <w:gridCol w:w="794"/>
              <w:gridCol w:w="695"/>
            </w:tblGrid>
            <w:tr w14:paraId="69BEB1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0" w:type="dxa"/>
                  <w:tcBorders>
                    <w:tl2br w:val="nil"/>
                    <w:tr2bl w:val="nil"/>
                  </w:tcBorders>
                  <w:noWrap w:val="0"/>
                  <w:vAlign w:val="center"/>
                </w:tcPr>
                <w:p w14:paraId="69ECAAE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产生环节</w:t>
                  </w:r>
                </w:p>
              </w:tc>
              <w:tc>
                <w:tcPr>
                  <w:tcW w:w="659" w:type="dxa"/>
                  <w:tcBorders>
                    <w:tl2br w:val="nil"/>
                    <w:tr2bl w:val="nil"/>
                  </w:tcBorders>
                  <w:noWrap w:val="0"/>
                  <w:vAlign w:val="center"/>
                </w:tcPr>
                <w:p w14:paraId="1933F1A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名称</w:t>
                  </w:r>
                </w:p>
              </w:tc>
              <w:tc>
                <w:tcPr>
                  <w:tcW w:w="1024" w:type="dxa"/>
                  <w:tcBorders>
                    <w:tl2br w:val="nil"/>
                    <w:tr2bl w:val="nil"/>
                  </w:tcBorders>
                  <w:noWrap w:val="0"/>
                  <w:vAlign w:val="center"/>
                </w:tcPr>
                <w:p w14:paraId="4E21FEE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属性</w:t>
                  </w:r>
                </w:p>
              </w:tc>
              <w:tc>
                <w:tcPr>
                  <w:tcW w:w="549" w:type="dxa"/>
                  <w:tcBorders>
                    <w:tl2br w:val="nil"/>
                    <w:tr2bl w:val="nil"/>
                  </w:tcBorders>
                  <w:noWrap w:val="0"/>
                  <w:vAlign w:val="center"/>
                </w:tcPr>
                <w:p w14:paraId="604A9BA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物理性状</w:t>
                  </w:r>
                </w:p>
              </w:tc>
              <w:tc>
                <w:tcPr>
                  <w:tcW w:w="988" w:type="dxa"/>
                  <w:tcBorders>
                    <w:tl2br w:val="nil"/>
                    <w:tr2bl w:val="nil"/>
                  </w:tcBorders>
                  <w:noWrap w:val="0"/>
                  <w:vAlign w:val="center"/>
                </w:tcPr>
                <w:p w14:paraId="2BFBEA9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固废</w:t>
                  </w:r>
                </w:p>
                <w:p w14:paraId="3E6C774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代码</w:t>
                  </w:r>
                </w:p>
              </w:tc>
              <w:tc>
                <w:tcPr>
                  <w:tcW w:w="917" w:type="dxa"/>
                  <w:tcBorders>
                    <w:tl2br w:val="nil"/>
                    <w:tr2bl w:val="nil"/>
                  </w:tcBorders>
                  <w:noWrap w:val="0"/>
                  <w:vAlign w:val="center"/>
                </w:tcPr>
                <w:p w14:paraId="5C3E9DB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产生量t/a</w:t>
                  </w:r>
                </w:p>
              </w:tc>
              <w:tc>
                <w:tcPr>
                  <w:tcW w:w="882" w:type="dxa"/>
                  <w:tcBorders>
                    <w:tl2br w:val="nil"/>
                    <w:tr2bl w:val="nil"/>
                  </w:tcBorders>
                  <w:noWrap w:val="0"/>
                  <w:vAlign w:val="center"/>
                </w:tcPr>
                <w:p w14:paraId="11B816A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储存</w:t>
                  </w:r>
                </w:p>
                <w:p w14:paraId="7116926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方式</w:t>
                  </w:r>
                </w:p>
              </w:tc>
              <w:tc>
                <w:tcPr>
                  <w:tcW w:w="842" w:type="dxa"/>
                  <w:tcBorders>
                    <w:tl2br w:val="nil"/>
                    <w:tr2bl w:val="nil"/>
                  </w:tcBorders>
                  <w:noWrap w:val="0"/>
                  <w:vAlign w:val="center"/>
                </w:tcPr>
                <w:p w14:paraId="4CEE6D9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利用处置和去向</w:t>
                  </w:r>
                </w:p>
              </w:tc>
              <w:tc>
                <w:tcPr>
                  <w:tcW w:w="794" w:type="dxa"/>
                  <w:tcBorders>
                    <w:tl2br w:val="nil"/>
                    <w:tr2bl w:val="nil"/>
                  </w:tcBorders>
                  <w:noWrap w:val="0"/>
                  <w:vAlign w:val="center"/>
                </w:tcPr>
                <w:p w14:paraId="336DC26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利用或处置量t/a</w:t>
                  </w:r>
                </w:p>
              </w:tc>
              <w:tc>
                <w:tcPr>
                  <w:tcW w:w="695" w:type="dxa"/>
                  <w:tcBorders>
                    <w:tl2br w:val="nil"/>
                    <w:tr2bl w:val="nil"/>
                  </w:tcBorders>
                  <w:noWrap w:val="0"/>
                  <w:vAlign w:val="center"/>
                </w:tcPr>
                <w:p w14:paraId="3A861F2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环境管理要求</w:t>
                  </w:r>
                </w:p>
              </w:tc>
            </w:tr>
            <w:tr w14:paraId="6609F42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0" w:type="dxa"/>
                  <w:tcBorders>
                    <w:tl2br w:val="nil"/>
                    <w:tr2bl w:val="nil"/>
                  </w:tcBorders>
                  <w:noWrap w:val="0"/>
                  <w:vAlign w:val="center"/>
                </w:tcPr>
                <w:p w14:paraId="6BE65A7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职工</w:t>
                  </w:r>
                </w:p>
                <w:p w14:paraId="0601961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生活</w:t>
                  </w:r>
                </w:p>
                <w:p w14:paraId="5C8079C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办公</w:t>
                  </w:r>
                </w:p>
              </w:tc>
              <w:tc>
                <w:tcPr>
                  <w:tcW w:w="659" w:type="dxa"/>
                  <w:tcBorders>
                    <w:tl2br w:val="nil"/>
                    <w:tr2bl w:val="nil"/>
                  </w:tcBorders>
                  <w:noWrap w:val="0"/>
                  <w:vAlign w:val="center"/>
                </w:tcPr>
                <w:p w14:paraId="649A075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生活</w:t>
                  </w:r>
                </w:p>
                <w:p w14:paraId="5CB0FD2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垃圾</w:t>
                  </w:r>
                </w:p>
              </w:tc>
              <w:tc>
                <w:tcPr>
                  <w:tcW w:w="1024" w:type="dxa"/>
                  <w:tcBorders>
                    <w:tl2br w:val="nil"/>
                    <w:tr2bl w:val="nil"/>
                  </w:tcBorders>
                  <w:noWrap w:val="0"/>
                  <w:vAlign w:val="center"/>
                </w:tcPr>
                <w:p w14:paraId="759204D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一般</w:t>
                  </w:r>
                </w:p>
                <w:p w14:paraId="3002962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固废</w:t>
                  </w:r>
                </w:p>
              </w:tc>
              <w:tc>
                <w:tcPr>
                  <w:tcW w:w="549" w:type="dxa"/>
                  <w:tcBorders>
                    <w:tl2br w:val="nil"/>
                    <w:tr2bl w:val="nil"/>
                  </w:tcBorders>
                  <w:noWrap w:val="0"/>
                  <w:vAlign w:val="center"/>
                </w:tcPr>
                <w:p w14:paraId="1E53C37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固体</w:t>
                  </w:r>
                </w:p>
              </w:tc>
              <w:tc>
                <w:tcPr>
                  <w:tcW w:w="988" w:type="dxa"/>
                  <w:tcBorders>
                    <w:tl2br w:val="nil"/>
                    <w:tr2bl w:val="nil"/>
                  </w:tcBorders>
                  <w:noWrap w:val="0"/>
                  <w:vAlign w:val="center"/>
                </w:tcPr>
                <w:p w14:paraId="794E145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917" w:type="dxa"/>
                  <w:tcBorders>
                    <w:tl2br w:val="nil"/>
                    <w:tr2bl w:val="nil"/>
                  </w:tcBorders>
                  <w:noWrap w:val="0"/>
                  <w:vAlign w:val="center"/>
                </w:tcPr>
                <w:p w14:paraId="4CA53D2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1.8</w:t>
                  </w:r>
                </w:p>
              </w:tc>
              <w:tc>
                <w:tcPr>
                  <w:tcW w:w="882" w:type="dxa"/>
                  <w:tcBorders>
                    <w:tl2br w:val="nil"/>
                    <w:tr2bl w:val="nil"/>
                  </w:tcBorders>
                  <w:noWrap w:val="0"/>
                  <w:vAlign w:val="center"/>
                </w:tcPr>
                <w:p w14:paraId="63CA833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生活垃圾桶</w:t>
                  </w:r>
                </w:p>
              </w:tc>
              <w:tc>
                <w:tcPr>
                  <w:tcW w:w="842" w:type="dxa"/>
                  <w:tcBorders>
                    <w:tl2br w:val="nil"/>
                    <w:tr2bl w:val="nil"/>
                  </w:tcBorders>
                  <w:noWrap w:val="0"/>
                  <w:vAlign w:val="center"/>
                </w:tcPr>
                <w:p w14:paraId="348CEC8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由环卫部门统一清运处理</w:t>
                  </w:r>
                </w:p>
              </w:tc>
              <w:tc>
                <w:tcPr>
                  <w:tcW w:w="794" w:type="dxa"/>
                  <w:tcBorders>
                    <w:tl2br w:val="nil"/>
                    <w:tr2bl w:val="nil"/>
                  </w:tcBorders>
                  <w:noWrap w:val="0"/>
                  <w:vAlign w:val="center"/>
                </w:tcPr>
                <w:p w14:paraId="26884FC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0.5475</w:t>
                  </w:r>
                </w:p>
              </w:tc>
              <w:tc>
                <w:tcPr>
                  <w:tcW w:w="695" w:type="dxa"/>
                  <w:tcBorders>
                    <w:tl2br w:val="nil"/>
                    <w:tr2bl w:val="nil"/>
                  </w:tcBorders>
                  <w:noWrap w:val="0"/>
                  <w:vAlign w:val="center"/>
                </w:tcPr>
                <w:p w14:paraId="076D3D1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不外排</w:t>
                  </w:r>
                </w:p>
              </w:tc>
            </w:tr>
            <w:tr w14:paraId="4F22C5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0" w:type="dxa"/>
                  <w:tcBorders>
                    <w:tl2br w:val="nil"/>
                    <w:tr2bl w:val="nil"/>
                  </w:tcBorders>
                  <w:noWrap w:val="0"/>
                  <w:vAlign w:val="center"/>
                </w:tcPr>
                <w:p w14:paraId="67E1677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秸秆破碎工序</w:t>
                  </w:r>
                </w:p>
              </w:tc>
              <w:tc>
                <w:tcPr>
                  <w:tcW w:w="659" w:type="dxa"/>
                  <w:tcBorders>
                    <w:tl2br w:val="nil"/>
                    <w:tr2bl w:val="nil"/>
                  </w:tcBorders>
                  <w:noWrap w:val="0"/>
                  <w:vAlign w:val="center"/>
                </w:tcPr>
                <w:p w14:paraId="6BC4BDE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土块及石子</w:t>
                  </w:r>
                </w:p>
              </w:tc>
              <w:tc>
                <w:tcPr>
                  <w:tcW w:w="1024" w:type="dxa"/>
                  <w:tcBorders>
                    <w:tl2br w:val="nil"/>
                    <w:tr2bl w:val="nil"/>
                  </w:tcBorders>
                  <w:noWrap w:val="0"/>
                  <w:vAlign w:val="center"/>
                </w:tcPr>
                <w:p w14:paraId="4AAC228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一般</w:t>
                  </w:r>
                </w:p>
                <w:p w14:paraId="744D105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工业</w:t>
                  </w:r>
                </w:p>
                <w:p w14:paraId="14EF68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固废</w:t>
                  </w:r>
                </w:p>
              </w:tc>
              <w:tc>
                <w:tcPr>
                  <w:tcW w:w="549" w:type="dxa"/>
                  <w:tcBorders>
                    <w:tl2br w:val="nil"/>
                    <w:tr2bl w:val="nil"/>
                  </w:tcBorders>
                  <w:noWrap w:val="0"/>
                  <w:vAlign w:val="center"/>
                </w:tcPr>
                <w:p w14:paraId="63DDDF9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固体</w:t>
                  </w:r>
                </w:p>
              </w:tc>
              <w:tc>
                <w:tcPr>
                  <w:tcW w:w="988" w:type="dxa"/>
                  <w:tcBorders>
                    <w:tl2br w:val="nil"/>
                    <w:tr2bl w:val="nil"/>
                  </w:tcBorders>
                  <w:noWrap w:val="0"/>
                  <w:vAlign w:val="center"/>
                </w:tcPr>
                <w:p w14:paraId="2E059B7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917" w:type="dxa"/>
                  <w:tcBorders>
                    <w:tl2br w:val="nil"/>
                    <w:tr2bl w:val="nil"/>
                  </w:tcBorders>
                  <w:noWrap w:val="0"/>
                  <w:vAlign w:val="center"/>
                </w:tcPr>
                <w:p w14:paraId="1DAC4F1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5</w:t>
                  </w:r>
                </w:p>
              </w:tc>
              <w:tc>
                <w:tcPr>
                  <w:tcW w:w="882" w:type="dxa"/>
                  <w:tcBorders>
                    <w:tl2br w:val="nil"/>
                    <w:tr2bl w:val="nil"/>
                  </w:tcBorders>
                  <w:noWrap w:val="0"/>
                  <w:vAlign w:val="center"/>
                </w:tcPr>
                <w:p w14:paraId="5C7999B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破碎车间内</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堆存</w:t>
                  </w:r>
                </w:p>
              </w:tc>
              <w:tc>
                <w:tcPr>
                  <w:tcW w:w="842" w:type="dxa"/>
                  <w:tcBorders>
                    <w:tl2br w:val="nil"/>
                    <w:tr2bl w:val="nil"/>
                  </w:tcBorders>
                  <w:noWrap w:val="0"/>
                  <w:vAlign w:val="center"/>
                </w:tcPr>
                <w:p w14:paraId="13DECE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统一移交农户，运至低洼地块进行填埋处理</w:t>
                  </w:r>
                </w:p>
              </w:tc>
              <w:tc>
                <w:tcPr>
                  <w:tcW w:w="794" w:type="dxa"/>
                  <w:tcBorders>
                    <w:tl2br w:val="nil"/>
                    <w:tr2bl w:val="nil"/>
                  </w:tcBorders>
                  <w:noWrap w:val="0"/>
                  <w:vAlign w:val="center"/>
                </w:tcPr>
                <w:p w14:paraId="4C09D59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5</w:t>
                  </w:r>
                </w:p>
              </w:tc>
              <w:tc>
                <w:tcPr>
                  <w:tcW w:w="695" w:type="dxa"/>
                  <w:tcBorders>
                    <w:tl2br w:val="nil"/>
                    <w:tr2bl w:val="nil"/>
                  </w:tcBorders>
                  <w:noWrap w:val="0"/>
                  <w:vAlign w:val="center"/>
                </w:tcPr>
                <w:p w14:paraId="44E66F6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不外排</w:t>
                  </w:r>
                </w:p>
              </w:tc>
            </w:tr>
            <w:tr w14:paraId="0C2CEC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0" w:type="dxa"/>
                  <w:tcBorders>
                    <w:tl2br w:val="nil"/>
                    <w:tr2bl w:val="nil"/>
                  </w:tcBorders>
                  <w:noWrap w:val="0"/>
                  <w:vAlign w:val="center"/>
                </w:tcPr>
                <w:p w14:paraId="7970D0E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废气治理</w:t>
                  </w:r>
                </w:p>
              </w:tc>
              <w:tc>
                <w:tcPr>
                  <w:tcW w:w="659" w:type="dxa"/>
                  <w:tcBorders>
                    <w:tl2br w:val="nil"/>
                    <w:tr2bl w:val="nil"/>
                  </w:tcBorders>
                  <w:noWrap w:val="0"/>
                  <w:vAlign w:val="center"/>
                </w:tcPr>
                <w:p w14:paraId="6A8F04C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除尘灰</w:t>
                  </w:r>
                </w:p>
              </w:tc>
              <w:tc>
                <w:tcPr>
                  <w:tcW w:w="1024" w:type="dxa"/>
                  <w:tcBorders>
                    <w:tl2br w:val="nil"/>
                    <w:tr2bl w:val="nil"/>
                  </w:tcBorders>
                  <w:noWrap w:val="0"/>
                  <w:vAlign w:val="center"/>
                </w:tcPr>
                <w:p w14:paraId="4EC976C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一般</w:t>
                  </w:r>
                </w:p>
                <w:p w14:paraId="55C995D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工业</w:t>
                  </w:r>
                </w:p>
                <w:p w14:paraId="3758326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固废</w:t>
                  </w:r>
                </w:p>
              </w:tc>
              <w:tc>
                <w:tcPr>
                  <w:tcW w:w="549" w:type="dxa"/>
                  <w:tcBorders>
                    <w:tl2br w:val="nil"/>
                    <w:tr2bl w:val="nil"/>
                  </w:tcBorders>
                  <w:noWrap w:val="0"/>
                  <w:vAlign w:val="center"/>
                </w:tcPr>
                <w:p w14:paraId="65A194B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固体</w:t>
                  </w:r>
                </w:p>
              </w:tc>
              <w:tc>
                <w:tcPr>
                  <w:tcW w:w="988" w:type="dxa"/>
                  <w:tcBorders>
                    <w:tl2br w:val="nil"/>
                    <w:tr2bl w:val="nil"/>
                  </w:tcBorders>
                  <w:noWrap w:val="0"/>
                  <w:vAlign w:val="center"/>
                </w:tcPr>
                <w:p w14:paraId="1169B72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917" w:type="dxa"/>
                  <w:tcBorders>
                    <w:tl2br w:val="nil"/>
                    <w:tr2bl w:val="nil"/>
                  </w:tcBorders>
                  <w:noWrap w:val="0"/>
                  <w:vAlign w:val="center"/>
                </w:tcPr>
                <w:p w14:paraId="5EB8044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25.14087003</w:t>
                  </w:r>
                </w:p>
              </w:tc>
              <w:tc>
                <w:tcPr>
                  <w:tcW w:w="882" w:type="dxa"/>
                  <w:tcBorders>
                    <w:tl2br w:val="nil"/>
                    <w:tr2bl w:val="nil"/>
                  </w:tcBorders>
                  <w:noWrap w:val="0"/>
                  <w:vAlign w:val="center"/>
                </w:tcPr>
                <w:p w14:paraId="356BC5C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不暂存，及时返回生产线</w:t>
                  </w:r>
                </w:p>
              </w:tc>
              <w:tc>
                <w:tcPr>
                  <w:tcW w:w="842" w:type="dxa"/>
                  <w:tcBorders>
                    <w:tl2br w:val="nil"/>
                    <w:tr2bl w:val="nil"/>
                  </w:tcBorders>
                  <w:noWrap w:val="0"/>
                  <w:vAlign w:val="center"/>
                </w:tcPr>
                <w:p w14:paraId="6BD8BF8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全部回用于生产线</w:t>
                  </w:r>
                </w:p>
              </w:tc>
              <w:tc>
                <w:tcPr>
                  <w:tcW w:w="794" w:type="dxa"/>
                  <w:tcBorders>
                    <w:tl2br w:val="nil"/>
                    <w:tr2bl w:val="nil"/>
                  </w:tcBorders>
                  <w:noWrap w:val="0"/>
                  <w:vAlign w:val="center"/>
                </w:tcPr>
                <w:p w14:paraId="1A52E51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25.14087003</w:t>
                  </w:r>
                </w:p>
              </w:tc>
              <w:tc>
                <w:tcPr>
                  <w:tcW w:w="695" w:type="dxa"/>
                  <w:tcBorders>
                    <w:tl2br w:val="nil"/>
                    <w:tr2bl w:val="nil"/>
                  </w:tcBorders>
                  <w:noWrap w:val="0"/>
                  <w:vAlign w:val="center"/>
                </w:tcPr>
                <w:p w14:paraId="7881569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不外排</w:t>
                  </w:r>
                </w:p>
              </w:tc>
            </w:tr>
            <w:tr w14:paraId="1C42D6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60" w:type="dxa"/>
                  <w:tcBorders>
                    <w:tl2br w:val="nil"/>
                    <w:tr2bl w:val="nil"/>
                  </w:tcBorders>
                  <w:noWrap w:val="0"/>
                  <w:vAlign w:val="center"/>
                </w:tcPr>
                <w:p w14:paraId="400F4C3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原辅材料拆装</w:t>
                  </w:r>
                </w:p>
              </w:tc>
              <w:tc>
                <w:tcPr>
                  <w:tcW w:w="659" w:type="dxa"/>
                  <w:tcBorders>
                    <w:tl2br w:val="nil"/>
                    <w:tr2bl w:val="nil"/>
                  </w:tcBorders>
                  <w:noWrap w:val="0"/>
                  <w:vAlign w:val="center"/>
                </w:tcPr>
                <w:p w14:paraId="0EFFF9C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废包装物</w:t>
                  </w:r>
                </w:p>
              </w:tc>
              <w:tc>
                <w:tcPr>
                  <w:tcW w:w="1024" w:type="dxa"/>
                  <w:tcBorders>
                    <w:tl2br w:val="nil"/>
                    <w:tr2bl w:val="nil"/>
                  </w:tcBorders>
                  <w:noWrap w:val="0"/>
                  <w:vAlign w:val="center"/>
                </w:tcPr>
                <w:p w14:paraId="0685CD8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一般</w:t>
                  </w:r>
                </w:p>
                <w:p w14:paraId="043E96B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工业</w:t>
                  </w:r>
                </w:p>
                <w:p w14:paraId="6175EE4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固废</w:t>
                  </w:r>
                </w:p>
              </w:tc>
              <w:tc>
                <w:tcPr>
                  <w:tcW w:w="549" w:type="dxa"/>
                  <w:tcBorders>
                    <w:tl2br w:val="nil"/>
                    <w:tr2bl w:val="nil"/>
                  </w:tcBorders>
                  <w:noWrap w:val="0"/>
                  <w:vAlign w:val="center"/>
                </w:tcPr>
                <w:p w14:paraId="2563686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固体</w:t>
                  </w:r>
                </w:p>
              </w:tc>
              <w:tc>
                <w:tcPr>
                  <w:tcW w:w="988" w:type="dxa"/>
                  <w:tcBorders>
                    <w:tl2br w:val="nil"/>
                    <w:tr2bl w:val="nil"/>
                  </w:tcBorders>
                  <w:noWrap w:val="0"/>
                  <w:vAlign w:val="center"/>
                </w:tcPr>
                <w:p w14:paraId="22E6507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917" w:type="dxa"/>
                  <w:tcBorders>
                    <w:tl2br w:val="nil"/>
                    <w:tr2bl w:val="nil"/>
                  </w:tcBorders>
                  <w:noWrap w:val="0"/>
                  <w:vAlign w:val="center"/>
                </w:tcPr>
                <w:p w14:paraId="47FF3E4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0.1</w:t>
                  </w:r>
                </w:p>
              </w:tc>
              <w:tc>
                <w:tcPr>
                  <w:tcW w:w="882" w:type="dxa"/>
                  <w:tcBorders>
                    <w:tl2br w:val="nil"/>
                    <w:tr2bl w:val="nil"/>
                  </w:tcBorders>
                  <w:noWrap w:val="0"/>
                  <w:vAlign w:val="center"/>
                </w:tcPr>
                <w:p w14:paraId="259B7A1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库房内暂存</w:t>
                  </w:r>
                </w:p>
              </w:tc>
              <w:tc>
                <w:tcPr>
                  <w:tcW w:w="842" w:type="dxa"/>
                  <w:tcBorders>
                    <w:tl2br w:val="nil"/>
                    <w:tr2bl w:val="nil"/>
                  </w:tcBorders>
                  <w:noWrap w:val="0"/>
                  <w:vAlign w:val="center"/>
                </w:tcPr>
                <w:p w14:paraId="4770A65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外售</w:t>
                  </w:r>
                </w:p>
              </w:tc>
              <w:tc>
                <w:tcPr>
                  <w:tcW w:w="794" w:type="dxa"/>
                  <w:tcBorders>
                    <w:tl2br w:val="nil"/>
                    <w:tr2bl w:val="nil"/>
                  </w:tcBorders>
                  <w:noWrap w:val="0"/>
                  <w:vAlign w:val="center"/>
                </w:tcPr>
                <w:p w14:paraId="6DB55A7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0.1</w:t>
                  </w:r>
                </w:p>
              </w:tc>
              <w:tc>
                <w:tcPr>
                  <w:tcW w:w="695" w:type="dxa"/>
                  <w:tcBorders>
                    <w:tl2br w:val="nil"/>
                    <w:tr2bl w:val="nil"/>
                  </w:tcBorders>
                  <w:noWrap w:val="0"/>
                  <w:vAlign w:val="center"/>
                </w:tcPr>
                <w:p w14:paraId="2370545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不外排</w:t>
                  </w:r>
                </w:p>
              </w:tc>
            </w:tr>
          </w:tbl>
          <w:p w14:paraId="76DF7357">
            <w:pPr>
              <w:spacing w:line="360" w:lineRule="auto"/>
              <w:ind w:firstLine="480" w:firstLineChars="200"/>
              <w:rPr>
                <w:rFonts w:hint="eastAsia"/>
                <w:color w:val="000000" w:themeColor="text1"/>
                <w:spacing w:val="-2"/>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根据《建设项目危险废物环境影响评价指南》，危废</w:t>
            </w:r>
            <w:r>
              <w:rPr>
                <w:color w:val="000000" w:themeColor="text1"/>
                <w:spacing w:val="-2"/>
                <w:sz w:val="24"/>
                <w:szCs w:val="24"/>
                <w:highlight w:val="none"/>
                <w14:textFill>
                  <w14:solidFill>
                    <w14:schemeClr w14:val="tx1"/>
                  </w14:solidFill>
                </w14:textFill>
              </w:rPr>
              <w:t>产生、贮存、处置情况汇总</w:t>
            </w:r>
            <w:r>
              <w:rPr>
                <w:rFonts w:hint="eastAsia"/>
                <w:color w:val="000000" w:themeColor="text1"/>
                <w:spacing w:val="-2"/>
                <w:sz w:val="24"/>
                <w:szCs w:val="24"/>
                <w:highlight w:val="none"/>
                <w:lang w:val="en-US" w:eastAsia="zh-CN"/>
                <w14:textFill>
                  <w14:solidFill>
                    <w14:schemeClr w14:val="tx1"/>
                  </w14:solidFill>
                </w14:textFill>
              </w:rPr>
              <w:t>见表4-21。</w:t>
            </w:r>
          </w:p>
          <w:p w14:paraId="660B0444">
            <w:pPr>
              <w:jc w:val="center"/>
              <w:rPr>
                <w:rFonts w:ascii="Times New Roman" w:hAnsi="Times New Roman"/>
                <w:b/>
                <w:bCs/>
                <w:color w:val="000000" w:themeColor="text1"/>
                <w:kern w:val="2"/>
                <w:sz w:val="21"/>
                <w:szCs w:val="21"/>
                <w:highlight w:val="none"/>
                <w:lang w:eastAsia="zh-CN"/>
                <w14:textFill>
                  <w14:solidFill>
                    <w14:schemeClr w14:val="tx1"/>
                  </w14:solidFill>
                </w14:textFill>
              </w:rPr>
            </w:pPr>
            <w:r>
              <w:rPr>
                <w:rFonts w:ascii="Times New Roman" w:hAnsi="Times New Roman"/>
                <w:b/>
                <w:bCs/>
                <w:color w:val="000000" w:themeColor="text1"/>
                <w:kern w:val="2"/>
                <w:sz w:val="21"/>
                <w:szCs w:val="21"/>
                <w:highlight w:val="none"/>
                <w:lang w:eastAsia="zh-CN"/>
                <w14:textFill>
                  <w14:solidFill>
                    <w14:schemeClr w14:val="tx1"/>
                  </w14:solidFill>
                </w14:textFill>
              </w:rPr>
              <w:t>表4-</w:t>
            </w:r>
            <w:r>
              <w:rPr>
                <w:rFonts w:hint="eastAsia" w:ascii="Times New Roman" w:hAnsi="Times New Roman"/>
                <w:b/>
                <w:bCs/>
                <w:color w:val="000000" w:themeColor="text1"/>
                <w:kern w:val="2"/>
                <w:sz w:val="21"/>
                <w:szCs w:val="21"/>
                <w:highlight w:val="none"/>
                <w:lang w:val="en-US" w:eastAsia="zh-CN"/>
                <w14:textFill>
                  <w14:solidFill>
                    <w14:schemeClr w14:val="tx1"/>
                  </w14:solidFill>
                </w14:textFill>
              </w:rPr>
              <w:t>21</w:t>
            </w:r>
            <w:r>
              <w:rPr>
                <w:rFonts w:hint="eastAsia" w:ascii="Times New Roman" w:hAnsi="Times New Roman"/>
                <w:b/>
                <w:bCs/>
                <w:color w:val="000000" w:themeColor="text1"/>
                <w:kern w:val="2"/>
                <w:sz w:val="21"/>
                <w:szCs w:val="21"/>
                <w:highlight w:val="none"/>
                <w:lang w:eastAsia="zh-CN"/>
                <w14:textFill>
                  <w14:solidFill>
                    <w14:schemeClr w14:val="tx1"/>
                  </w14:solidFill>
                </w14:textFill>
              </w:rPr>
              <w:t xml:space="preserve">   </w:t>
            </w:r>
            <w:r>
              <w:rPr>
                <w:rFonts w:ascii="Times New Roman" w:hAnsi="Times New Roman"/>
                <w:b/>
                <w:bCs/>
                <w:color w:val="000000" w:themeColor="text1"/>
                <w:kern w:val="2"/>
                <w:sz w:val="21"/>
                <w:szCs w:val="21"/>
                <w:highlight w:val="none"/>
                <w:lang w:eastAsia="zh-CN"/>
                <w14:textFill>
                  <w14:solidFill>
                    <w14:schemeClr w14:val="tx1"/>
                  </w14:solidFill>
                </w14:textFill>
              </w:rPr>
              <w:t>项目</w:t>
            </w:r>
            <w:r>
              <w:rPr>
                <w:rFonts w:hint="eastAsia" w:ascii="Times New Roman" w:hAnsi="Times New Roman"/>
                <w:b/>
                <w:bCs/>
                <w:color w:val="000000" w:themeColor="text1"/>
                <w:kern w:val="2"/>
                <w:sz w:val="21"/>
                <w:szCs w:val="21"/>
                <w:highlight w:val="none"/>
                <w:lang w:val="en-US" w:eastAsia="zh-CN"/>
                <w14:textFill>
                  <w14:solidFill>
                    <w14:schemeClr w14:val="tx1"/>
                  </w14:solidFill>
                </w14:textFill>
              </w:rPr>
              <w:t>危险</w:t>
            </w:r>
            <w:r>
              <w:rPr>
                <w:rFonts w:ascii="Times New Roman" w:hAnsi="Times New Roman"/>
                <w:b/>
                <w:bCs/>
                <w:color w:val="000000" w:themeColor="text1"/>
                <w:kern w:val="2"/>
                <w:sz w:val="21"/>
                <w:szCs w:val="21"/>
                <w:highlight w:val="none"/>
                <w:lang w:eastAsia="zh-CN"/>
                <w14:textFill>
                  <w14:solidFill>
                    <w14:schemeClr w14:val="tx1"/>
                  </w14:solidFill>
                </w14:textFill>
              </w:rPr>
              <w:t>废物产生及处置方式表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6"/>
              <w:gridCol w:w="728"/>
              <w:gridCol w:w="726"/>
              <w:gridCol w:w="726"/>
              <w:gridCol w:w="868"/>
              <w:gridCol w:w="929"/>
              <w:gridCol w:w="572"/>
              <w:gridCol w:w="607"/>
              <w:gridCol w:w="607"/>
              <w:gridCol w:w="607"/>
              <w:gridCol w:w="604"/>
              <w:gridCol w:w="603"/>
            </w:tblGrid>
            <w:tr w14:paraId="5A2CEA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tcBorders>
                    <w:tl2br w:val="nil"/>
                    <w:tr2bl w:val="nil"/>
                  </w:tcBorders>
                  <w:noWrap w:val="0"/>
                  <w:vAlign w:val="center"/>
                </w:tcPr>
                <w:p w14:paraId="228E780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序号</w:t>
                  </w:r>
                </w:p>
              </w:tc>
              <w:tc>
                <w:tcPr>
                  <w:tcW w:w="728" w:type="dxa"/>
                  <w:tcBorders>
                    <w:tl2br w:val="nil"/>
                    <w:tr2bl w:val="nil"/>
                  </w:tcBorders>
                  <w:noWrap w:val="0"/>
                  <w:vAlign w:val="center"/>
                </w:tcPr>
                <w:p w14:paraId="3943662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危险废物名称</w:t>
                  </w:r>
                </w:p>
              </w:tc>
              <w:tc>
                <w:tcPr>
                  <w:tcW w:w="726" w:type="dxa"/>
                  <w:tcBorders>
                    <w:tl2br w:val="nil"/>
                    <w:tr2bl w:val="nil"/>
                  </w:tcBorders>
                  <w:noWrap w:val="0"/>
                  <w:vAlign w:val="center"/>
                </w:tcPr>
                <w:p w14:paraId="16E2860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危险废物类别</w:t>
                  </w:r>
                </w:p>
              </w:tc>
              <w:tc>
                <w:tcPr>
                  <w:tcW w:w="726" w:type="dxa"/>
                  <w:tcBorders>
                    <w:tl2br w:val="nil"/>
                    <w:tr2bl w:val="nil"/>
                  </w:tcBorders>
                  <w:noWrap w:val="0"/>
                  <w:vAlign w:val="center"/>
                </w:tcPr>
                <w:p w14:paraId="29CB280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危险废物代码</w:t>
                  </w:r>
                </w:p>
              </w:tc>
              <w:tc>
                <w:tcPr>
                  <w:tcW w:w="868" w:type="dxa"/>
                  <w:tcBorders>
                    <w:tl2br w:val="nil"/>
                    <w:tr2bl w:val="nil"/>
                  </w:tcBorders>
                  <w:noWrap w:val="0"/>
                  <w:vAlign w:val="center"/>
                </w:tcPr>
                <w:p w14:paraId="227629B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产生量（吨/年）</w:t>
                  </w:r>
                </w:p>
              </w:tc>
              <w:tc>
                <w:tcPr>
                  <w:tcW w:w="929" w:type="dxa"/>
                  <w:tcBorders>
                    <w:tl2br w:val="nil"/>
                    <w:tr2bl w:val="nil"/>
                  </w:tcBorders>
                  <w:noWrap w:val="0"/>
                  <w:vAlign w:val="center"/>
                </w:tcPr>
                <w:p w14:paraId="6221B8A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产生工序及装置</w:t>
                  </w:r>
                </w:p>
              </w:tc>
              <w:tc>
                <w:tcPr>
                  <w:tcW w:w="572" w:type="dxa"/>
                  <w:tcBorders>
                    <w:tl2br w:val="nil"/>
                    <w:tr2bl w:val="nil"/>
                  </w:tcBorders>
                  <w:noWrap w:val="0"/>
                  <w:vAlign w:val="center"/>
                </w:tcPr>
                <w:p w14:paraId="19B2BE8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形态</w:t>
                  </w:r>
                </w:p>
              </w:tc>
              <w:tc>
                <w:tcPr>
                  <w:tcW w:w="607" w:type="dxa"/>
                  <w:tcBorders>
                    <w:tl2br w:val="nil"/>
                    <w:tr2bl w:val="nil"/>
                  </w:tcBorders>
                  <w:noWrap w:val="0"/>
                  <w:vAlign w:val="center"/>
                </w:tcPr>
                <w:p w14:paraId="3E7B13F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主要成分</w:t>
                  </w:r>
                </w:p>
              </w:tc>
              <w:tc>
                <w:tcPr>
                  <w:tcW w:w="607" w:type="dxa"/>
                  <w:tcBorders>
                    <w:tl2br w:val="nil"/>
                    <w:tr2bl w:val="nil"/>
                  </w:tcBorders>
                  <w:noWrap w:val="0"/>
                  <w:vAlign w:val="center"/>
                </w:tcPr>
                <w:p w14:paraId="160B3CA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有害成分</w:t>
                  </w:r>
                </w:p>
              </w:tc>
              <w:tc>
                <w:tcPr>
                  <w:tcW w:w="607" w:type="dxa"/>
                  <w:tcBorders>
                    <w:tl2br w:val="nil"/>
                    <w:tr2bl w:val="nil"/>
                  </w:tcBorders>
                  <w:noWrap w:val="0"/>
                  <w:vAlign w:val="center"/>
                </w:tcPr>
                <w:p w14:paraId="41D412E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产废周期</w:t>
                  </w:r>
                </w:p>
              </w:tc>
              <w:tc>
                <w:tcPr>
                  <w:tcW w:w="604" w:type="dxa"/>
                  <w:tcBorders>
                    <w:tl2br w:val="nil"/>
                    <w:tr2bl w:val="nil"/>
                  </w:tcBorders>
                  <w:noWrap w:val="0"/>
                  <w:vAlign w:val="center"/>
                </w:tcPr>
                <w:p w14:paraId="3961F4E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危险</w:t>
                  </w:r>
                </w:p>
                <w:p w14:paraId="4F83C9B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特性</w:t>
                  </w:r>
                </w:p>
              </w:tc>
              <w:tc>
                <w:tcPr>
                  <w:tcW w:w="603" w:type="dxa"/>
                  <w:tcBorders>
                    <w:tl2br w:val="nil"/>
                    <w:tr2bl w:val="nil"/>
                  </w:tcBorders>
                  <w:noWrap w:val="0"/>
                  <w:vAlign w:val="center"/>
                </w:tcPr>
                <w:p w14:paraId="56C9F35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污染防治措施*</w:t>
                  </w:r>
                </w:p>
              </w:tc>
            </w:tr>
            <w:tr w14:paraId="04121E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tcBorders>
                    <w:tl2br w:val="nil"/>
                    <w:tr2bl w:val="nil"/>
                  </w:tcBorders>
                  <w:noWrap w:val="0"/>
                  <w:vAlign w:val="center"/>
                </w:tcPr>
                <w:p w14:paraId="6D3E8C6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728" w:type="dxa"/>
                  <w:tcBorders>
                    <w:tl2br w:val="nil"/>
                    <w:tr2bl w:val="nil"/>
                  </w:tcBorders>
                  <w:noWrap w:val="0"/>
                  <w:vAlign w:val="center"/>
                </w:tcPr>
                <w:p w14:paraId="431F90F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废润滑油</w:t>
                  </w:r>
                </w:p>
              </w:tc>
              <w:tc>
                <w:tcPr>
                  <w:tcW w:w="726" w:type="dxa"/>
                  <w:tcBorders>
                    <w:tl2br w:val="nil"/>
                    <w:tr2bl w:val="nil"/>
                  </w:tcBorders>
                  <w:noWrap w:val="0"/>
                  <w:vAlign w:val="center"/>
                </w:tcPr>
                <w:p w14:paraId="4F8648C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HW08</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废矿物油与含矿物油废物</w:t>
                  </w:r>
                </w:p>
              </w:tc>
              <w:tc>
                <w:tcPr>
                  <w:tcW w:w="726" w:type="dxa"/>
                  <w:tcBorders>
                    <w:tl2br w:val="nil"/>
                    <w:tr2bl w:val="nil"/>
                  </w:tcBorders>
                  <w:noWrap w:val="0"/>
                  <w:vAlign w:val="center"/>
                </w:tcPr>
                <w:p w14:paraId="5898D88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900-214-08</w:t>
                  </w:r>
                </w:p>
              </w:tc>
              <w:tc>
                <w:tcPr>
                  <w:tcW w:w="868" w:type="dxa"/>
                  <w:tcBorders>
                    <w:tl2br w:val="nil"/>
                    <w:tr2bl w:val="nil"/>
                  </w:tcBorders>
                  <w:noWrap w:val="0"/>
                  <w:vAlign w:val="center"/>
                </w:tcPr>
                <w:p w14:paraId="6306591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0.2</w:t>
                  </w:r>
                </w:p>
              </w:tc>
              <w:tc>
                <w:tcPr>
                  <w:tcW w:w="929" w:type="dxa"/>
                  <w:tcBorders>
                    <w:tl2br w:val="nil"/>
                    <w:tr2bl w:val="nil"/>
                  </w:tcBorders>
                  <w:noWrap w:val="0"/>
                  <w:vAlign w:val="center"/>
                </w:tcPr>
                <w:p w14:paraId="42D64EA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设备</w:t>
                  </w:r>
                </w:p>
                <w:p w14:paraId="49CC5A1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维修</w:t>
                  </w:r>
                </w:p>
              </w:tc>
              <w:tc>
                <w:tcPr>
                  <w:tcW w:w="572" w:type="dxa"/>
                  <w:tcBorders>
                    <w:tl2br w:val="nil"/>
                    <w:tr2bl w:val="nil"/>
                  </w:tcBorders>
                  <w:noWrap w:val="0"/>
                  <w:vAlign w:val="center"/>
                </w:tcPr>
                <w:p w14:paraId="59D5FBB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液体</w:t>
                  </w:r>
                </w:p>
              </w:tc>
              <w:tc>
                <w:tcPr>
                  <w:tcW w:w="607" w:type="dxa"/>
                  <w:tcBorders>
                    <w:tl2br w:val="nil"/>
                    <w:tr2bl w:val="nil"/>
                  </w:tcBorders>
                  <w:noWrap w:val="0"/>
                  <w:vAlign w:val="center"/>
                </w:tcPr>
                <w:p w14:paraId="4ACBD26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基础油、添加剂</w:t>
                  </w:r>
                </w:p>
              </w:tc>
              <w:tc>
                <w:tcPr>
                  <w:tcW w:w="607" w:type="dxa"/>
                  <w:tcBorders>
                    <w:tl2br w:val="nil"/>
                    <w:tr2bl w:val="nil"/>
                  </w:tcBorders>
                  <w:noWrap w:val="0"/>
                  <w:vAlign w:val="center"/>
                </w:tcPr>
                <w:p w14:paraId="0F67885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多环芳烃、重金属、油类污染物</w:t>
                  </w:r>
                </w:p>
              </w:tc>
              <w:tc>
                <w:tcPr>
                  <w:tcW w:w="607" w:type="dxa"/>
                  <w:tcBorders>
                    <w:tl2br w:val="nil"/>
                    <w:tr2bl w:val="nil"/>
                  </w:tcBorders>
                  <w:noWrap w:val="0"/>
                  <w:vAlign w:val="center"/>
                </w:tcPr>
                <w:p w14:paraId="7F18048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1年</w:t>
                  </w:r>
                </w:p>
              </w:tc>
              <w:tc>
                <w:tcPr>
                  <w:tcW w:w="604" w:type="dxa"/>
                  <w:tcBorders>
                    <w:tl2br w:val="nil"/>
                    <w:tr2bl w:val="nil"/>
                  </w:tcBorders>
                  <w:noWrap w:val="0"/>
                  <w:vAlign w:val="center"/>
                </w:tcPr>
                <w:p w14:paraId="1F7AFC2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T、I</w:t>
                  </w:r>
                </w:p>
              </w:tc>
              <w:tc>
                <w:tcPr>
                  <w:tcW w:w="603" w:type="dxa"/>
                  <w:vMerge w:val="restart"/>
                  <w:tcBorders>
                    <w:tl2br w:val="nil"/>
                    <w:tr2bl w:val="nil"/>
                  </w:tcBorders>
                  <w:noWrap w:val="0"/>
                  <w:vAlign w:val="center"/>
                </w:tcPr>
                <w:p w14:paraId="03D299E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危废贮存库</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贮存，</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电子联单转移制度</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，不外排</w:t>
                  </w:r>
                </w:p>
              </w:tc>
            </w:tr>
            <w:tr w14:paraId="2C48EA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tcBorders>
                    <w:tl2br w:val="nil"/>
                    <w:tr2bl w:val="nil"/>
                  </w:tcBorders>
                  <w:noWrap w:val="0"/>
                  <w:vAlign w:val="center"/>
                </w:tcPr>
                <w:p w14:paraId="1E5B142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728" w:type="dxa"/>
                  <w:tcBorders>
                    <w:tl2br w:val="nil"/>
                    <w:tr2bl w:val="nil"/>
                  </w:tcBorders>
                  <w:noWrap w:val="0"/>
                  <w:vAlign w:val="center"/>
                </w:tcPr>
                <w:p w14:paraId="20827B6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废润滑油桶</w:t>
                  </w:r>
                </w:p>
              </w:tc>
              <w:tc>
                <w:tcPr>
                  <w:tcW w:w="726" w:type="dxa"/>
                  <w:tcBorders>
                    <w:tl2br w:val="nil"/>
                    <w:tr2bl w:val="nil"/>
                  </w:tcBorders>
                  <w:noWrap w:val="0"/>
                  <w:vAlign w:val="center"/>
                </w:tcPr>
                <w:p w14:paraId="2053758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HW08</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废矿物油与含矿物油废物</w:t>
                  </w:r>
                </w:p>
              </w:tc>
              <w:tc>
                <w:tcPr>
                  <w:tcW w:w="726" w:type="dxa"/>
                  <w:tcBorders>
                    <w:tl2br w:val="nil"/>
                    <w:tr2bl w:val="nil"/>
                  </w:tcBorders>
                  <w:noWrap w:val="0"/>
                  <w:vAlign w:val="center"/>
                </w:tcPr>
                <w:p w14:paraId="7E5F5E4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900-249-08</w:t>
                  </w:r>
                </w:p>
              </w:tc>
              <w:tc>
                <w:tcPr>
                  <w:tcW w:w="868" w:type="dxa"/>
                  <w:tcBorders>
                    <w:tl2br w:val="nil"/>
                    <w:tr2bl w:val="nil"/>
                  </w:tcBorders>
                  <w:noWrap w:val="0"/>
                  <w:vAlign w:val="center"/>
                </w:tcPr>
                <w:p w14:paraId="02266C8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0.1</w:t>
                  </w:r>
                </w:p>
              </w:tc>
              <w:tc>
                <w:tcPr>
                  <w:tcW w:w="929" w:type="dxa"/>
                  <w:tcBorders>
                    <w:tl2br w:val="nil"/>
                    <w:tr2bl w:val="nil"/>
                  </w:tcBorders>
                  <w:noWrap w:val="0"/>
                  <w:vAlign w:val="center"/>
                </w:tcPr>
                <w:p w14:paraId="508DDF8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设备</w:t>
                  </w:r>
                </w:p>
                <w:p w14:paraId="21AE72D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维修</w:t>
                  </w:r>
                </w:p>
              </w:tc>
              <w:tc>
                <w:tcPr>
                  <w:tcW w:w="572" w:type="dxa"/>
                  <w:tcBorders>
                    <w:tl2br w:val="nil"/>
                    <w:tr2bl w:val="nil"/>
                  </w:tcBorders>
                  <w:noWrap w:val="0"/>
                  <w:vAlign w:val="center"/>
                </w:tcPr>
                <w:p w14:paraId="0F18747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固体</w:t>
                  </w:r>
                </w:p>
              </w:tc>
              <w:tc>
                <w:tcPr>
                  <w:tcW w:w="607" w:type="dxa"/>
                  <w:tcBorders>
                    <w:tl2br w:val="nil"/>
                    <w:tr2bl w:val="nil"/>
                  </w:tcBorders>
                  <w:noWrap w:val="0"/>
                  <w:vAlign w:val="center"/>
                </w:tcPr>
                <w:p w14:paraId="5C95D13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铁/塑料、残留矿物油</w:t>
                  </w:r>
                </w:p>
              </w:tc>
              <w:tc>
                <w:tcPr>
                  <w:tcW w:w="607" w:type="dxa"/>
                  <w:tcBorders>
                    <w:tl2br w:val="nil"/>
                    <w:tr2bl w:val="nil"/>
                  </w:tcBorders>
                  <w:noWrap w:val="0"/>
                  <w:vAlign w:val="center"/>
                </w:tcPr>
                <w:p w14:paraId="06FE6C0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残留矿物油、重金属</w:t>
                  </w:r>
                </w:p>
              </w:tc>
              <w:tc>
                <w:tcPr>
                  <w:tcW w:w="607" w:type="dxa"/>
                  <w:tcBorders>
                    <w:tl2br w:val="nil"/>
                    <w:tr2bl w:val="nil"/>
                  </w:tcBorders>
                  <w:noWrap w:val="0"/>
                  <w:vAlign w:val="center"/>
                </w:tcPr>
                <w:p w14:paraId="21A833A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1年</w:t>
                  </w:r>
                </w:p>
              </w:tc>
              <w:tc>
                <w:tcPr>
                  <w:tcW w:w="604" w:type="dxa"/>
                  <w:tcBorders>
                    <w:tl2br w:val="nil"/>
                    <w:tr2bl w:val="nil"/>
                  </w:tcBorders>
                  <w:noWrap w:val="0"/>
                  <w:vAlign w:val="center"/>
                </w:tcPr>
                <w:p w14:paraId="56AD061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T、I</w:t>
                  </w:r>
                </w:p>
              </w:tc>
              <w:tc>
                <w:tcPr>
                  <w:tcW w:w="603" w:type="dxa"/>
                  <w:vMerge w:val="continue"/>
                  <w:tcBorders>
                    <w:tl2br w:val="nil"/>
                    <w:tr2bl w:val="nil"/>
                  </w:tcBorders>
                  <w:noWrap w:val="0"/>
                  <w:vAlign w:val="center"/>
                </w:tcPr>
                <w:p w14:paraId="189D1A5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04FB33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tcBorders>
                    <w:tl2br w:val="nil"/>
                    <w:tr2bl w:val="nil"/>
                  </w:tcBorders>
                  <w:noWrap w:val="0"/>
                  <w:vAlign w:val="center"/>
                </w:tcPr>
                <w:p w14:paraId="4A0CF51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w:t>
                  </w:r>
                </w:p>
              </w:tc>
              <w:tc>
                <w:tcPr>
                  <w:tcW w:w="728" w:type="dxa"/>
                  <w:tcBorders>
                    <w:tl2br w:val="nil"/>
                    <w:tr2bl w:val="nil"/>
                  </w:tcBorders>
                  <w:noWrap w:val="0"/>
                  <w:vAlign w:val="center"/>
                </w:tcPr>
                <w:p w14:paraId="06DFA2F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含油废抹布</w:t>
                  </w:r>
                </w:p>
              </w:tc>
              <w:tc>
                <w:tcPr>
                  <w:tcW w:w="726" w:type="dxa"/>
                  <w:tcBorders>
                    <w:tl2br w:val="nil"/>
                    <w:tr2bl w:val="nil"/>
                  </w:tcBorders>
                  <w:noWrap w:val="0"/>
                  <w:vAlign w:val="center"/>
                </w:tcPr>
                <w:p w14:paraId="5901F29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HW</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49其他废物</w:t>
                  </w:r>
                </w:p>
              </w:tc>
              <w:tc>
                <w:tcPr>
                  <w:tcW w:w="726" w:type="dxa"/>
                  <w:tcBorders>
                    <w:tl2br w:val="nil"/>
                    <w:tr2bl w:val="nil"/>
                  </w:tcBorders>
                  <w:noWrap w:val="0"/>
                  <w:vAlign w:val="center"/>
                </w:tcPr>
                <w:p w14:paraId="2027DE3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900-041-49</w:t>
                  </w:r>
                </w:p>
              </w:tc>
              <w:tc>
                <w:tcPr>
                  <w:tcW w:w="868" w:type="dxa"/>
                  <w:tcBorders>
                    <w:tl2br w:val="nil"/>
                    <w:tr2bl w:val="nil"/>
                  </w:tcBorders>
                  <w:noWrap w:val="0"/>
                  <w:vAlign w:val="center"/>
                </w:tcPr>
                <w:p w14:paraId="53FCF1B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0.01</w:t>
                  </w:r>
                </w:p>
              </w:tc>
              <w:tc>
                <w:tcPr>
                  <w:tcW w:w="929" w:type="dxa"/>
                  <w:tcBorders>
                    <w:tl2br w:val="nil"/>
                    <w:tr2bl w:val="nil"/>
                  </w:tcBorders>
                  <w:noWrap w:val="0"/>
                  <w:vAlign w:val="center"/>
                </w:tcPr>
                <w:p w14:paraId="625011B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设备</w:t>
                  </w:r>
                </w:p>
                <w:p w14:paraId="6562B14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维修</w:t>
                  </w:r>
                </w:p>
              </w:tc>
              <w:tc>
                <w:tcPr>
                  <w:tcW w:w="572" w:type="dxa"/>
                  <w:tcBorders>
                    <w:tl2br w:val="nil"/>
                    <w:tr2bl w:val="nil"/>
                  </w:tcBorders>
                  <w:noWrap w:val="0"/>
                  <w:vAlign w:val="center"/>
                </w:tcPr>
                <w:p w14:paraId="315A7B8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固体</w:t>
                  </w:r>
                </w:p>
              </w:tc>
              <w:tc>
                <w:tcPr>
                  <w:tcW w:w="607" w:type="dxa"/>
                  <w:tcBorders>
                    <w:tl2br w:val="nil"/>
                    <w:tr2bl w:val="nil"/>
                  </w:tcBorders>
                  <w:noWrap w:val="0"/>
                  <w:vAlign w:val="center"/>
                </w:tcPr>
                <w:p w14:paraId="6E7BB7B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棉纤维、矿物油</w:t>
                  </w:r>
                </w:p>
              </w:tc>
              <w:tc>
                <w:tcPr>
                  <w:tcW w:w="607" w:type="dxa"/>
                  <w:tcBorders>
                    <w:tl2br w:val="nil"/>
                    <w:tr2bl w:val="nil"/>
                  </w:tcBorders>
                  <w:noWrap w:val="0"/>
                  <w:vAlign w:val="center"/>
                </w:tcPr>
                <w:p w14:paraId="2CB5951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矿物油、重金属</w:t>
                  </w:r>
                </w:p>
              </w:tc>
              <w:tc>
                <w:tcPr>
                  <w:tcW w:w="607" w:type="dxa"/>
                  <w:tcBorders>
                    <w:tl2br w:val="nil"/>
                    <w:tr2bl w:val="nil"/>
                  </w:tcBorders>
                  <w:noWrap w:val="0"/>
                  <w:vAlign w:val="center"/>
                </w:tcPr>
                <w:p w14:paraId="4C15D54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1年</w:t>
                  </w:r>
                </w:p>
              </w:tc>
              <w:tc>
                <w:tcPr>
                  <w:tcW w:w="604" w:type="dxa"/>
                  <w:tcBorders>
                    <w:tl2br w:val="nil"/>
                    <w:tr2bl w:val="nil"/>
                  </w:tcBorders>
                  <w:noWrap w:val="0"/>
                  <w:vAlign w:val="center"/>
                </w:tcPr>
                <w:p w14:paraId="4922052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T、I</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n</w:t>
                  </w:r>
                </w:p>
              </w:tc>
              <w:tc>
                <w:tcPr>
                  <w:tcW w:w="603" w:type="dxa"/>
                  <w:vMerge w:val="continue"/>
                  <w:tcBorders>
                    <w:tl2br w:val="nil"/>
                    <w:tr2bl w:val="nil"/>
                  </w:tcBorders>
                  <w:noWrap w:val="0"/>
                  <w:vAlign w:val="center"/>
                </w:tcPr>
                <w:p w14:paraId="390688C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23EC7C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13" w:type="dxa"/>
                  <w:gridSpan w:val="12"/>
                  <w:tcBorders>
                    <w:tl2br w:val="nil"/>
                    <w:tr2bl w:val="nil"/>
                  </w:tcBorders>
                  <w:noWrap w:val="0"/>
                  <w:vAlign w:val="center"/>
                </w:tcPr>
                <w:p w14:paraId="2D967AC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*注：污染防治措施一栏中应列明各类危险废物的贮存、利用或处置的具体方式。对同一贮存区同时存放多种危险废物的，应明确分类、分区、包装存放的具体要求。</w:t>
                  </w:r>
                </w:p>
              </w:tc>
            </w:tr>
          </w:tbl>
          <w:p w14:paraId="2CBCB86B">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textAlignment w:val="auto"/>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4.3</w:t>
            </w: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危险废物临时贮存及管理</w:t>
            </w:r>
          </w:p>
          <w:p w14:paraId="32D82B2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环评要求，建设单位</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新建1处危废贮存库，根据《建设项目危险废物环境影响评价指南》，危险废物贮存场所（设施）的名称、位置、占地面积、贮存方式、贮存容积、贮存周期等见表4-22。</w:t>
            </w:r>
          </w:p>
          <w:p w14:paraId="3A4AD2CD">
            <w:pPr>
              <w:jc w:val="center"/>
              <w:rPr>
                <w:rFonts w:hint="eastAsia" w:ascii="Times New Roman" w:hAnsi="Times New Roman" w:eastAsia="宋体" w:cs="Times New Roman"/>
                <w:b/>
                <w:bCs/>
                <w:color w:val="000000" w:themeColor="text1"/>
                <w:kern w:val="2"/>
                <w:sz w:val="21"/>
                <w:szCs w:val="21"/>
                <w:highlight w:val="none"/>
                <w:lang w:eastAsia="zh-CN"/>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eastAsia="zh-CN"/>
                <w14:textFill>
                  <w14:solidFill>
                    <w14:schemeClr w14:val="tx1"/>
                  </w14:solidFill>
                </w14:textFill>
              </w:rPr>
              <w:t>表</w:t>
            </w:r>
            <w:r>
              <w:rPr>
                <w:rFonts w:hint="eastAsia" w:ascii="Times New Roman" w:hAnsi="Times New Roman" w:eastAsia="宋体" w:cs="Times New Roman"/>
                <w:b/>
                <w:bCs/>
                <w:color w:val="000000" w:themeColor="text1"/>
                <w:kern w:val="2"/>
                <w:sz w:val="21"/>
                <w:szCs w:val="21"/>
                <w:highlight w:val="none"/>
                <w:lang w:val="en-US" w:eastAsia="zh-CN"/>
                <w14:textFill>
                  <w14:solidFill>
                    <w14:schemeClr w14:val="tx1"/>
                  </w14:solidFill>
                </w14:textFill>
              </w:rPr>
              <w:t>4-22</w:t>
            </w:r>
            <w:r>
              <w:rPr>
                <w:rFonts w:hint="eastAsia" w:ascii="Times New Roman" w:hAnsi="Times New Roman" w:eastAsia="宋体" w:cs="Times New Roman"/>
                <w:b/>
                <w:bCs/>
                <w:color w:val="000000" w:themeColor="text1"/>
                <w:kern w:val="2"/>
                <w:sz w:val="21"/>
                <w:szCs w:val="21"/>
                <w:highlight w:val="none"/>
                <w:lang w:eastAsia="zh-CN"/>
                <w14:textFill>
                  <w14:solidFill>
                    <w14:schemeClr w14:val="tx1"/>
                  </w14:solidFill>
                </w14:textFill>
              </w:rPr>
              <w:t xml:space="preserve"> </w:t>
            </w:r>
            <w:r>
              <w:rPr>
                <w:rFonts w:hint="eastAsia" w:ascii="Times New Roman" w:hAnsi="Times New Roman" w:eastAsia="宋体" w:cs="Times New Roman"/>
                <w:b/>
                <w:bCs/>
                <w:color w:val="000000" w:themeColor="text1"/>
                <w:kern w:val="2"/>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kern w:val="2"/>
                <w:sz w:val="21"/>
                <w:szCs w:val="21"/>
                <w:highlight w:val="none"/>
                <w:lang w:eastAsia="zh-CN"/>
                <w14:textFill>
                  <w14:solidFill>
                    <w14:schemeClr w14:val="tx1"/>
                  </w14:solidFill>
                </w14:textFill>
              </w:rPr>
              <w:t xml:space="preserve"> 项目危险废物贮存场所（设施）基本情况表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6"/>
              <w:gridCol w:w="1019"/>
              <w:gridCol w:w="1017"/>
              <w:gridCol w:w="665"/>
              <w:gridCol w:w="665"/>
              <w:gridCol w:w="665"/>
              <w:gridCol w:w="936"/>
              <w:gridCol w:w="936"/>
              <w:gridCol w:w="756"/>
              <w:gridCol w:w="878"/>
            </w:tblGrid>
            <w:tr w14:paraId="3D8D3C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tcBorders>
                    <w:tl2br w:val="nil"/>
                    <w:tr2bl w:val="nil"/>
                  </w:tcBorders>
                  <w:noWrap w:val="0"/>
                  <w:vAlign w:val="center"/>
                </w:tcPr>
                <w:p w14:paraId="298EB3D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序号</w:t>
                  </w:r>
                </w:p>
              </w:tc>
              <w:tc>
                <w:tcPr>
                  <w:tcW w:w="1019" w:type="dxa"/>
                  <w:tcBorders>
                    <w:tl2br w:val="nil"/>
                    <w:tr2bl w:val="nil"/>
                  </w:tcBorders>
                  <w:noWrap w:val="0"/>
                  <w:vAlign w:val="center"/>
                </w:tcPr>
                <w:p w14:paraId="7070AA2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贮存场所（设施）</w:t>
                  </w:r>
                </w:p>
                <w:p w14:paraId="166F24D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名称</w:t>
                  </w:r>
                </w:p>
              </w:tc>
              <w:tc>
                <w:tcPr>
                  <w:tcW w:w="1017" w:type="dxa"/>
                  <w:tcBorders>
                    <w:tl2br w:val="nil"/>
                    <w:tr2bl w:val="nil"/>
                  </w:tcBorders>
                  <w:noWrap w:val="0"/>
                  <w:vAlign w:val="center"/>
                </w:tcPr>
                <w:p w14:paraId="008BD9D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危险废物名称</w:t>
                  </w:r>
                </w:p>
              </w:tc>
              <w:tc>
                <w:tcPr>
                  <w:tcW w:w="665" w:type="dxa"/>
                  <w:tcBorders>
                    <w:tl2br w:val="nil"/>
                    <w:tr2bl w:val="nil"/>
                  </w:tcBorders>
                  <w:noWrap w:val="0"/>
                  <w:vAlign w:val="center"/>
                </w:tcPr>
                <w:p w14:paraId="151566A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危险废物类别</w:t>
                  </w:r>
                </w:p>
              </w:tc>
              <w:tc>
                <w:tcPr>
                  <w:tcW w:w="665" w:type="dxa"/>
                  <w:tcBorders>
                    <w:tl2br w:val="nil"/>
                    <w:tr2bl w:val="nil"/>
                  </w:tcBorders>
                  <w:noWrap w:val="0"/>
                  <w:vAlign w:val="center"/>
                </w:tcPr>
                <w:p w14:paraId="1C2B71C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危险废物代码</w:t>
                  </w:r>
                </w:p>
              </w:tc>
              <w:tc>
                <w:tcPr>
                  <w:tcW w:w="665" w:type="dxa"/>
                  <w:tcBorders>
                    <w:tl2br w:val="nil"/>
                    <w:tr2bl w:val="nil"/>
                  </w:tcBorders>
                  <w:noWrap w:val="0"/>
                  <w:vAlign w:val="center"/>
                </w:tcPr>
                <w:p w14:paraId="629A4E4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位置</w:t>
                  </w:r>
                </w:p>
              </w:tc>
              <w:tc>
                <w:tcPr>
                  <w:tcW w:w="936" w:type="dxa"/>
                  <w:tcBorders>
                    <w:tl2br w:val="nil"/>
                    <w:tr2bl w:val="nil"/>
                  </w:tcBorders>
                  <w:noWrap w:val="0"/>
                  <w:vAlign w:val="center"/>
                </w:tcPr>
                <w:p w14:paraId="491E62C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占地</w:t>
                  </w:r>
                </w:p>
                <w:p w14:paraId="06581FF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面积</w:t>
                  </w:r>
                </w:p>
              </w:tc>
              <w:tc>
                <w:tcPr>
                  <w:tcW w:w="936" w:type="dxa"/>
                  <w:tcBorders>
                    <w:tl2br w:val="nil"/>
                    <w:tr2bl w:val="nil"/>
                  </w:tcBorders>
                  <w:noWrap w:val="0"/>
                  <w:vAlign w:val="center"/>
                </w:tcPr>
                <w:p w14:paraId="0D00F9E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贮存</w:t>
                  </w:r>
                </w:p>
                <w:p w14:paraId="644B27F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方式</w:t>
                  </w:r>
                </w:p>
              </w:tc>
              <w:tc>
                <w:tcPr>
                  <w:tcW w:w="756" w:type="dxa"/>
                  <w:tcBorders>
                    <w:tl2br w:val="nil"/>
                    <w:tr2bl w:val="nil"/>
                  </w:tcBorders>
                  <w:noWrap w:val="0"/>
                  <w:vAlign w:val="center"/>
                </w:tcPr>
                <w:p w14:paraId="684740D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贮存</w:t>
                  </w:r>
                </w:p>
                <w:p w14:paraId="13F3E1E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能力</w:t>
                  </w:r>
                </w:p>
              </w:tc>
              <w:tc>
                <w:tcPr>
                  <w:tcW w:w="878" w:type="dxa"/>
                  <w:tcBorders>
                    <w:tl2br w:val="nil"/>
                    <w:tr2bl w:val="nil"/>
                  </w:tcBorders>
                  <w:noWrap w:val="0"/>
                  <w:vAlign w:val="center"/>
                </w:tcPr>
                <w:p w14:paraId="56C67C5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贮存</w:t>
                  </w:r>
                </w:p>
                <w:p w14:paraId="148A5F4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周期</w:t>
                  </w:r>
                </w:p>
              </w:tc>
            </w:tr>
            <w:tr w14:paraId="6C73B4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tcBorders>
                    <w:tl2br w:val="nil"/>
                    <w:tr2bl w:val="nil"/>
                  </w:tcBorders>
                  <w:noWrap w:val="0"/>
                  <w:vAlign w:val="center"/>
                </w:tcPr>
                <w:p w14:paraId="54FD766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1019" w:type="dxa"/>
                  <w:vMerge w:val="restart"/>
                  <w:tcBorders>
                    <w:tl2br w:val="nil"/>
                    <w:tr2bl w:val="nil"/>
                  </w:tcBorders>
                  <w:noWrap w:val="0"/>
                  <w:vAlign w:val="center"/>
                </w:tcPr>
                <w:p w14:paraId="64239C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3CAE354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6E5001D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EE208C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5D8AE90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68C3A08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318B2AA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F41CBB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549A734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1B6AB40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危废贮存库</w:t>
                  </w:r>
                </w:p>
              </w:tc>
              <w:tc>
                <w:tcPr>
                  <w:tcW w:w="1017" w:type="dxa"/>
                  <w:tcBorders>
                    <w:tl2br w:val="nil"/>
                    <w:tr2bl w:val="nil"/>
                  </w:tcBorders>
                  <w:noWrap w:val="0"/>
                  <w:vAlign w:val="center"/>
                </w:tcPr>
                <w:p w14:paraId="5462AC6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废润</w:t>
                  </w:r>
                </w:p>
                <w:p w14:paraId="5B24EA8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滑油</w:t>
                  </w:r>
                </w:p>
              </w:tc>
              <w:tc>
                <w:tcPr>
                  <w:tcW w:w="665" w:type="dxa"/>
                  <w:tcBorders>
                    <w:tl2br w:val="nil"/>
                    <w:tr2bl w:val="nil"/>
                  </w:tcBorders>
                  <w:noWrap w:val="0"/>
                  <w:vAlign w:val="center"/>
                </w:tcPr>
                <w:p w14:paraId="39EA865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HW08</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废矿物油与含矿物油废物</w:t>
                  </w:r>
                </w:p>
              </w:tc>
              <w:tc>
                <w:tcPr>
                  <w:tcW w:w="665" w:type="dxa"/>
                  <w:tcBorders>
                    <w:tl2br w:val="nil"/>
                    <w:tr2bl w:val="nil"/>
                  </w:tcBorders>
                  <w:noWrap w:val="0"/>
                  <w:vAlign w:val="center"/>
                </w:tcPr>
                <w:p w14:paraId="3F19FB2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900-214-08</w:t>
                  </w:r>
                </w:p>
              </w:tc>
              <w:tc>
                <w:tcPr>
                  <w:tcW w:w="665" w:type="dxa"/>
                  <w:vMerge w:val="restart"/>
                  <w:tcBorders>
                    <w:tl2br w:val="nil"/>
                    <w:tr2bl w:val="nil"/>
                  </w:tcBorders>
                  <w:noWrap w:val="0"/>
                  <w:vAlign w:val="center"/>
                </w:tcPr>
                <w:p w14:paraId="55C64FF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E0CECB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666DB1B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454D205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4042C51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3A7BCD0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DD168A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12A6002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4B80597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项目区北侧</w:t>
                  </w:r>
                </w:p>
              </w:tc>
              <w:tc>
                <w:tcPr>
                  <w:tcW w:w="936" w:type="dxa"/>
                  <w:vMerge w:val="restart"/>
                  <w:tcBorders>
                    <w:tl2br w:val="nil"/>
                    <w:tr2bl w:val="nil"/>
                  </w:tcBorders>
                  <w:noWrap w:val="0"/>
                  <w:vAlign w:val="center"/>
                </w:tcPr>
                <w:p w14:paraId="1542B90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1575758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3CB6808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036AEF2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7EBFC8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2CF2BE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A99AA9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CBB240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5A68B5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BBD24A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20m</w:t>
                  </w:r>
                  <w:r>
                    <w:rPr>
                      <w:rFonts w:hint="eastAsia" w:ascii="Times New Roman" w:hAnsi="Times New Roman" w:eastAsia="宋体" w:cs="Times New Roman"/>
                      <w:color w:val="000000" w:themeColor="text1"/>
                      <w:kern w:val="0"/>
                      <w:sz w:val="21"/>
                      <w:szCs w:val="21"/>
                      <w:highlight w:val="none"/>
                      <w:vertAlign w:val="superscript"/>
                      <w:lang w:val="en-US" w:eastAsia="zh-CN" w:bidi="ar"/>
                      <w14:textFill>
                        <w14:solidFill>
                          <w14:schemeClr w14:val="tx1"/>
                        </w14:solidFill>
                      </w14:textFill>
                    </w:rPr>
                    <w:t>2</w:t>
                  </w:r>
                </w:p>
              </w:tc>
              <w:tc>
                <w:tcPr>
                  <w:tcW w:w="936" w:type="dxa"/>
                  <w:tcBorders>
                    <w:tl2br w:val="nil"/>
                    <w:tr2bl w:val="nil"/>
                  </w:tcBorders>
                  <w:noWrap w:val="0"/>
                  <w:vAlign w:val="center"/>
                </w:tcPr>
                <w:p w14:paraId="51140F7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专用密闭铁桶盛装，底部设防渗托盘，粘贴危废标签</w:t>
                  </w:r>
                </w:p>
              </w:tc>
              <w:tc>
                <w:tcPr>
                  <w:tcW w:w="756" w:type="dxa"/>
                  <w:vMerge w:val="restart"/>
                  <w:tcBorders>
                    <w:tl2br w:val="nil"/>
                    <w:tr2bl w:val="nil"/>
                  </w:tcBorders>
                  <w:noWrap w:val="0"/>
                  <w:vAlign w:val="center"/>
                </w:tcPr>
                <w:p w14:paraId="2C731C5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1E8DCA4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46826AB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04552D5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B56B27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742D0B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0F67AD1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3EC68F4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5F7BC84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62EF272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3吨</w:t>
                  </w:r>
                </w:p>
              </w:tc>
              <w:tc>
                <w:tcPr>
                  <w:tcW w:w="878" w:type="dxa"/>
                  <w:vMerge w:val="restart"/>
                  <w:tcBorders>
                    <w:tl2br w:val="nil"/>
                    <w:tr2bl w:val="nil"/>
                  </w:tcBorders>
                  <w:noWrap w:val="0"/>
                  <w:vAlign w:val="center"/>
                </w:tcPr>
                <w:p w14:paraId="5E67738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436B589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3BBCE93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697394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A290FE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75FE391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4766D08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42FA769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23293F0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p w14:paraId="6441685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1年</w:t>
                  </w:r>
                </w:p>
              </w:tc>
            </w:tr>
            <w:tr w14:paraId="45A4B7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tcBorders>
                    <w:tl2br w:val="nil"/>
                    <w:tr2bl w:val="nil"/>
                  </w:tcBorders>
                  <w:noWrap w:val="0"/>
                  <w:vAlign w:val="center"/>
                </w:tcPr>
                <w:p w14:paraId="0856721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1019" w:type="dxa"/>
                  <w:vMerge w:val="continue"/>
                  <w:tcBorders>
                    <w:tl2br w:val="nil"/>
                    <w:tr2bl w:val="nil"/>
                  </w:tcBorders>
                  <w:noWrap w:val="0"/>
                  <w:vAlign w:val="center"/>
                </w:tcPr>
                <w:p w14:paraId="6B249FF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017" w:type="dxa"/>
                  <w:tcBorders>
                    <w:tl2br w:val="nil"/>
                    <w:tr2bl w:val="nil"/>
                  </w:tcBorders>
                  <w:noWrap w:val="0"/>
                  <w:vAlign w:val="center"/>
                </w:tcPr>
                <w:p w14:paraId="23DDC60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废润滑油桶</w:t>
                  </w:r>
                </w:p>
              </w:tc>
              <w:tc>
                <w:tcPr>
                  <w:tcW w:w="665" w:type="dxa"/>
                  <w:tcBorders>
                    <w:tl2br w:val="nil"/>
                    <w:tr2bl w:val="nil"/>
                  </w:tcBorders>
                  <w:noWrap w:val="0"/>
                  <w:vAlign w:val="center"/>
                </w:tcPr>
                <w:p w14:paraId="4F373AC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HW08</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废矿物油与含矿物油废物</w:t>
                  </w:r>
                </w:p>
              </w:tc>
              <w:tc>
                <w:tcPr>
                  <w:tcW w:w="665" w:type="dxa"/>
                  <w:tcBorders>
                    <w:tl2br w:val="nil"/>
                    <w:tr2bl w:val="nil"/>
                  </w:tcBorders>
                  <w:noWrap w:val="0"/>
                  <w:vAlign w:val="center"/>
                </w:tcPr>
                <w:p w14:paraId="0DA5201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900-249-08</w:t>
                  </w:r>
                </w:p>
              </w:tc>
              <w:tc>
                <w:tcPr>
                  <w:tcW w:w="665" w:type="dxa"/>
                  <w:vMerge w:val="continue"/>
                  <w:tcBorders>
                    <w:tl2br w:val="nil"/>
                    <w:tr2bl w:val="nil"/>
                  </w:tcBorders>
                  <w:noWrap w:val="0"/>
                  <w:vAlign w:val="center"/>
                </w:tcPr>
                <w:p w14:paraId="697E4D3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936" w:type="dxa"/>
                  <w:vMerge w:val="continue"/>
                  <w:tcBorders>
                    <w:tl2br w:val="nil"/>
                    <w:tr2bl w:val="nil"/>
                  </w:tcBorders>
                  <w:noWrap w:val="0"/>
                  <w:vAlign w:val="center"/>
                </w:tcPr>
                <w:p w14:paraId="7934BE7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936" w:type="dxa"/>
                  <w:tcBorders>
                    <w:tl2br w:val="nil"/>
                    <w:tr2bl w:val="nil"/>
                  </w:tcBorders>
                  <w:noWrap w:val="0"/>
                  <w:vAlign w:val="center"/>
                </w:tcPr>
                <w:p w14:paraId="27A67E5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加盖密闭叠放，底部设防渗托盘，粘贴危废标签</w:t>
                  </w:r>
                </w:p>
              </w:tc>
              <w:tc>
                <w:tcPr>
                  <w:tcW w:w="756" w:type="dxa"/>
                  <w:vMerge w:val="continue"/>
                  <w:tcBorders>
                    <w:tl2br w:val="nil"/>
                    <w:tr2bl w:val="nil"/>
                  </w:tcBorders>
                  <w:noWrap w:val="0"/>
                  <w:vAlign w:val="center"/>
                </w:tcPr>
                <w:p w14:paraId="3B0D278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78" w:type="dxa"/>
                  <w:vMerge w:val="continue"/>
                  <w:tcBorders>
                    <w:tl2br w:val="nil"/>
                    <w:tr2bl w:val="nil"/>
                  </w:tcBorders>
                  <w:noWrap w:val="0"/>
                  <w:vAlign w:val="center"/>
                </w:tcPr>
                <w:p w14:paraId="3F858168">
                  <w:pPr>
                    <w:topLinePunct/>
                    <w:adjustRightInd w:val="0"/>
                    <w:snapToGrid w:val="0"/>
                    <w:jc w:val="center"/>
                    <w:rPr>
                      <w:rFonts w:ascii="宋体" w:hAnsi="宋体"/>
                      <w:color w:val="000000" w:themeColor="text1"/>
                      <w:kern w:val="0"/>
                      <w:szCs w:val="21"/>
                      <w14:textFill>
                        <w14:solidFill>
                          <w14:schemeClr w14:val="tx1"/>
                        </w14:solidFill>
                      </w14:textFill>
                    </w:rPr>
                  </w:pPr>
                </w:p>
              </w:tc>
            </w:tr>
            <w:tr w14:paraId="4737E5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tcBorders>
                    <w:tl2br w:val="nil"/>
                    <w:tr2bl w:val="nil"/>
                  </w:tcBorders>
                  <w:noWrap w:val="0"/>
                  <w:vAlign w:val="center"/>
                </w:tcPr>
                <w:p w14:paraId="5B48CFA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w:t>
                  </w:r>
                </w:p>
              </w:tc>
              <w:tc>
                <w:tcPr>
                  <w:tcW w:w="1019" w:type="dxa"/>
                  <w:vMerge w:val="continue"/>
                  <w:tcBorders>
                    <w:tl2br w:val="nil"/>
                    <w:tr2bl w:val="nil"/>
                  </w:tcBorders>
                  <w:noWrap w:val="0"/>
                  <w:vAlign w:val="center"/>
                </w:tcPr>
                <w:p w14:paraId="4D8B807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1017" w:type="dxa"/>
                  <w:tcBorders>
                    <w:tl2br w:val="nil"/>
                    <w:tr2bl w:val="nil"/>
                  </w:tcBorders>
                  <w:noWrap w:val="0"/>
                  <w:vAlign w:val="center"/>
                </w:tcPr>
                <w:p w14:paraId="1DD8BEA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含油废抹布</w:t>
                  </w:r>
                </w:p>
              </w:tc>
              <w:tc>
                <w:tcPr>
                  <w:tcW w:w="665" w:type="dxa"/>
                  <w:tcBorders>
                    <w:tl2br w:val="nil"/>
                    <w:tr2bl w:val="nil"/>
                  </w:tcBorders>
                  <w:noWrap w:val="0"/>
                  <w:vAlign w:val="center"/>
                </w:tcPr>
                <w:p w14:paraId="2EC95E9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HW</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49其他废物</w:t>
                  </w:r>
                </w:p>
              </w:tc>
              <w:tc>
                <w:tcPr>
                  <w:tcW w:w="665" w:type="dxa"/>
                  <w:tcBorders>
                    <w:tl2br w:val="nil"/>
                    <w:tr2bl w:val="nil"/>
                  </w:tcBorders>
                  <w:noWrap w:val="0"/>
                  <w:vAlign w:val="center"/>
                </w:tcPr>
                <w:p w14:paraId="5BFF875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900-041-49</w:t>
                  </w:r>
                </w:p>
              </w:tc>
              <w:tc>
                <w:tcPr>
                  <w:tcW w:w="665" w:type="dxa"/>
                  <w:vMerge w:val="continue"/>
                  <w:tcBorders>
                    <w:tl2br w:val="nil"/>
                    <w:tr2bl w:val="nil"/>
                  </w:tcBorders>
                  <w:noWrap w:val="0"/>
                  <w:vAlign w:val="center"/>
                </w:tcPr>
                <w:p w14:paraId="28CF78F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936" w:type="dxa"/>
                  <w:vMerge w:val="continue"/>
                  <w:tcBorders>
                    <w:tl2br w:val="nil"/>
                    <w:tr2bl w:val="nil"/>
                  </w:tcBorders>
                  <w:noWrap w:val="0"/>
                  <w:vAlign w:val="center"/>
                </w:tcPr>
                <w:p w14:paraId="2715643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936" w:type="dxa"/>
                  <w:tcBorders>
                    <w:tl2br w:val="nil"/>
                    <w:tr2bl w:val="nil"/>
                  </w:tcBorders>
                  <w:noWrap w:val="0"/>
                  <w:vAlign w:val="center"/>
                </w:tcPr>
                <w:p w14:paraId="63A43C0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专用密封编织袋/容器盛装，粘贴危废标签</w:t>
                  </w:r>
                </w:p>
              </w:tc>
              <w:tc>
                <w:tcPr>
                  <w:tcW w:w="756" w:type="dxa"/>
                  <w:vMerge w:val="continue"/>
                  <w:tcBorders>
                    <w:tl2br w:val="nil"/>
                    <w:tr2bl w:val="nil"/>
                  </w:tcBorders>
                  <w:noWrap w:val="0"/>
                  <w:vAlign w:val="center"/>
                </w:tcPr>
                <w:p w14:paraId="1DB1033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878" w:type="dxa"/>
                  <w:vMerge w:val="continue"/>
                  <w:tcBorders>
                    <w:tl2br w:val="nil"/>
                    <w:tr2bl w:val="nil"/>
                  </w:tcBorders>
                  <w:noWrap w:val="0"/>
                  <w:vAlign w:val="center"/>
                </w:tcPr>
                <w:p w14:paraId="222C5F91">
                  <w:pPr>
                    <w:topLinePunct/>
                    <w:adjustRightInd w:val="0"/>
                    <w:snapToGrid w:val="0"/>
                    <w:jc w:val="center"/>
                    <w:rPr>
                      <w:rFonts w:ascii="宋体" w:hAnsi="宋体"/>
                      <w:color w:val="000000" w:themeColor="text1"/>
                      <w:kern w:val="0"/>
                      <w:szCs w:val="21"/>
                      <w14:textFill>
                        <w14:solidFill>
                          <w14:schemeClr w14:val="tx1"/>
                        </w14:solidFill>
                      </w14:textFill>
                    </w:rPr>
                  </w:pPr>
                </w:p>
              </w:tc>
            </w:tr>
          </w:tbl>
          <w:p w14:paraId="1ACC84C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危废贮存库须</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严格按照《</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危险废物贮存污染控制标准</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GB18597-2023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执行。本项目</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危废贮存库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应做好如下要求：</w:t>
            </w:r>
          </w:p>
          <w:p w14:paraId="29C70AB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w:t>
            </w:r>
          </w:p>
          <w:p w14:paraId="333B0D2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Times New Roman" w:hAnsi="Times New Roman" w:eastAsia="宋体" w:cs="Times New Roman"/>
                <w:color w:val="000000" w:themeColor="text1"/>
                <w:kern w:val="2"/>
                <w:sz w:val="24"/>
                <w:szCs w:val="24"/>
                <w:highlight w:val="yellow"/>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在危险废物储存过程中，严禁将危险废物随意露天堆放，</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危废贮存库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设置按照《危险废物贮存污染控制标准》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GB18597-2023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进行防风、防晒、防雨、防漏、防渗、防腐以及其他环境污染防治措施。</w:t>
            </w:r>
          </w:p>
          <w:p w14:paraId="3CA49F2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②</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贮存设施或贮存分区内地面、墙面裙脚、堵截泄漏的围堰、接触危险废物的隔板和墙体等应采用坚固的材料建造，表面无裂缝；</w:t>
            </w:r>
          </w:p>
          <w:p w14:paraId="12A8161F">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贮存设施地面与裙脚应采取表面防渗措施；表面防渗材料应与所接触的物料或污染物相容，可采用抗渗混凝土、高密度聚乙烯膜、钠基膨润土防水毯或其他防渗性能等效的材料。贮存设施地面应进行</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重点</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防渗，防渗层为至少1</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厚黏土层（渗透系数不大于10</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-7</w:t>
            </w:r>
            <w:r>
              <w:rPr>
                <w:rFonts w:hint="eastAsia"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cm</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s</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），或至少2</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mm</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厚高密度聚乙烯膜等人工防渗材料（渗透系数不大于10</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-10</w:t>
            </w:r>
            <w:r>
              <w:rPr>
                <w:rFonts w:hint="eastAsia"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cm</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s</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），或其他防渗性能等效的材料；</w:t>
            </w:r>
          </w:p>
          <w:p w14:paraId="35BB947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④</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同一贮存设施宜采用相同的防渗、防腐工艺（包括防渗、防腐结构或材料），防渗、防腐材料应覆盖所有可能与废物及其渗滤液、渗漏液等接触的构筑物表面</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71C3A19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⑤</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贮存设施应采取技术和管理措施防止无关人员进入。</w:t>
            </w:r>
          </w:p>
          <w:p w14:paraId="66B6CDB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过程管理</w:t>
            </w:r>
          </w:p>
          <w:p w14:paraId="1D8A8D9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①</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危险废物产生环节</w:t>
            </w:r>
          </w:p>
          <w:p w14:paraId="18896AB4">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危险废物产生情况主要包括：产生的危险废物名称、代码、废物类别、有害物质名称、物理性状、危险特性、本年度计划产生量、上年度实际产生量、来源及产生工序等。</w:t>
            </w:r>
          </w:p>
          <w:p w14:paraId="624197C1">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②</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危险废物转移环节</w:t>
            </w:r>
          </w:p>
          <w:p w14:paraId="4626A49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危险废物贮存情况：产废单位应明确危险废物贮存设施现状，包括设施名称、数量、类型、面积及贮存能力，掌握贮存危险废物的类别、名称、数量及贮存原因，提出危险废物贮存过</w:t>
            </w:r>
            <w:r>
              <w:rPr>
                <w:rFonts w:hint="eastAsia" w:cs="Times New Roman"/>
                <w:color w:val="000000" w:themeColor="text1"/>
                <w:kern w:val="2"/>
                <w:sz w:val="24"/>
                <w:szCs w:val="24"/>
                <w:highlight w:val="none"/>
                <w:lang w:val="en-US" w:eastAsia="zh-CN" w:bidi="ar-SA"/>
                <w14:textFill>
                  <w14:solidFill>
                    <w14:schemeClr w14:val="tx1"/>
                  </w14:solidFill>
                </w14:textFill>
              </w:rPr>
              <w:t>程中</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的污染防治和事故预防措施等内容。</w:t>
            </w:r>
          </w:p>
          <w:p w14:paraId="3022481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运输情况：危险废物运输应遵守危险货物运输管理的相关规定，按照危险废物特性分类运输。自行运输危险废物的应描述拟采用运输工具状况，包括工具种类、载重量、使用年限、危险货物运输资质、污染防治和事故预防措施等；委托外单位运输危险废物的，应描述委托运输具体状况，包括委托运输单位、危险货物运输资质等。</w:t>
            </w:r>
          </w:p>
          <w:p w14:paraId="1D2B397B">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危险废物转移情况：产废单位需要将危险废物转移出厂区的，应制定转移计划，其内容包括：危险废物数量、种类；拟接收危险废物的经营单位等。</w:t>
            </w:r>
          </w:p>
          <w:p w14:paraId="0C716E9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危险废物利用处置环节</w:t>
            </w:r>
          </w:p>
          <w:p w14:paraId="1741C30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危险废物委托利用处置情况主要包括：委托利用处置单位名称、经营单位的许可证编号、委托利用处置危险废物的名称、利用处置方式、本年度计划委托量和上年度委托量等。</w:t>
            </w:r>
          </w:p>
          <w:p w14:paraId="171F7F29">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（3）其他管理要求</w:t>
            </w:r>
          </w:p>
          <w:p w14:paraId="61D2B17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①</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w:t>
            </w:r>
            <w:r>
              <w:rPr>
                <w:rFonts w:hint="eastAsia" w:cs="Times New Roman"/>
                <w:color w:val="000000" w:themeColor="text1"/>
                <w:kern w:val="2"/>
                <w:sz w:val="24"/>
                <w:szCs w:val="24"/>
                <w:highlight w:val="none"/>
                <w:lang w:val="en-US" w:eastAsia="zh-CN" w:bidi="ar-SA"/>
                <w14:textFill>
                  <w14:solidFill>
                    <w14:schemeClr w14:val="tx1"/>
                  </w14:solidFill>
                </w14:textFill>
              </w:rPr>
              <w:t>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应具有固定的区域边界，并应采取与其他区域进行隔离的措施</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675F722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②</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w:t>
            </w:r>
            <w:r>
              <w:rPr>
                <w:rFonts w:hint="eastAsia" w:cs="Times New Roman"/>
                <w:color w:val="000000" w:themeColor="text1"/>
                <w:kern w:val="2"/>
                <w:sz w:val="24"/>
                <w:szCs w:val="24"/>
                <w:highlight w:val="none"/>
                <w:lang w:val="en-US" w:eastAsia="zh-CN" w:bidi="ar-SA"/>
                <w14:textFill>
                  <w14:solidFill>
                    <w14:schemeClr w14:val="tx1"/>
                  </w14:solidFill>
                </w14:textFill>
              </w:rPr>
              <w:t>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应采取防风、防雨、防晒和防止危险废物流失、扬散等措施</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521A23E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w:t>
            </w:r>
            <w:r>
              <w:rPr>
                <w:rFonts w:hint="eastAsia" w:cs="Times New Roman"/>
                <w:color w:val="000000" w:themeColor="text1"/>
                <w:kern w:val="2"/>
                <w:sz w:val="24"/>
                <w:szCs w:val="24"/>
                <w:highlight w:val="none"/>
                <w:lang w:val="en-US" w:eastAsia="zh-CN" w:bidi="ar-SA"/>
                <w14:textFill>
                  <w14:solidFill>
                    <w14:schemeClr w14:val="tx1"/>
                  </w14:solidFill>
                </w14:textFill>
              </w:rPr>
              <w:t>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贮存的危险废物应置于容器或包装物中，不应直接散堆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51C0470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④</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w:t>
            </w:r>
            <w:r>
              <w:rPr>
                <w:rFonts w:hint="eastAsia" w:cs="Times New Roman"/>
                <w:color w:val="000000" w:themeColor="text1"/>
                <w:kern w:val="2"/>
                <w:sz w:val="24"/>
                <w:szCs w:val="24"/>
                <w:highlight w:val="none"/>
                <w:lang w:val="en-US" w:eastAsia="zh-CN" w:bidi="ar-SA"/>
                <w14:textFill>
                  <w14:solidFill>
                    <w14:schemeClr w14:val="tx1"/>
                  </w14:solidFill>
                </w14:textFill>
              </w:rPr>
              <w:t>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应根据危险废物的形态、物理化学性质、包装形式等，采取防渗、防漏等污染防治措施</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或采用具有相应功能的装置；</w:t>
            </w:r>
          </w:p>
          <w:p w14:paraId="6FD09C47">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⑤</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w:t>
            </w:r>
            <w:r>
              <w:rPr>
                <w:rFonts w:hint="eastAsia" w:cs="Times New Roman"/>
                <w:color w:val="000000" w:themeColor="text1"/>
                <w:kern w:val="2"/>
                <w:sz w:val="24"/>
                <w:szCs w:val="24"/>
                <w:highlight w:val="none"/>
                <w:lang w:val="en-US" w:eastAsia="zh-CN" w:bidi="ar-SA"/>
                <w14:textFill>
                  <w14:solidFill>
                    <w14:schemeClr w14:val="tx1"/>
                  </w14:solidFill>
                </w14:textFill>
              </w:rPr>
              <w:t>库</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应及时清运贮存的危险废物，实时贮存量不应超过3吨。</w:t>
            </w:r>
          </w:p>
          <w:p w14:paraId="2B12A6CA">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建立台账、联单</w:t>
            </w:r>
          </w:p>
          <w:p w14:paraId="42E7FF6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0"/>
                <w:highlight w:val="none"/>
                <w:lang w:val="en-US" w:eastAsia="zh-CN" w:bidi="ar-SA"/>
                <w14:textFill>
                  <w14:solidFill>
                    <w14:schemeClr w14:val="tx1"/>
                  </w14:solidFill>
                </w14:textFill>
              </w:rPr>
              <w:t>根据《危险废物转移管理办法》</w:t>
            </w:r>
            <w:r>
              <w:rPr>
                <w:rFonts w:hint="eastAsia" w:ascii="Times New Roman" w:hAnsi="Times New Roman" w:eastAsia="宋体" w:cs="Times New Roman"/>
                <w:color w:val="000000" w:themeColor="text1"/>
                <w:kern w:val="2"/>
                <w:sz w:val="24"/>
                <w:szCs w:val="20"/>
                <w:highlight w:val="none"/>
                <w:lang w:val="en-US" w:eastAsia="zh-CN" w:bidi="ar-SA"/>
                <w14:textFill>
                  <w14:solidFill>
                    <w14:schemeClr w14:val="tx1"/>
                  </w14:solidFill>
                </w14:textFill>
              </w:rPr>
              <w:t>（2022年1月1日实施），</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产废单位要结合自身的实际情况，与生产记录相衔接，建立危险废物台账，如实记载产生危险废物的种类、数量、流向、贮存、利用处置等信息。鼓励产废单位采用信息化手段建立危险废物台账、联单</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等</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。产废单位应在台账工作的基础上如实向所在地县级以上人民政府环境保护主管部门申报危险废物的种类、产生量、流向、贮存、处置等有关资料。</w:t>
            </w:r>
          </w:p>
          <w:p w14:paraId="6546A3D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（5）危废贮存库选址合理性分析</w:t>
            </w:r>
          </w:p>
          <w:p w14:paraId="63D6E98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①</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危废贮存库</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所在地无生态敏感区、风景名胜区、自然保护区、文化和自然遗产地、文物古迹、军事基地等环境敏感保护目标。</w:t>
            </w:r>
          </w:p>
          <w:p w14:paraId="760150BF">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②本项目</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危险废物产生量小、种类单一，就近设置便于收集、转运，减少运输过程环境风险。</w:t>
            </w:r>
          </w:p>
          <w:p w14:paraId="32904C2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③</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位于厂区非敏感区域，与人员活动区</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（办公楼）</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保持合理距离，对周边环境影响小。</w:t>
            </w:r>
          </w:p>
          <w:p w14:paraId="2DE136AD">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④</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不位于易积水、低洼处，地面硬化且防渗，可有效避免渗漏污染土壤及地下水。</w:t>
            </w:r>
          </w:p>
          <w:p w14:paraId="7FAC4831">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⑤</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危废贮存库</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的建设须严格按照《危险废物贮存污染控制标准》（GB18597-2023）执行。</w:t>
            </w:r>
          </w:p>
          <w:p w14:paraId="285E0DB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危废贮存库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选址合理可行。</w:t>
            </w:r>
          </w:p>
          <w:p w14:paraId="0BC3263F">
            <w:pPr>
              <w:pStyle w:val="64"/>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4.4一般固体</w:t>
            </w: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废物临时贮存及管理</w:t>
            </w:r>
          </w:p>
          <w:p w14:paraId="38AE4AA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本项目一般工业固体废物主要包括土块及石子、除尘灰、废包装物，固体废物临时贮存、转移、台账管理严格执行《一般工业固体废物贮存和填埋污染控制标准》（GB 18599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noBreakHyphen/>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2020）、《一般工业固体废物管理台账制定指南（试行）》相关规定，具体贮存措施及环境管理要求如下：</w:t>
            </w:r>
          </w:p>
          <w:p w14:paraId="7B0E2B8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（1）贮存场所建设要求</w:t>
            </w:r>
          </w:p>
          <w:p w14:paraId="5BA995C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①一般固废暂存区域设置规范、清晰的一般工业固体废物标识标牌，标明废物类别、名称；贮存区域设置</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在车间内</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，避免固体废物受雨水冲刷、淋泡，防止雨水淋溶形成无组织废水漫流</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59BC1E9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②贮存区域地面采用混凝土硬化防渗处理，地面平整、耐腐蚀、无裂缝破损，满足GB 18599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noBreakHyphen/>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2020防渗技术要求，防止物料渗滤液下渗污染土壤及地下水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319642F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③不同种类一般工业固体废物分区存放，设置隔断设施，严禁不同固废混堆混放；土块及石子在破碎车间内分区堆存，废包装物在库房内分区暂存；除尘灰产生后不暂存，直接返回生产线回用，不进入固废暂存</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区</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09E9CBE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（2）贮存作业管控要求</w:t>
            </w:r>
          </w:p>
          <w:p w14:paraId="03B929E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根据各类固废产生量及时转运、清理，不得出现物料溢满、乱堆乱放现象；每次清运完毕后，及时清扫暂存区域散落物料，保持暂存场所整洁</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5264635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（3）日常巡检维护</w:t>
            </w:r>
          </w:p>
          <w:p w14:paraId="3BF6338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安排专人对一般固废暂存场所开展日常巡检，重点检查地面防渗层完好情况、防雨设施完整性、标识完好性、物料分区堆放情况；发现地面开裂、物料混堆、溢满等问题，第一时间采取整改处置。</w:t>
            </w:r>
          </w:p>
          <w:p w14:paraId="695A039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（4）固体废物台账管理（依据《一般工业固体废物管理台账制定指南（试行）》）</w:t>
            </w:r>
          </w:p>
          <w:p w14:paraId="24ED9E6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建立完整的一般工业固体废物管理台账，如实记录各类固废产生、贮存、回用、转移、处置全流程信息：</w:t>
            </w:r>
          </w:p>
          <w:p w14:paraId="24E8057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土块及石子：记录产生量、车间暂存量、移交农户时间、接收农户信息、转运量、处置地点、运输车辆信息；</w:t>
            </w:r>
          </w:p>
          <w:p w14:paraId="5EB1404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除尘灰：记录产生量、直接回用于生产线的回用量、回用时间；</w:t>
            </w:r>
          </w:p>
          <w:p w14:paraId="40E25FB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废包装物：记录产生量、库房暂存量、外售单位、外售时间、转移量。</w:t>
            </w:r>
          </w:p>
          <w:p w14:paraId="2A497AE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台账纸质或电子档案完整留存，保存期限不少于5年；固废向外转移处置（移交农户、外售）时留存转移记录，做到来源可追溯、去向可核查。</w:t>
            </w:r>
          </w:p>
          <w:p w14:paraId="1501E03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（5）转移处置环境管理</w:t>
            </w:r>
          </w:p>
          <w:p w14:paraId="0CA3F7B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①土块及石子移交农户转运低洼地块填埋处置，企业与接收农户签订书面处置协议，明确固废种类、处置地点、环保责任，严禁随意倾倒至河道、林地、基本农田；运输车辆采用篷布密闭遮盖，防止沿途撒落扬尘；企业定期回访核查填埋现场，防范违规倾倒风险</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269B0BA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②除尘灰产生后不暂存，即时返回生产线回用，不对外转移，做好回用记录</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087FFC1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③废包装物外售给物资回收单位，回收单位具备相应接收能力，转移留存购销凭证。</w:t>
            </w:r>
          </w:p>
          <w:p w14:paraId="5E38C45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（6）其他管理要求</w:t>
            </w:r>
          </w:p>
          <w:p w14:paraId="2C6170E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①生产过程严格做好固废分类收集，严禁危险废物混入一般工业固体废物贮存区域</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7636C61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②定期组织管理人员开展GB18599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noBreakHyphen/>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2020、台账指南相关制度培训，落实岗位管理责任。</w:t>
            </w:r>
          </w:p>
          <w:p w14:paraId="4CE5618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综上所述，本项目运营期产生的危险废物均按规范分类收集，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厂区</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建设危险废物贮存</w:t>
            </w:r>
            <w:r>
              <w:rPr>
                <w:rFonts w:hint="eastAsia" w:cs="Times New Roman"/>
                <w:color w:val="000000" w:themeColor="text1"/>
                <w:kern w:val="2"/>
                <w:sz w:val="24"/>
                <w:szCs w:val="24"/>
                <w:highlight w:val="none"/>
                <w:lang w:val="en-US" w:eastAsia="zh-CN" w:bidi="ar-SA"/>
                <w14:textFill>
                  <w14:solidFill>
                    <w14:schemeClr w14:val="tx1"/>
                  </w14:solidFill>
                </w14:textFill>
              </w:rPr>
              <w:t>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进行分区暂存，贮存</w:t>
            </w:r>
            <w:r>
              <w:rPr>
                <w:rFonts w:hint="eastAsia" w:cs="Times New Roman"/>
                <w:color w:val="000000" w:themeColor="text1"/>
                <w:kern w:val="2"/>
                <w:sz w:val="24"/>
                <w:szCs w:val="24"/>
                <w:highlight w:val="none"/>
                <w:lang w:val="en-US" w:eastAsia="zh-CN" w:bidi="ar-SA"/>
                <w14:textFill>
                  <w14:solidFill>
                    <w14:schemeClr w14:val="tx1"/>
                  </w14:solidFill>
                </w14:textFill>
              </w:rPr>
              <w:t>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严格落实防渗地面、防渗沟、泄漏收集托盘等污染防控措施，满足《危险废物贮存污染控制标准》（GB18597-2023）相关要求；一般工业固废</w:t>
            </w:r>
            <w:r>
              <w:rPr>
                <w:rFonts w:hint="eastAsia" w:cs="Times New Roman"/>
                <w:color w:val="000000" w:themeColor="text1"/>
                <w:kern w:val="2"/>
                <w:sz w:val="24"/>
                <w:szCs w:val="24"/>
                <w:highlight w:val="none"/>
                <w:lang w:val="en-US" w:eastAsia="zh-CN" w:bidi="ar-SA"/>
                <w14:textFill>
                  <w14:solidFill>
                    <w14:schemeClr w14:val="tx1"/>
                  </w14:solidFill>
                </w14:textFill>
              </w:rPr>
              <w:t>处置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符合《一般工业固体废物贮存和填埋污染控制标准》（GB18599-2020）要求。项目各类固体废物处置及贮存措施可行、管理规范，可有效控制环境风险，对周边环境影响较小。</w:t>
            </w:r>
          </w:p>
          <w:p w14:paraId="2B04628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default" w:ascii="Times New Roman" w:hAnsi="Times New Roman" w:cs="Times New Roman"/>
                <w:b/>
                <w:bCs/>
                <w:color w:val="000000" w:themeColor="text1"/>
                <w:sz w:val="24"/>
                <w:szCs w:val="24"/>
                <w:highlight w:val="none"/>
                <w:lang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bCs/>
                <w:color w:val="000000" w:themeColor="text1"/>
                <w:sz w:val="24"/>
                <w:szCs w:val="24"/>
                <w:highlight w:val="none"/>
                <w:lang w:eastAsia="zh-CN"/>
                <w14:textFill>
                  <w14:solidFill>
                    <w14:schemeClr w14:val="tx1"/>
                  </w14:solidFill>
                </w14:textFill>
              </w:rPr>
              <w:t>地下水、土壤影响分析</w:t>
            </w:r>
          </w:p>
          <w:p w14:paraId="6BF8745C">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针对项目可能发生的地下水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及土壤</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污染，地下水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及土壤</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污染防治措施按照</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源头控制、末端防治、污染监控、应急响应</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相结合的原则，从污染物的产生、入渗、扩散、应急响应全阶段进行控制。</w:t>
            </w:r>
          </w:p>
          <w:p w14:paraId="3FD64EAA">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①</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源头控制措施</w:t>
            </w:r>
          </w:p>
          <w:p w14:paraId="4095220E">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主要包括在工艺、管道、设备、储存及处理构筑物采取相应措施，防止和降低污染物跑、冒、滴、漏，将污染物泄漏的环境风险事故降到最低程度</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6CC6BEC3">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②</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末端控制措施</w:t>
            </w:r>
          </w:p>
          <w:p w14:paraId="2D90753B">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主要包括建设区域污染区地面的防渗措施和泄漏、渗漏污染物收集措施，即在污染区地面进行防渗处理，防止洒落地面的污染物渗入地下，并把滞留在地面的污染物收集起来，</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再</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送至</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废水预</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处理系统处理；末端控制采取分区防渗，按重点污染防治区、一般污染防治区防渗措施有区别的防渗原则。</w:t>
            </w:r>
          </w:p>
          <w:p w14:paraId="0AA11258">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污染监控体系</w:t>
            </w:r>
          </w:p>
          <w:p w14:paraId="79CD9EDA">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实施覆盖生产区的地下水污染监控系统，建立完善的监测制度，配备先进的检测仪器和设备，科学合理设置地下水监控井，及时发现污染、控制污染。</w:t>
            </w:r>
          </w:p>
          <w:p w14:paraId="3134DEB7">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④</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应急响应措施</w:t>
            </w:r>
          </w:p>
          <w:p w14:paraId="2809A690">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发生泄漏</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立即启动应急预案，采取应急措施控制地下水污染，并使污染得到治理。</w:t>
            </w:r>
          </w:p>
          <w:p w14:paraId="448A951E">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依据《环境影响评价技术导则 地下水环境》（HJ610-2016）、《地下工程防水技术规范》（GB50108-2008）的要求，地下水污染防渗分区参照表见表</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4-</w:t>
            </w:r>
            <w:r>
              <w:rPr>
                <w:rFonts w:hint="eastAsia" w:cs="Times New Roman"/>
                <w:color w:val="000000" w:themeColor="text1"/>
                <w:kern w:val="2"/>
                <w:sz w:val="24"/>
                <w:szCs w:val="24"/>
                <w:highlight w:val="none"/>
                <w:lang w:val="en-US" w:eastAsia="zh-CN" w:bidi="ar-SA"/>
                <w14:textFill>
                  <w14:solidFill>
                    <w14:schemeClr w14:val="tx1"/>
                  </w14:solidFill>
                </w14:textFill>
              </w:rPr>
              <w:t>23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0C14BE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表</w:t>
            </w: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4-</w:t>
            </w:r>
            <w:r>
              <w:rPr>
                <w:rFonts w:hint="eastAsia" w:cs="Times New Roman"/>
                <w:b/>
                <w:color w:val="000000" w:themeColor="text1"/>
                <w:kern w:val="0"/>
                <w:sz w:val="21"/>
                <w:szCs w:val="21"/>
                <w:highlight w:val="none"/>
                <w:lang w:val="en-US" w:eastAsia="zh-CN"/>
                <w14:textFill>
                  <w14:solidFill>
                    <w14:schemeClr w14:val="tx1"/>
                  </w14:solidFill>
                </w14:textFill>
              </w:rPr>
              <w:t>23</w:t>
            </w:r>
            <w:r>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 xml:space="preserve">   地下水污染防渗分区参照表</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38"/>
              <w:gridCol w:w="1499"/>
              <w:gridCol w:w="1809"/>
              <w:gridCol w:w="1153"/>
              <w:gridCol w:w="2311"/>
            </w:tblGrid>
            <w:tr w14:paraId="0CCC5BD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tcBorders>
                    <w:tl2br w:val="nil"/>
                    <w:tr2bl w:val="nil"/>
                  </w:tcBorders>
                  <w:noWrap w:val="0"/>
                  <w:vAlign w:val="center"/>
                </w:tcPr>
                <w:p w14:paraId="64F81FC0">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防渗区域</w:t>
                  </w:r>
                </w:p>
              </w:tc>
              <w:tc>
                <w:tcPr>
                  <w:tcW w:w="935" w:type="pct"/>
                  <w:tcBorders>
                    <w:tl2br w:val="nil"/>
                    <w:tr2bl w:val="nil"/>
                  </w:tcBorders>
                  <w:noWrap w:val="0"/>
                  <w:vAlign w:val="center"/>
                </w:tcPr>
                <w:p w14:paraId="55489500">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天然包气带防污性能</w:t>
                  </w:r>
                </w:p>
              </w:tc>
              <w:tc>
                <w:tcPr>
                  <w:tcW w:w="1129" w:type="pct"/>
                  <w:tcBorders>
                    <w:tl2br w:val="nil"/>
                    <w:tr2bl w:val="nil"/>
                  </w:tcBorders>
                  <w:noWrap w:val="0"/>
                  <w:vAlign w:val="center"/>
                </w:tcPr>
                <w:p w14:paraId="0C72717B">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污染控制难易程度</w:t>
                  </w:r>
                </w:p>
              </w:tc>
              <w:tc>
                <w:tcPr>
                  <w:tcW w:w="719" w:type="pct"/>
                  <w:tcBorders>
                    <w:tl2br w:val="nil"/>
                    <w:tr2bl w:val="nil"/>
                  </w:tcBorders>
                  <w:noWrap w:val="0"/>
                  <w:vAlign w:val="center"/>
                </w:tcPr>
                <w:p w14:paraId="3A4A0A6B">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污染物</w:t>
                  </w:r>
                </w:p>
                <w:p w14:paraId="686DE578">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类型</w:t>
                  </w:r>
                </w:p>
              </w:tc>
              <w:tc>
                <w:tcPr>
                  <w:tcW w:w="1442" w:type="pct"/>
                  <w:tcBorders>
                    <w:tl2br w:val="nil"/>
                    <w:tr2bl w:val="nil"/>
                  </w:tcBorders>
                  <w:noWrap w:val="0"/>
                  <w:vAlign w:val="center"/>
                </w:tcPr>
                <w:p w14:paraId="5074AED8">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污染防渗技术要求</w:t>
                  </w:r>
                </w:p>
              </w:tc>
            </w:tr>
            <w:tr w14:paraId="6B2C4E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vMerge w:val="restart"/>
                  <w:tcBorders>
                    <w:tl2br w:val="nil"/>
                    <w:tr2bl w:val="nil"/>
                  </w:tcBorders>
                  <w:noWrap w:val="0"/>
                  <w:vAlign w:val="center"/>
                </w:tcPr>
                <w:p w14:paraId="5D06EFFA">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重点防渗区</w:t>
                  </w:r>
                </w:p>
              </w:tc>
              <w:tc>
                <w:tcPr>
                  <w:tcW w:w="935" w:type="pct"/>
                  <w:tcBorders>
                    <w:tl2br w:val="nil"/>
                    <w:tr2bl w:val="nil"/>
                  </w:tcBorders>
                  <w:noWrap w:val="0"/>
                  <w:vAlign w:val="center"/>
                </w:tcPr>
                <w:p w14:paraId="4DC6BF03">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弱</w:t>
                  </w:r>
                </w:p>
              </w:tc>
              <w:tc>
                <w:tcPr>
                  <w:tcW w:w="1129" w:type="pct"/>
                  <w:tcBorders>
                    <w:tl2br w:val="nil"/>
                    <w:tr2bl w:val="nil"/>
                  </w:tcBorders>
                  <w:noWrap w:val="0"/>
                  <w:vAlign w:val="center"/>
                </w:tcPr>
                <w:p w14:paraId="0A79E4BA">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难</w:t>
                  </w:r>
                </w:p>
              </w:tc>
              <w:tc>
                <w:tcPr>
                  <w:tcW w:w="719" w:type="pct"/>
                  <w:vMerge w:val="restart"/>
                  <w:tcBorders>
                    <w:tl2br w:val="nil"/>
                    <w:tr2bl w:val="nil"/>
                  </w:tcBorders>
                  <w:noWrap w:val="0"/>
                  <w:vAlign w:val="center"/>
                </w:tcPr>
                <w:p w14:paraId="56144F2F">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重金属、持久性有机污染物</w:t>
                  </w:r>
                </w:p>
              </w:tc>
              <w:tc>
                <w:tcPr>
                  <w:tcW w:w="1442" w:type="pct"/>
                  <w:vMerge w:val="restart"/>
                  <w:tcBorders>
                    <w:tl2br w:val="nil"/>
                    <w:tr2bl w:val="nil"/>
                  </w:tcBorders>
                  <w:noWrap w:val="0"/>
                  <w:vAlign w:val="center"/>
                </w:tcPr>
                <w:p w14:paraId="1C88329B">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等效黏土防渗层Mb≥6.0m，K≤1×10</w:t>
                  </w:r>
                  <w:r>
                    <w:rPr>
                      <w:rFonts w:hint="default"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cm/s，或参考GB18598执行；</w:t>
                  </w:r>
                </w:p>
              </w:tc>
            </w:tr>
            <w:tr w14:paraId="7090CE3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vMerge w:val="continue"/>
                  <w:tcBorders>
                    <w:tl2br w:val="nil"/>
                    <w:tr2bl w:val="nil"/>
                  </w:tcBorders>
                  <w:noWrap w:val="0"/>
                  <w:vAlign w:val="center"/>
                </w:tcPr>
                <w:p w14:paraId="73F3BD1A">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35" w:type="pct"/>
                  <w:tcBorders>
                    <w:tl2br w:val="nil"/>
                    <w:tr2bl w:val="nil"/>
                  </w:tcBorders>
                  <w:noWrap w:val="0"/>
                  <w:vAlign w:val="center"/>
                </w:tcPr>
                <w:p w14:paraId="7F2C865F">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中-强</w:t>
                  </w:r>
                </w:p>
              </w:tc>
              <w:tc>
                <w:tcPr>
                  <w:tcW w:w="1129" w:type="pct"/>
                  <w:tcBorders>
                    <w:tl2br w:val="nil"/>
                    <w:tr2bl w:val="nil"/>
                  </w:tcBorders>
                  <w:noWrap w:val="0"/>
                  <w:vAlign w:val="center"/>
                </w:tcPr>
                <w:p w14:paraId="18AE73BB">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难</w:t>
                  </w:r>
                </w:p>
              </w:tc>
              <w:tc>
                <w:tcPr>
                  <w:tcW w:w="719" w:type="pct"/>
                  <w:vMerge w:val="continue"/>
                  <w:tcBorders>
                    <w:tl2br w:val="nil"/>
                    <w:tr2bl w:val="nil"/>
                  </w:tcBorders>
                  <w:noWrap w:val="0"/>
                  <w:vAlign w:val="center"/>
                </w:tcPr>
                <w:p w14:paraId="379D1D6B">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442" w:type="pct"/>
                  <w:vMerge w:val="continue"/>
                  <w:tcBorders>
                    <w:tl2br w:val="nil"/>
                    <w:tr2bl w:val="nil"/>
                  </w:tcBorders>
                  <w:noWrap w:val="0"/>
                  <w:vAlign w:val="center"/>
                </w:tcPr>
                <w:p w14:paraId="699D17A7">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79F354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vMerge w:val="continue"/>
                  <w:tcBorders>
                    <w:tl2br w:val="nil"/>
                    <w:tr2bl w:val="nil"/>
                  </w:tcBorders>
                  <w:noWrap w:val="0"/>
                  <w:vAlign w:val="center"/>
                </w:tcPr>
                <w:p w14:paraId="197347A7">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35" w:type="pct"/>
                  <w:tcBorders>
                    <w:tl2br w:val="nil"/>
                    <w:tr2bl w:val="nil"/>
                  </w:tcBorders>
                  <w:noWrap w:val="0"/>
                  <w:vAlign w:val="center"/>
                </w:tcPr>
                <w:p w14:paraId="11A9786F">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弱</w:t>
                  </w:r>
                </w:p>
              </w:tc>
              <w:tc>
                <w:tcPr>
                  <w:tcW w:w="1129" w:type="pct"/>
                  <w:tcBorders>
                    <w:tl2br w:val="nil"/>
                    <w:tr2bl w:val="nil"/>
                  </w:tcBorders>
                  <w:noWrap w:val="0"/>
                  <w:vAlign w:val="center"/>
                </w:tcPr>
                <w:p w14:paraId="2E531B0A">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易</w:t>
                  </w:r>
                </w:p>
              </w:tc>
              <w:tc>
                <w:tcPr>
                  <w:tcW w:w="719" w:type="pct"/>
                  <w:vMerge w:val="continue"/>
                  <w:tcBorders>
                    <w:tl2br w:val="nil"/>
                    <w:tr2bl w:val="nil"/>
                  </w:tcBorders>
                  <w:noWrap w:val="0"/>
                  <w:vAlign w:val="center"/>
                </w:tcPr>
                <w:p w14:paraId="4EAFF121">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442" w:type="pct"/>
                  <w:vMerge w:val="continue"/>
                  <w:tcBorders>
                    <w:tl2br w:val="nil"/>
                    <w:tr2bl w:val="nil"/>
                  </w:tcBorders>
                  <w:noWrap w:val="0"/>
                  <w:vAlign w:val="center"/>
                </w:tcPr>
                <w:p w14:paraId="4E6B6F2A">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1E9F419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vMerge w:val="restart"/>
                  <w:tcBorders>
                    <w:tl2br w:val="nil"/>
                    <w:tr2bl w:val="nil"/>
                  </w:tcBorders>
                  <w:noWrap w:val="0"/>
                  <w:vAlign w:val="center"/>
                </w:tcPr>
                <w:p w14:paraId="465AA9FC">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一般防渗区</w:t>
                  </w:r>
                </w:p>
              </w:tc>
              <w:tc>
                <w:tcPr>
                  <w:tcW w:w="935" w:type="pct"/>
                  <w:tcBorders>
                    <w:tl2br w:val="nil"/>
                    <w:tr2bl w:val="nil"/>
                  </w:tcBorders>
                  <w:noWrap w:val="0"/>
                  <w:vAlign w:val="center"/>
                </w:tcPr>
                <w:p w14:paraId="15548163">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弱</w:t>
                  </w:r>
                </w:p>
              </w:tc>
              <w:tc>
                <w:tcPr>
                  <w:tcW w:w="1129" w:type="pct"/>
                  <w:tcBorders>
                    <w:tl2br w:val="nil"/>
                    <w:tr2bl w:val="nil"/>
                  </w:tcBorders>
                  <w:noWrap w:val="0"/>
                  <w:vAlign w:val="center"/>
                </w:tcPr>
                <w:p w14:paraId="5AFC2247">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易-难</w:t>
                  </w:r>
                </w:p>
              </w:tc>
              <w:tc>
                <w:tcPr>
                  <w:tcW w:w="719" w:type="pct"/>
                  <w:vMerge w:val="restart"/>
                  <w:tcBorders>
                    <w:tl2br w:val="nil"/>
                    <w:tr2bl w:val="nil"/>
                  </w:tcBorders>
                  <w:noWrap w:val="0"/>
                  <w:vAlign w:val="center"/>
                </w:tcPr>
                <w:p w14:paraId="6479F416">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其他类型</w:t>
                  </w:r>
                </w:p>
              </w:tc>
              <w:tc>
                <w:tcPr>
                  <w:tcW w:w="1442" w:type="pct"/>
                  <w:vMerge w:val="restart"/>
                  <w:tcBorders>
                    <w:tl2br w:val="nil"/>
                    <w:tr2bl w:val="nil"/>
                  </w:tcBorders>
                  <w:noWrap w:val="0"/>
                  <w:vAlign w:val="center"/>
                </w:tcPr>
                <w:p w14:paraId="5708E141">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等效黏土防渗层Mb≥1.5m，K≤1×10</w:t>
                  </w:r>
                  <w:r>
                    <w:rPr>
                      <w:rFonts w:hint="default"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cm/s，或参考GB16889执行；</w:t>
                  </w:r>
                </w:p>
              </w:tc>
            </w:tr>
            <w:tr w14:paraId="44423D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vMerge w:val="continue"/>
                  <w:tcBorders>
                    <w:tl2br w:val="nil"/>
                    <w:tr2bl w:val="nil"/>
                  </w:tcBorders>
                  <w:noWrap w:val="0"/>
                  <w:vAlign w:val="center"/>
                </w:tcPr>
                <w:p w14:paraId="7180AB41">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35" w:type="pct"/>
                  <w:tcBorders>
                    <w:tl2br w:val="nil"/>
                    <w:tr2bl w:val="nil"/>
                  </w:tcBorders>
                  <w:noWrap w:val="0"/>
                  <w:vAlign w:val="center"/>
                </w:tcPr>
                <w:p w14:paraId="613B5D5B">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中-强</w:t>
                  </w:r>
                </w:p>
              </w:tc>
              <w:tc>
                <w:tcPr>
                  <w:tcW w:w="1129" w:type="pct"/>
                  <w:tcBorders>
                    <w:tl2br w:val="nil"/>
                    <w:tr2bl w:val="nil"/>
                  </w:tcBorders>
                  <w:noWrap w:val="0"/>
                  <w:vAlign w:val="center"/>
                </w:tcPr>
                <w:p w14:paraId="3F0A2105">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难</w:t>
                  </w:r>
                </w:p>
              </w:tc>
              <w:tc>
                <w:tcPr>
                  <w:tcW w:w="719" w:type="pct"/>
                  <w:vMerge w:val="continue"/>
                  <w:tcBorders>
                    <w:tl2br w:val="nil"/>
                    <w:tr2bl w:val="nil"/>
                  </w:tcBorders>
                  <w:noWrap w:val="0"/>
                  <w:vAlign w:val="center"/>
                </w:tcPr>
                <w:p w14:paraId="2FCD9655">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442" w:type="pct"/>
                  <w:vMerge w:val="continue"/>
                  <w:tcBorders>
                    <w:tl2br w:val="nil"/>
                    <w:tr2bl w:val="nil"/>
                  </w:tcBorders>
                  <w:noWrap w:val="0"/>
                  <w:vAlign w:val="center"/>
                </w:tcPr>
                <w:p w14:paraId="6D955650">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1025A8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vMerge w:val="continue"/>
                  <w:tcBorders>
                    <w:tl2br w:val="nil"/>
                    <w:tr2bl w:val="nil"/>
                  </w:tcBorders>
                  <w:noWrap w:val="0"/>
                  <w:vAlign w:val="center"/>
                </w:tcPr>
                <w:p w14:paraId="2D5F7E8C">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35" w:type="pct"/>
                  <w:tcBorders>
                    <w:tl2br w:val="nil"/>
                    <w:tr2bl w:val="nil"/>
                  </w:tcBorders>
                  <w:noWrap w:val="0"/>
                  <w:vAlign w:val="center"/>
                </w:tcPr>
                <w:p w14:paraId="5F7B24DC">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中</w:t>
                  </w:r>
                </w:p>
              </w:tc>
              <w:tc>
                <w:tcPr>
                  <w:tcW w:w="1129" w:type="pct"/>
                  <w:tcBorders>
                    <w:tl2br w:val="nil"/>
                    <w:tr2bl w:val="nil"/>
                  </w:tcBorders>
                  <w:noWrap w:val="0"/>
                  <w:vAlign w:val="center"/>
                </w:tcPr>
                <w:p w14:paraId="7E01BF1F">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易</w:t>
                  </w:r>
                </w:p>
              </w:tc>
              <w:tc>
                <w:tcPr>
                  <w:tcW w:w="719" w:type="pct"/>
                  <w:vMerge w:val="restart"/>
                  <w:tcBorders>
                    <w:tl2br w:val="nil"/>
                    <w:tr2bl w:val="nil"/>
                  </w:tcBorders>
                  <w:noWrap w:val="0"/>
                  <w:vAlign w:val="center"/>
                </w:tcPr>
                <w:p w14:paraId="4EF4966F">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重金属、持久性有机污染物</w:t>
                  </w:r>
                </w:p>
              </w:tc>
              <w:tc>
                <w:tcPr>
                  <w:tcW w:w="1442" w:type="pct"/>
                  <w:vMerge w:val="continue"/>
                  <w:tcBorders>
                    <w:tl2br w:val="nil"/>
                    <w:tr2bl w:val="nil"/>
                  </w:tcBorders>
                  <w:noWrap w:val="0"/>
                  <w:vAlign w:val="center"/>
                </w:tcPr>
                <w:p w14:paraId="2EBA7E75">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273F41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vMerge w:val="continue"/>
                  <w:tcBorders>
                    <w:tl2br w:val="nil"/>
                    <w:tr2bl w:val="nil"/>
                  </w:tcBorders>
                  <w:noWrap w:val="0"/>
                  <w:vAlign w:val="center"/>
                </w:tcPr>
                <w:p w14:paraId="7246716D">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35" w:type="pct"/>
                  <w:tcBorders>
                    <w:tl2br w:val="nil"/>
                    <w:tr2bl w:val="nil"/>
                  </w:tcBorders>
                  <w:noWrap w:val="0"/>
                  <w:vAlign w:val="center"/>
                </w:tcPr>
                <w:p w14:paraId="585D646B">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强</w:t>
                  </w:r>
                </w:p>
              </w:tc>
              <w:tc>
                <w:tcPr>
                  <w:tcW w:w="1129" w:type="pct"/>
                  <w:tcBorders>
                    <w:tl2br w:val="nil"/>
                    <w:tr2bl w:val="nil"/>
                  </w:tcBorders>
                  <w:noWrap w:val="0"/>
                  <w:vAlign w:val="center"/>
                </w:tcPr>
                <w:p w14:paraId="4B7DCFE4">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易</w:t>
                  </w:r>
                </w:p>
              </w:tc>
              <w:tc>
                <w:tcPr>
                  <w:tcW w:w="719" w:type="pct"/>
                  <w:vMerge w:val="continue"/>
                  <w:tcBorders>
                    <w:tl2br w:val="nil"/>
                    <w:tr2bl w:val="nil"/>
                  </w:tcBorders>
                  <w:noWrap w:val="0"/>
                  <w:vAlign w:val="center"/>
                </w:tcPr>
                <w:p w14:paraId="22C2E442">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442" w:type="pct"/>
                  <w:vMerge w:val="continue"/>
                  <w:tcBorders>
                    <w:tl2br w:val="nil"/>
                    <w:tr2bl w:val="nil"/>
                  </w:tcBorders>
                  <w:noWrap w:val="0"/>
                  <w:vAlign w:val="center"/>
                </w:tcPr>
                <w:p w14:paraId="0D488DC2">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08D2A4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73" w:type="pct"/>
                  <w:tcBorders>
                    <w:tl2br w:val="nil"/>
                    <w:tr2bl w:val="nil"/>
                  </w:tcBorders>
                  <w:noWrap w:val="0"/>
                  <w:vAlign w:val="center"/>
                </w:tcPr>
                <w:p w14:paraId="2B19172D">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简单防渗区</w:t>
                  </w:r>
                </w:p>
              </w:tc>
              <w:tc>
                <w:tcPr>
                  <w:tcW w:w="935" w:type="pct"/>
                  <w:tcBorders>
                    <w:tl2br w:val="nil"/>
                    <w:tr2bl w:val="nil"/>
                  </w:tcBorders>
                  <w:noWrap w:val="0"/>
                  <w:vAlign w:val="center"/>
                </w:tcPr>
                <w:p w14:paraId="6DF781DE">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中-强</w:t>
                  </w:r>
                </w:p>
              </w:tc>
              <w:tc>
                <w:tcPr>
                  <w:tcW w:w="1129" w:type="pct"/>
                  <w:tcBorders>
                    <w:tl2br w:val="nil"/>
                    <w:tr2bl w:val="nil"/>
                  </w:tcBorders>
                  <w:noWrap w:val="0"/>
                  <w:vAlign w:val="center"/>
                </w:tcPr>
                <w:p w14:paraId="66C18B37">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易</w:t>
                  </w:r>
                </w:p>
              </w:tc>
              <w:tc>
                <w:tcPr>
                  <w:tcW w:w="719" w:type="pct"/>
                  <w:tcBorders>
                    <w:tl2br w:val="nil"/>
                    <w:tr2bl w:val="nil"/>
                  </w:tcBorders>
                  <w:noWrap w:val="0"/>
                  <w:vAlign w:val="center"/>
                </w:tcPr>
                <w:p w14:paraId="19E1FB3F">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其他类型</w:t>
                  </w:r>
                </w:p>
              </w:tc>
              <w:tc>
                <w:tcPr>
                  <w:tcW w:w="1442" w:type="pct"/>
                  <w:tcBorders>
                    <w:tl2br w:val="nil"/>
                    <w:tr2bl w:val="nil"/>
                  </w:tcBorders>
                  <w:noWrap w:val="0"/>
                  <w:vAlign w:val="center"/>
                </w:tcPr>
                <w:p w14:paraId="54F67D52">
                  <w:pPr>
                    <w:keepNext w:val="0"/>
                    <w:keepLines w:val="0"/>
                    <w:pageBreakBefore w:val="0"/>
                    <w:widowControl w:val="0"/>
                    <w:suppressLineNumbers w:val="0"/>
                    <w:tabs>
                      <w:tab w:val="left" w:pos="360"/>
                    </w:tabs>
                    <w:kinsoku/>
                    <w:wordWrap/>
                    <w:overflowPunct/>
                    <w:topLinePunct w:val="0"/>
                    <w:autoSpaceDE/>
                    <w:autoSpaceDN/>
                    <w:bidi w:val="0"/>
                    <w:adjustRightInd w:val="0"/>
                    <w:snapToGrid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一般地面硬化</w:t>
                  </w:r>
                </w:p>
              </w:tc>
            </w:tr>
          </w:tbl>
          <w:p w14:paraId="125BBECB">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根据以上防渗分区技术方法，按照项目总平面设计，结合</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可能泄漏至地面区域污染物的性质和生产单元的构筑方式，以及潜在的地下水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及土壤</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污染源分类分析，将</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划分为重点防渗区、一般防渗区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简单防渗区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及非</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防渗区。针对不同的区域提出相应的防渗要求。对</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可能泄漏污染物的地面进行防渗处理，可有效</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防止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污染物渗入地下</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及土壤</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并及时地将跑冒滴漏的污染物</w:t>
            </w:r>
            <w:r>
              <w:rPr>
                <w:rFonts w:hint="eastAsia" w:cs="Times New Roman"/>
                <w:color w:val="000000" w:themeColor="text1"/>
                <w:kern w:val="2"/>
                <w:sz w:val="24"/>
                <w:szCs w:val="24"/>
                <w:highlight w:val="none"/>
                <w:lang w:val="en-US" w:eastAsia="zh-CN" w:bidi="ar-SA"/>
                <w14:textFill>
                  <w14:solidFill>
                    <w14:schemeClr w14:val="tx1"/>
                  </w14:solidFill>
                </w14:textFill>
              </w:rPr>
              <w:t>导流至事故应急池，</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收集并</w:t>
            </w:r>
            <w:r>
              <w:rPr>
                <w:rFonts w:hint="eastAsia" w:cs="Times New Roman"/>
                <w:color w:val="000000" w:themeColor="text1"/>
                <w:kern w:val="2"/>
                <w:sz w:val="24"/>
                <w:szCs w:val="24"/>
                <w:highlight w:val="none"/>
                <w:lang w:val="en-US" w:eastAsia="zh-CN" w:bidi="ar-SA"/>
                <w14:textFill>
                  <w14:solidFill>
                    <w14:schemeClr w14:val="tx1"/>
                  </w14:solidFill>
                </w14:textFill>
              </w:rPr>
              <w:t>回用于生产线。</w:t>
            </w:r>
          </w:p>
          <w:p w14:paraId="6F2D2E50">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重点防渗区：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危废贮存库、液体肥车间</w:t>
            </w:r>
            <w:r>
              <w:rPr>
                <w:rFonts w:hint="eastAsia" w:cs="Times New Roman"/>
                <w:color w:val="000000" w:themeColor="text1"/>
                <w:kern w:val="2"/>
                <w:sz w:val="24"/>
                <w:szCs w:val="24"/>
                <w:highlight w:val="none"/>
                <w:lang w:val="en-US" w:eastAsia="zh-CN" w:bidi="ar-SA"/>
                <w14:textFill>
                  <w14:solidFill>
                    <w14:schemeClr w14:val="tx1"/>
                  </w14:solidFill>
                </w14:textFill>
              </w:rPr>
              <w:t>、不锈钢中转储罐、</w:t>
            </w:r>
            <w:r>
              <w:rPr>
                <w:rFonts w:hint="eastAsia" w:cs="Times New Roman"/>
                <w:color w:val="000000" w:themeColor="text1"/>
                <w:kern w:val="2"/>
                <w:sz w:val="24"/>
                <w:szCs w:val="24"/>
                <w:highlight w:val="none"/>
                <w:lang w:val="en-US" w:eastAsia="zh-CN" w:bidi="ar-SA"/>
                <w14:textFill>
                  <w14:solidFill>
                    <w14:schemeClr w14:val="tx1"/>
                  </w14:solidFill>
                </w14:textFill>
              </w:rPr>
              <w:t>事故池</w:t>
            </w:r>
            <w:r>
              <w:rPr>
                <w:rFonts w:hint="eastAsia" w:cs="Times New Roman"/>
                <w:color w:val="000000" w:themeColor="text1"/>
                <w:kern w:val="2"/>
                <w:sz w:val="24"/>
                <w:szCs w:val="24"/>
                <w:highlight w:val="none"/>
                <w:lang w:val="en-US" w:eastAsia="zh-CN" w:bidi="ar-SA"/>
                <w14:textFill>
                  <w14:solidFill>
                    <w14:schemeClr w14:val="tx1"/>
                  </w14:solidFill>
                </w14:textFill>
              </w:rPr>
              <w:t>；</w:t>
            </w:r>
          </w:p>
          <w:p w14:paraId="002C867F">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一般防渗区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：碳化车间、固体肥</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车间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、热储能车间、</w:t>
            </w:r>
            <w:r>
              <w:rPr>
                <w:rFonts w:hint="eastAsia" w:cs="Times New Roman"/>
                <w:color w:val="000000" w:themeColor="text1"/>
                <w:kern w:val="2"/>
                <w:sz w:val="24"/>
                <w:szCs w:val="24"/>
                <w:highlight w:val="none"/>
                <w:lang w:val="en-US" w:eastAsia="zh-CN" w:bidi="ar-SA"/>
                <w14:textFill>
                  <w14:solidFill>
                    <w14:schemeClr w14:val="tx1"/>
                  </w14:solidFill>
                </w14:textFill>
              </w:rPr>
              <w:t>成品车间、</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化粪池、库房、办公楼</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厂区运输道路；</w:t>
            </w:r>
          </w:p>
          <w:p w14:paraId="7692DC06">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非</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防渗区：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厂区绿化。</w:t>
            </w:r>
          </w:p>
          <w:p w14:paraId="35B0FABF">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0" w:firstLineChars="200"/>
              <w:textAlignment w:val="auto"/>
              <w:rPr>
                <w:rFonts w:hint="eastAsia"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w:t>
            </w:r>
            <w:r>
              <w:rPr>
                <w:rFonts w:hint="default" w:ascii="Times New Roman" w:hAnsi="Times New Roman" w:cs="Times New Roman"/>
                <w:color w:val="000000" w:themeColor="text1"/>
                <w:highlight w:val="none"/>
                <w:lang w:val="en-US" w:eastAsia="zh-CN"/>
                <w14:textFill>
                  <w14:solidFill>
                    <w14:schemeClr w14:val="tx1"/>
                  </w14:solidFill>
                </w14:textFill>
              </w:rPr>
              <w:t>目</w:t>
            </w:r>
            <w:r>
              <w:rPr>
                <w:rFonts w:hint="default" w:ascii="Times New Roman" w:hAnsi="Times New Roman" w:cs="Times New Roman"/>
                <w:color w:val="000000" w:themeColor="text1"/>
                <w:highlight w:val="none"/>
                <w14:textFill>
                  <w14:solidFill>
                    <w14:schemeClr w14:val="tx1"/>
                  </w14:solidFill>
                </w14:textFill>
              </w:rPr>
              <w:t>防治分区及防渗要求见表</w:t>
            </w:r>
            <w:r>
              <w:rPr>
                <w:rFonts w:hint="eastAsia" w:ascii="Times New Roman" w:hAnsi="Times New Roman" w:cs="Times New Roman"/>
                <w:color w:val="000000" w:themeColor="text1"/>
                <w:highlight w:val="none"/>
                <w:lang w:val="en-US" w:eastAsia="zh-CN"/>
                <w14:textFill>
                  <w14:solidFill>
                    <w14:schemeClr w14:val="tx1"/>
                  </w14:solidFill>
                </w14:textFill>
              </w:rPr>
              <w:t>4-</w:t>
            </w:r>
            <w:r>
              <w:rPr>
                <w:rFonts w:hint="eastAsia" w:cs="Times New Roman"/>
                <w:color w:val="000000" w:themeColor="text1"/>
                <w:highlight w:val="none"/>
                <w:lang w:val="en-US" w:eastAsia="zh-CN"/>
                <w14:textFill>
                  <w14:solidFill>
                    <w14:schemeClr w14:val="tx1"/>
                  </w14:solidFill>
                </w14:textFill>
              </w:rPr>
              <w:t>24</w:t>
            </w:r>
            <w:r>
              <w:rPr>
                <w:rFonts w:hint="eastAsia" w:ascii="Times New Roman" w:hAnsi="Times New Roman" w:cs="Times New Roman"/>
                <w:color w:val="000000" w:themeColor="text1"/>
                <w:highlight w:val="none"/>
                <w:lang w:val="en-US" w:eastAsia="zh-CN"/>
                <w14:textFill>
                  <w14:solidFill>
                    <w14:schemeClr w14:val="tx1"/>
                  </w14:solidFill>
                </w14:textFill>
              </w:rPr>
              <w:t>。</w:t>
            </w:r>
          </w:p>
          <w:p w14:paraId="7274A0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color w:val="000000" w:themeColor="text1"/>
                <w:kern w:val="0"/>
                <w:sz w:val="21"/>
                <w:szCs w:val="21"/>
                <w:highlight w:val="none"/>
                <w14:textFill>
                  <w14:solidFill>
                    <w14:schemeClr w14:val="tx1"/>
                  </w14:solidFill>
                </w14:textFill>
              </w:rPr>
            </w:pPr>
            <w:r>
              <w:rPr>
                <w:rFonts w:hint="default" w:ascii="Times New Roman" w:hAnsi="Times New Roman" w:cs="Times New Roman"/>
                <w:b/>
                <w:color w:val="000000" w:themeColor="text1"/>
                <w:kern w:val="0"/>
                <w:sz w:val="21"/>
                <w:szCs w:val="21"/>
                <w:highlight w:val="none"/>
                <w14:textFill>
                  <w14:solidFill>
                    <w14:schemeClr w14:val="tx1"/>
                  </w14:solidFill>
                </w14:textFill>
              </w:rPr>
              <w:t>表</w:t>
            </w:r>
            <w:r>
              <w:rPr>
                <w:rFonts w:hint="eastAsia" w:ascii="Times New Roman" w:hAnsi="Times New Roman" w:cs="Times New Roman"/>
                <w:b/>
                <w:color w:val="000000" w:themeColor="text1"/>
                <w:kern w:val="0"/>
                <w:sz w:val="21"/>
                <w:szCs w:val="21"/>
                <w:highlight w:val="none"/>
                <w:lang w:val="en-US" w:eastAsia="zh-CN"/>
                <w14:textFill>
                  <w14:solidFill>
                    <w14:schemeClr w14:val="tx1"/>
                  </w14:solidFill>
                </w14:textFill>
              </w:rPr>
              <w:t>4-</w:t>
            </w:r>
            <w:r>
              <w:rPr>
                <w:rFonts w:hint="eastAsia" w:cs="Times New Roman"/>
                <w:b/>
                <w:color w:val="000000" w:themeColor="text1"/>
                <w:kern w:val="0"/>
                <w:sz w:val="21"/>
                <w:szCs w:val="21"/>
                <w:highlight w:val="none"/>
                <w:lang w:val="en-US" w:eastAsia="zh-CN"/>
                <w14:textFill>
                  <w14:solidFill>
                    <w14:schemeClr w14:val="tx1"/>
                  </w14:solidFill>
                </w14:textFill>
              </w:rPr>
              <w:t>24</w:t>
            </w:r>
            <w:r>
              <w:rPr>
                <w:rFonts w:hint="default" w:ascii="Times New Roman" w:hAnsi="Times New Roman" w:cs="Times New Roman"/>
                <w:b/>
                <w:color w:val="000000" w:themeColor="text1"/>
                <w:kern w:val="0"/>
                <w:sz w:val="21"/>
                <w:szCs w:val="21"/>
                <w:highlight w:val="none"/>
                <w14:textFill>
                  <w14:solidFill>
                    <w14:schemeClr w14:val="tx1"/>
                  </w14:solidFill>
                </w14:textFill>
              </w:rPr>
              <w:t xml:space="preserve">   项目防渗分区及防渗要求</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80"/>
              <w:gridCol w:w="2950"/>
              <w:gridCol w:w="3781"/>
            </w:tblGrid>
            <w:tr w14:paraId="13B042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230" w:type="dxa"/>
                  <w:gridSpan w:val="2"/>
                  <w:tcBorders>
                    <w:tl2br w:val="nil"/>
                    <w:tr2bl w:val="nil"/>
                  </w:tcBorders>
                  <w:noWrap w:val="0"/>
                  <w:vAlign w:val="center"/>
                </w:tcPr>
                <w:p w14:paraId="78E9E511">
                  <w:pPr>
                    <w:pageBreakBefore w:val="0"/>
                    <w:widowControl w:val="0"/>
                    <w:kinsoku/>
                    <w:overflowPunct/>
                    <w:topLinePunct w:val="0"/>
                    <w:bidi w:val="0"/>
                    <w:spacing w:line="360" w:lineRule="exact"/>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防治分区</w:t>
                  </w:r>
                </w:p>
              </w:tc>
              <w:tc>
                <w:tcPr>
                  <w:tcW w:w="3781" w:type="dxa"/>
                  <w:tcBorders>
                    <w:tl2br w:val="nil"/>
                    <w:tr2bl w:val="nil"/>
                  </w:tcBorders>
                  <w:noWrap w:val="0"/>
                  <w:vAlign w:val="center"/>
                </w:tcPr>
                <w:p w14:paraId="2FE723C0">
                  <w:pPr>
                    <w:pageBreakBefore w:val="0"/>
                    <w:widowControl w:val="0"/>
                    <w:kinsoku/>
                    <w:overflowPunct/>
                    <w:topLinePunct w:val="0"/>
                    <w:bidi w:val="0"/>
                    <w:spacing w:line="360" w:lineRule="exact"/>
                    <w:jc w:val="center"/>
                    <w:rPr>
                      <w:rFonts w:hint="default" w:ascii="Times New Roman" w:hAnsi="Times New Roman" w:eastAsia="宋体" w:cs="Times New Roman"/>
                      <w:b/>
                      <w:bCs/>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防渗</w: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要求</w:t>
                  </w:r>
                </w:p>
              </w:tc>
            </w:tr>
            <w:tr w14:paraId="5148D00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80" w:type="dxa"/>
                  <w:tcBorders>
                    <w:tl2br w:val="nil"/>
                    <w:tr2bl w:val="nil"/>
                  </w:tcBorders>
                  <w:noWrap w:val="0"/>
                  <w:vAlign w:val="center"/>
                </w:tcPr>
                <w:p w14:paraId="6042BF41">
                  <w:pPr>
                    <w:pageBreakBefore w:val="0"/>
                    <w:widowControl w:val="0"/>
                    <w:kinsoku/>
                    <w:overflowPunct/>
                    <w:topLinePunct w:val="0"/>
                    <w:bidi w:val="0"/>
                    <w:spacing w:line="360" w:lineRule="exac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重点防渗</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区</w:t>
                  </w:r>
                </w:p>
              </w:tc>
              <w:tc>
                <w:tcPr>
                  <w:tcW w:w="2950" w:type="dxa"/>
                  <w:tcBorders>
                    <w:tl2br w:val="nil"/>
                    <w:tr2bl w:val="nil"/>
                  </w:tcBorders>
                  <w:noWrap w:val="0"/>
                  <w:vAlign w:val="center"/>
                </w:tcPr>
                <w:p w14:paraId="5C09DBF6">
                  <w:pPr>
                    <w:pageBreakBefore w:val="0"/>
                    <w:widowControl w:val="0"/>
                    <w:kinsoku/>
                    <w:overflowPunct/>
                    <w:topLinePunct w:val="0"/>
                    <w:bidi w:val="0"/>
                    <w:spacing w:line="36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危废贮存库</w:t>
                  </w:r>
                  <w:r>
                    <w:rPr>
                      <w:rFonts w:hint="eastAsia" w:cs="Times New Roman"/>
                      <w:color w:val="000000" w:themeColor="text1"/>
                      <w:kern w:val="0"/>
                      <w:sz w:val="21"/>
                      <w:szCs w:val="21"/>
                      <w:highlight w:val="none"/>
                      <w:lang w:val="en-US" w:eastAsia="zh-CN"/>
                      <w14:textFill>
                        <w14:solidFill>
                          <w14:schemeClr w14:val="tx1"/>
                        </w14:solidFill>
                      </w14:textFill>
                    </w:rPr>
                    <w:t>、液体肥车间、不锈钢中转储罐、</w:t>
                  </w:r>
                  <w:r>
                    <w:rPr>
                      <w:rFonts w:hint="eastAsia" w:cs="Times New Roman"/>
                      <w:color w:val="000000" w:themeColor="text1"/>
                      <w:kern w:val="0"/>
                      <w:sz w:val="21"/>
                      <w:szCs w:val="21"/>
                      <w:highlight w:val="none"/>
                      <w:lang w:val="en-US" w:eastAsia="zh-CN"/>
                      <w14:textFill>
                        <w14:solidFill>
                          <w14:schemeClr w14:val="tx1"/>
                        </w14:solidFill>
                      </w14:textFill>
                    </w:rPr>
                    <w:t>事故池</w:t>
                  </w:r>
                </w:p>
              </w:tc>
              <w:tc>
                <w:tcPr>
                  <w:tcW w:w="3781" w:type="dxa"/>
                  <w:tcBorders>
                    <w:tl2br w:val="nil"/>
                    <w:tr2bl w:val="nil"/>
                  </w:tcBorders>
                  <w:noWrap w:val="0"/>
                  <w:vAlign w:val="center"/>
                </w:tcPr>
                <w:p w14:paraId="4815AE1A">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采用2mm厚高密度聚乙烯或至少2mm厚的其他材料，渗透系数≤10</w:t>
                  </w:r>
                  <w:r>
                    <w:rPr>
                      <w:rFonts w:hint="default" w:ascii="Times New Roman" w:hAnsi="Times New Roman" w:cs="Times New Roman"/>
                      <w:color w:val="000000" w:themeColor="text1"/>
                      <w:kern w:val="0"/>
                      <w:sz w:val="21"/>
                      <w:szCs w:val="21"/>
                      <w:highlight w:val="none"/>
                      <w:vertAlign w:val="superscript"/>
                      <w14:textFill>
                        <w14:solidFill>
                          <w14:schemeClr w14:val="tx1"/>
                        </w14:solidFill>
                      </w14:textFill>
                    </w:rPr>
                    <w:t>-10</w:t>
                  </w:r>
                  <w:r>
                    <w:rPr>
                      <w:rFonts w:hint="default" w:ascii="Times New Roman" w:hAnsi="Times New Roman" w:cs="Times New Roman"/>
                      <w:color w:val="000000" w:themeColor="text1"/>
                      <w:kern w:val="0"/>
                      <w:sz w:val="21"/>
                      <w:szCs w:val="21"/>
                      <w:highlight w:val="none"/>
                      <w14:textFill>
                        <w14:solidFill>
                          <w14:schemeClr w14:val="tx1"/>
                        </w14:solidFill>
                      </w14:textFill>
                    </w:rPr>
                    <w:t>cm/s</w:t>
                  </w:r>
                </w:p>
              </w:tc>
            </w:tr>
            <w:tr w14:paraId="66FD6FC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80" w:type="dxa"/>
                  <w:tcBorders>
                    <w:tl2br w:val="nil"/>
                    <w:tr2bl w:val="nil"/>
                  </w:tcBorders>
                  <w:noWrap w:val="0"/>
                  <w:vAlign w:val="center"/>
                </w:tcPr>
                <w:p w14:paraId="59A4D04B">
                  <w:pPr>
                    <w:pageBreakBefore w:val="0"/>
                    <w:widowControl w:val="0"/>
                    <w:kinsoku/>
                    <w:overflowPunct/>
                    <w:topLinePunct w:val="0"/>
                    <w:bidi w:val="0"/>
                    <w:spacing w:line="36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一般防渗区</w:t>
                  </w:r>
                </w:p>
              </w:tc>
              <w:tc>
                <w:tcPr>
                  <w:tcW w:w="2950" w:type="dxa"/>
                  <w:tcBorders>
                    <w:tl2br w:val="nil"/>
                    <w:tr2bl w:val="nil"/>
                  </w:tcBorders>
                  <w:noWrap w:val="0"/>
                  <w:vAlign w:val="center"/>
                </w:tcPr>
                <w:p w14:paraId="4170A38F">
                  <w:pPr>
                    <w:pageBreakBefore w:val="0"/>
                    <w:widowControl w:val="0"/>
                    <w:kinsoku/>
                    <w:overflowPunct/>
                    <w:topLinePunct w:val="0"/>
                    <w:bidi w:val="0"/>
                    <w:spacing w:line="36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碳化车间、固体肥车间、热储能车间、成品车间、化粪池、库房、办公楼、厂区运输道路</w:t>
                  </w:r>
                </w:p>
              </w:tc>
              <w:tc>
                <w:tcPr>
                  <w:tcW w:w="3781" w:type="dxa"/>
                  <w:tcBorders>
                    <w:tl2br w:val="nil"/>
                    <w:tr2bl w:val="nil"/>
                  </w:tcBorders>
                  <w:noWrap w:val="0"/>
                  <w:vAlign w:val="center"/>
                </w:tcPr>
                <w:p w14:paraId="497A3007">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等效黏土防渗层Mb≥1.5m，K≤1×10</w:t>
                  </w:r>
                  <w:r>
                    <w:rPr>
                      <w:rFonts w:hint="default" w:ascii="Times New Roman" w:hAnsi="Times New Roman" w:cs="Times New Roman"/>
                      <w:color w:val="000000" w:themeColor="text1"/>
                      <w:kern w:val="0"/>
                      <w:sz w:val="21"/>
                      <w:szCs w:val="21"/>
                      <w:highlight w:val="none"/>
                      <w:vertAlign w:val="superscript"/>
                      <w14:textFill>
                        <w14:solidFill>
                          <w14:schemeClr w14:val="tx1"/>
                        </w14:solidFill>
                      </w14:textFill>
                    </w:rPr>
                    <w:t>-7</w:t>
                  </w:r>
                  <w:r>
                    <w:rPr>
                      <w:rFonts w:hint="default" w:ascii="Times New Roman" w:hAnsi="Times New Roman" w:cs="Times New Roman"/>
                      <w:color w:val="000000" w:themeColor="text1"/>
                      <w:kern w:val="0"/>
                      <w:sz w:val="21"/>
                      <w:szCs w:val="21"/>
                      <w:highlight w:val="none"/>
                      <w14:textFill>
                        <w14:solidFill>
                          <w14:schemeClr w14:val="tx1"/>
                        </w14:solidFill>
                      </w14:textFill>
                    </w:rPr>
                    <w:t>cm/s</w:t>
                  </w:r>
                </w:p>
              </w:tc>
            </w:tr>
            <w:tr w14:paraId="77DC98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80" w:type="dxa"/>
                  <w:tcBorders>
                    <w:tl2br w:val="nil"/>
                    <w:tr2bl w:val="nil"/>
                  </w:tcBorders>
                  <w:noWrap w:val="0"/>
                  <w:vAlign w:val="center"/>
                </w:tcPr>
                <w:p w14:paraId="4DA4D434">
                  <w:pPr>
                    <w:pageBreakBefore w:val="0"/>
                    <w:widowControl w:val="0"/>
                    <w:kinsoku/>
                    <w:overflowPunct/>
                    <w:topLinePunct w:val="0"/>
                    <w:bidi w:val="0"/>
                    <w:spacing w:line="360" w:lineRule="exac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非</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防渗区</w:t>
                  </w:r>
                </w:p>
              </w:tc>
              <w:tc>
                <w:tcPr>
                  <w:tcW w:w="2950" w:type="dxa"/>
                  <w:tcBorders>
                    <w:tl2br w:val="nil"/>
                    <w:tr2bl w:val="nil"/>
                  </w:tcBorders>
                  <w:noWrap w:val="0"/>
                  <w:vAlign w:val="center"/>
                </w:tcPr>
                <w:p w14:paraId="04AEC295">
                  <w:pPr>
                    <w:pageBreakBefore w:val="0"/>
                    <w:widowControl w:val="0"/>
                    <w:kinsoku/>
                    <w:overflowPunct/>
                    <w:topLinePunct w:val="0"/>
                    <w:bidi w:val="0"/>
                    <w:spacing w:line="360" w:lineRule="exact"/>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厂区绿化</w:t>
                  </w:r>
                </w:p>
              </w:tc>
              <w:tc>
                <w:tcPr>
                  <w:tcW w:w="3781" w:type="dxa"/>
                  <w:tcBorders>
                    <w:tl2br w:val="nil"/>
                    <w:tr2bl w:val="nil"/>
                  </w:tcBorders>
                  <w:noWrap w:val="0"/>
                  <w:vAlign w:val="center"/>
                </w:tcPr>
                <w:p w14:paraId="7E1D9B84">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非</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防渗</w:t>
                  </w:r>
                </w:p>
              </w:tc>
            </w:tr>
          </w:tbl>
          <w:p w14:paraId="57DED04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综上，</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在做好相关防范措施的前提下，</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对周边土壤、地下水的影响较小。</w:t>
            </w:r>
          </w:p>
          <w:p w14:paraId="2A1FD5D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项目分区防渗图见</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附</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图</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3C67ACB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⑤</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地下水环境跟踪监测计划</w:t>
            </w:r>
          </w:p>
          <w:p w14:paraId="08B8C4EB">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a.</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监测点位</w:t>
            </w:r>
          </w:p>
          <w:p w14:paraId="43AD44D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根据《环境影响评价技术导则 地下水环境》（HJ610-2016）及《地下水环境监测技术规范》（HJ/T164-20</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）的要求确定地下水监测点布设原则，结合厂区占地位置，共布设</w:t>
            </w:r>
            <w:r>
              <w:rPr>
                <w:rFonts w:hint="eastAsia" w:cs="Times New Roman"/>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个监测井</w:t>
            </w:r>
            <w:r>
              <w:rPr>
                <w:rFonts w:hint="eastAsia" w:cs="Times New Roman"/>
                <w:color w:val="000000" w:themeColor="text1"/>
                <w:kern w:val="2"/>
                <w:sz w:val="24"/>
                <w:szCs w:val="24"/>
                <w:highlight w:val="none"/>
                <w:lang w:val="en-US" w:eastAsia="zh-CN" w:bidi="ar-SA"/>
                <w14:textFill>
                  <w14:solidFill>
                    <w14:schemeClr w14:val="tx1"/>
                  </w14:solidFill>
                </w14:textFill>
              </w:rPr>
              <w:t>（红柳塘村四队原有饮用水井）</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。地下水环境监测点见表</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4-25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54DFF941">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表</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4-25</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   环境监测点一览表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18"/>
              <w:gridCol w:w="1843"/>
              <w:gridCol w:w="899"/>
              <w:gridCol w:w="1260"/>
              <w:gridCol w:w="2393"/>
            </w:tblGrid>
            <w:tr w14:paraId="6F0BAE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18" w:type="dxa"/>
                  <w:tcBorders>
                    <w:tl2br w:val="nil"/>
                    <w:tr2bl w:val="nil"/>
                  </w:tcBorders>
                  <w:noWrap w:val="0"/>
                  <w:vAlign w:val="center"/>
                </w:tcPr>
                <w:p w14:paraId="3BF70503">
                  <w:pPr>
                    <w:pageBreakBefore w:val="0"/>
                    <w:widowControl w:val="0"/>
                    <w:kinsoku/>
                    <w:overflowPunct/>
                    <w:topLinePunct w:val="0"/>
                    <w:bidi w:val="0"/>
                    <w:spacing w:line="360" w:lineRule="exact"/>
                    <w:jc w:val="center"/>
                    <w:rPr>
                      <w:rFonts w:hint="default" w:ascii="Times New Roman" w:hAnsi="Times New Roman" w:cs="Times New Roman"/>
                      <w:b/>
                      <w:bCs/>
                      <w:color w:val="000000" w:themeColor="text1"/>
                      <w:kern w:val="0"/>
                      <w:szCs w:val="21"/>
                      <w:highlight w:val="none"/>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t>功能</w:t>
                  </w:r>
                </w:p>
              </w:tc>
              <w:tc>
                <w:tcPr>
                  <w:tcW w:w="1843" w:type="dxa"/>
                  <w:tcBorders>
                    <w:tl2br w:val="nil"/>
                    <w:tr2bl w:val="nil"/>
                  </w:tcBorders>
                  <w:noWrap w:val="0"/>
                  <w:vAlign w:val="center"/>
                </w:tcPr>
                <w:p w14:paraId="3C6969F9">
                  <w:pPr>
                    <w:pageBreakBefore w:val="0"/>
                    <w:widowControl w:val="0"/>
                    <w:kinsoku/>
                    <w:overflowPunct/>
                    <w:topLinePunct w:val="0"/>
                    <w:bidi w:val="0"/>
                    <w:spacing w:line="360" w:lineRule="exact"/>
                    <w:jc w:val="center"/>
                    <w:rPr>
                      <w:rFonts w:hint="default" w:ascii="Times New Roman" w:hAnsi="Times New Roman" w:cs="Times New Roman"/>
                      <w:b/>
                      <w:bCs/>
                      <w:color w:val="000000" w:themeColor="text1"/>
                      <w:kern w:val="0"/>
                      <w:szCs w:val="21"/>
                      <w:highlight w:val="none"/>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t>方位</w:t>
                  </w:r>
                </w:p>
              </w:tc>
              <w:tc>
                <w:tcPr>
                  <w:tcW w:w="899" w:type="dxa"/>
                  <w:tcBorders>
                    <w:tl2br w:val="nil"/>
                    <w:tr2bl w:val="nil"/>
                  </w:tcBorders>
                  <w:noWrap w:val="0"/>
                  <w:vAlign w:val="center"/>
                </w:tcPr>
                <w:p w14:paraId="42D2D78B">
                  <w:pPr>
                    <w:pageBreakBefore w:val="0"/>
                    <w:widowControl w:val="0"/>
                    <w:kinsoku/>
                    <w:overflowPunct/>
                    <w:topLinePunct w:val="0"/>
                    <w:bidi w:val="0"/>
                    <w:spacing w:line="360" w:lineRule="exact"/>
                    <w:jc w:val="center"/>
                    <w:rPr>
                      <w:rFonts w:hint="default" w:ascii="Times New Roman" w:hAnsi="Times New Roman" w:eastAsia="宋体" w:cs="Times New Roman"/>
                      <w:b/>
                      <w:bCs/>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kern w:val="0"/>
                      <w:szCs w:val="21"/>
                      <w:highlight w:val="none"/>
                      <w:lang w:val="en-US" w:eastAsia="zh-CN"/>
                      <w14:textFill>
                        <w14:solidFill>
                          <w14:schemeClr w14:val="tx1"/>
                        </w14:solidFill>
                      </w14:textFill>
                    </w:rPr>
                    <w:t>井深</w:t>
                  </w:r>
                </w:p>
              </w:tc>
              <w:tc>
                <w:tcPr>
                  <w:tcW w:w="1260" w:type="dxa"/>
                  <w:tcBorders>
                    <w:tl2br w:val="nil"/>
                    <w:tr2bl w:val="nil"/>
                  </w:tcBorders>
                  <w:noWrap w:val="0"/>
                  <w:vAlign w:val="center"/>
                </w:tcPr>
                <w:p w14:paraId="43680174">
                  <w:pPr>
                    <w:pageBreakBefore w:val="0"/>
                    <w:widowControl w:val="0"/>
                    <w:kinsoku/>
                    <w:overflowPunct/>
                    <w:topLinePunct w:val="0"/>
                    <w:bidi w:val="0"/>
                    <w:spacing w:line="360" w:lineRule="exact"/>
                    <w:jc w:val="center"/>
                    <w:rPr>
                      <w:rFonts w:hint="eastAsia" w:ascii="Times New Roman" w:hAnsi="Times New Roman" w:cs="Times New Roman"/>
                      <w:b/>
                      <w:bCs/>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kern w:val="0"/>
                      <w:szCs w:val="21"/>
                      <w:highlight w:val="none"/>
                      <w:lang w:val="en-US" w:eastAsia="zh-CN"/>
                      <w14:textFill>
                        <w14:solidFill>
                          <w14:schemeClr w14:val="tx1"/>
                        </w14:solidFill>
                      </w14:textFill>
                    </w:rPr>
                    <w:t>监测层位</w:t>
                  </w:r>
                </w:p>
              </w:tc>
              <w:tc>
                <w:tcPr>
                  <w:tcW w:w="2393" w:type="dxa"/>
                  <w:tcBorders>
                    <w:tl2br w:val="nil"/>
                    <w:tr2bl w:val="nil"/>
                  </w:tcBorders>
                  <w:noWrap w:val="0"/>
                  <w:vAlign w:val="center"/>
                </w:tcPr>
                <w:p w14:paraId="4FDA4ED3">
                  <w:pPr>
                    <w:pageBreakBefore w:val="0"/>
                    <w:widowControl w:val="0"/>
                    <w:kinsoku/>
                    <w:overflowPunct/>
                    <w:topLinePunct w:val="0"/>
                    <w:bidi w:val="0"/>
                    <w:spacing w:line="360" w:lineRule="exact"/>
                    <w:jc w:val="center"/>
                    <w:rPr>
                      <w:rFonts w:hint="default" w:ascii="Times New Roman" w:hAnsi="Times New Roman" w:eastAsia="宋体" w:cs="Times New Roman"/>
                      <w:b/>
                      <w:bCs/>
                      <w:color w:val="000000" w:themeColor="text1"/>
                      <w:kern w:val="0"/>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0"/>
                      <w:szCs w:val="21"/>
                      <w:highlight w:val="none"/>
                      <w:lang w:val="en-US" w:eastAsia="zh-CN"/>
                      <w14:textFill>
                        <w14:solidFill>
                          <w14:schemeClr w14:val="tx1"/>
                        </w14:solidFill>
                      </w14:textFill>
                    </w:rPr>
                    <w:t>坐标</w:t>
                  </w:r>
                </w:p>
              </w:tc>
            </w:tr>
            <w:tr w14:paraId="5B8522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18" w:type="dxa"/>
                  <w:tcBorders>
                    <w:tl2br w:val="nil"/>
                    <w:tr2bl w:val="nil"/>
                  </w:tcBorders>
                  <w:noWrap w:val="0"/>
                  <w:vAlign w:val="center"/>
                </w:tcPr>
                <w:p w14:paraId="49640C03">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污染控制监测井</w:t>
                  </w:r>
                </w:p>
              </w:tc>
              <w:tc>
                <w:tcPr>
                  <w:tcW w:w="1843" w:type="dxa"/>
                  <w:tcBorders>
                    <w:tl2br w:val="nil"/>
                    <w:tr2bl w:val="nil"/>
                  </w:tcBorders>
                  <w:noWrap w:val="0"/>
                  <w:vAlign w:val="center"/>
                </w:tcPr>
                <w:p w14:paraId="03CEE81E">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Cs w:val="21"/>
                      <w:highlight w:val="none"/>
                      <w14:textFill>
                        <w14:solidFill>
                          <w14:schemeClr w14:val="tx1"/>
                        </w14:solidFill>
                      </w14:textFill>
                    </w:rPr>
                  </w:pP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项目区北侧（</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下游</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0"/>
                      <w:szCs w:val="21"/>
                      <w:highlight w:val="none"/>
                      <w14:textFill>
                        <w14:solidFill>
                          <w14:schemeClr w14:val="tx1"/>
                        </w14:solidFill>
                      </w14:textFill>
                    </w:rPr>
                    <w:t>地下水井</w:t>
                  </w:r>
                </w:p>
              </w:tc>
              <w:tc>
                <w:tcPr>
                  <w:tcW w:w="899" w:type="dxa"/>
                  <w:tcBorders>
                    <w:tl2br w:val="nil"/>
                    <w:tr2bl w:val="nil"/>
                  </w:tcBorders>
                  <w:noWrap w:val="0"/>
                  <w:vAlign w:val="center"/>
                </w:tcPr>
                <w:p w14:paraId="73534823">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180m</w:t>
                  </w:r>
                </w:p>
              </w:tc>
              <w:tc>
                <w:tcPr>
                  <w:tcW w:w="1260" w:type="dxa"/>
                  <w:tcBorders>
                    <w:tl2br w:val="nil"/>
                    <w:tr2bl w:val="nil"/>
                  </w:tcBorders>
                  <w:noWrap w:val="0"/>
                  <w:vAlign w:val="center"/>
                </w:tcPr>
                <w:p w14:paraId="6136A2F3">
                  <w:pPr>
                    <w:pageBreakBefore w:val="0"/>
                    <w:widowControl w:val="0"/>
                    <w:kinsoku/>
                    <w:overflowPunct/>
                    <w:topLinePunct w:val="0"/>
                    <w:bidi w:val="0"/>
                    <w:spacing w:line="360" w:lineRule="exact"/>
                    <w:jc w:val="cente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潜水完整井</w:t>
                  </w:r>
                </w:p>
              </w:tc>
              <w:tc>
                <w:tcPr>
                  <w:tcW w:w="2393" w:type="dxa"/>
                  <w:tcBorders>
                    <w:tl2br w:val="nil"/>
                    <w:tr2bl w:val="nil"/>
                  </w:tcBorders>
                  <w:noWrap w:val="0"/>
                  <w:vAlign w:val="center"/>
                </w:tcPr>
                <w:p w14:paraId="3B035732">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红柳塘村四队，项目区侧下游</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130m</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处，</w:t>
                  </w:r>
                </w:p>
                <w:p w14:paraId="0BC65F0E">
                  <w:pPr>
                    <w:pageBreakBefore w:val="0"/>
                    <w:widowControl w:val="0"/>
                    <w:kinsoku/>
                    <w:overflowPunct/>
                    <w:topLinePunct w:val="0"/>
                    <w:bidi w:val="0"/>
                    <w:spacing w:line="360" w:lineRule="exact"/>
                    <w:jc w:val="cente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E</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86.650434417</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w:t>
                  </w:r>
                </w:p>
                <w:p w14:paraId="480974BE">
                  <w:pPr>
                    <w:pageBreakBefore w:val="0"/>
                    <w:widowControl w:val="0"/>
                    <w:kinsoku/>
                    <w:overflowPunct/>
                    <w:topLinePunct w:val="0"/>
                    <w:bidi w:val="0"/>
                    <w:spacing w:line="36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N</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44.178448531</w:t>
                  </w:r>
                </w:p>
              </w:tc>
            </w:tr>
          </w:tbl>
          <w:p w14:paraId="26CF459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b.</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监测频率及监测因子</w:t>
            </w:r>
          </w:p>
          <w:p w14:paraId="34923FC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监测频率：每年一次。</w:t>
            </w:r>
          </w:p>
          <w:p w14:paraId="2E3A991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监测项目：pH、</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色度、嗅和味、硫化物、挥发性酚类（以苯酚计）、</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耗氧量、硝酸盐（以N计）、亚硝酸盐（以N计）、氨氮等。</w:t>
            </w:r>
          </w:p>
          <w:p w14:paraId="1ED5AF50">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6</w:t>
            </w: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生态</w:t>
            </w:r>
          </w:p>
          <w:p w14:paraId="21FDA6D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根据调查，本项目用地范围内不存在生态环境保护目标，按照</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《建设项目环境影响报告表编制技术指南（污染影响类）（试行）》</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要求，无需分析生态影响和提出生态保护措施。</w:t>
            </w:r>
          </w:p>
          <w:p w14:paraId="097819B7">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7</w:t>
            </w: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环境风险分析</w:t>
            </w:r>
          </w:p>
          <w:p w14:paraId="3ED5734E">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7.1风险物质调查</w:t>
            </w:r>
          </w:p>
          <w:p w14:paraId="30A684F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根据《建设项目环境风险评价技术导则》（HJ169-2018）风险识别内容，本项目风险物质为废润滑油</w:t>
            </w:r>
            <w:r>
              <w:rPr>
                <w:rFonts w:hint="eastAsia" w:cs="Times New Roman"/>
                <w:color w:val="000000" w:themeColor="text1"/>
                <w:kern w:val="2"/>
                <w:sz w:val="24"/>
                <w:szCs w:val="24"/>
                <w:highlight w:val="none"/>
                <w:lang w:val="en-US" w:eastAsia="zh-CN" w:bidi="ar-SA"/>
                <w14:textFill>
                  <w14:solidFill>
                    <w14:schemeClr w14:val="tx1"/>
                  </w14:solidFill>
                </w14:textFill>
              </w:rPr>
              <w:t>、木焦油及木煤气</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。项目风险物质最大储存量见表4-</w:t>
            </w:r>
            <w:r>
              <w:rPr>
                <w:rFonts w:hint="eastAsia" w:cs="Times New Roman"/>
                <w:color w:val="000000" w:themeColor="text1"/>
                <w:kern w:val="2"/>
                <w:sz w:val="24"/>
                <w:szCs w:val="24"/>
                <w:highlight w:val="none"/>
                <w:lang w:val="en-US" w:eastAsia="zh-CN" w:bidi="ar-SA"/>
                <w14:textFill>
                  <w14:solidFill>
                    <w14:schemeClr w14:val="tx1"/>
                  </w14:solidFill>
                </w14:textFill>
              </w:rPr>
              <w:t>26</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，主要理化性质见表4-</w:t>
            </w:r>
            <w:r>
              <w:rPr>
                <w:rFonts w:hint="eastAsia" w:cs="Times New Roman"/>
                <w:color w:val="000000" w:themeColor="text1"/>
                <w:kern w:val="2"/>
                <w:sz w:val="24"/>
                <w:szCs w:val="24"/>
                <w:highlight w:val="none"/>
                <w:lang w:val="en-US" w:eastAsia="zh-CN" w:bidi="ar-SA"/>
                <w14:textFill>
                  <w14:solidFill>
                    <w14:schemeClr w14:val="tx1"/>
                  </w14:solidFill>
                </w14:textFill>
              </w:rPr>
              <w:t>27</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~表</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4-2</w:t>
            </w:r>
            <w:r>
              <w:rPr>
                <w:rFonts w:hint="eastAsia" w:cs="Times New Roman"/>
                <w:color w:val="000000" w:themeColor="text1"/>
                <w:kern w:val="2"/>
                <w:sz w:val="24"/>
                <w:szCs w:val="24"/>
                <w:highlight w:val="none"/>
                <w:lang w:val="en-US" w:eastAsia="zh-CN" w:bidi="ar-SA"/>
                <w14:textFill>
                  <w14:solidFill>
                    <w14:schemeClr w14:val="tx1"/>
                  </w14:solidFill>
                </w14:textFill>
              </w:rPr>
              <w:t>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木煤</w:t>
            </w:r>
            <w:r>
              <w:rPr>
                <w:rFonts w:hint="eastAsia" w:cs="Times New Roman"/>
                <w:color w:val="000000" w:themeColor="text1"/>
                <w:kern w:val="2"/>
                <w:sz w:val="24"/>
                <w:szCs w:val="24"/>
                <w:highlight w:val="none"/>
                <w:lang w:val="en-US" w:eastAsia="zh-CN" w:bidi="ar-SA"/>
                <w14:textFill>
                  <w14:solidFill>
                    <w14:schemeClr w14:val="tx1"/>
                  </w14:solidFill>
                </w14:textFill>
              </w:rPr>
              <w:t>气的理化</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性质</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以一氧化碳、甲烷计</w:t>
            </w:r>
            <w:r>
              <w:rPr>
                <w:rFonts w:hint="eastAsia" w:cs="Times New Roman"/>
                <w:color w:val="000000" w:themeColor="text1"/>
                <w:kern w:val="2"/>
                <w:sz w:val="24"/>
                <w:szCs w:val="24"/>
                <w:highlight w:val="none"/>
                <w:lang w:val="en-US" w:eastAsia="zh-CN" w:bidi="ar-SA"/>
                <w14:textFill>
                  <w14:solidFill>
                    <w14:schemeClr w14:val="tx1"/>
                  </w14:solidFill>
                </w14:textFill>
              </w:rPr>
              <w:t>。</w:t>
            </w:r>
          </w:p>
          <w:p w14:paraId="34BBD6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表4-</w:t>
            </w:r>
            <w:r>
              <w:rPr>
                <w:rFonts w:hint="eastAsia" w:cs="Times New Roman"/>
                <w:b/>
                <w:color w:val="000000" w:themeColor="text1"/>
                <w:kern w:val="0"/>
                <w:sz w:val="21"/>
                <w:szCs w:val="21"/>
                <w:highlight w:val="none"/>
                <w:lang w:val="en-US" w:eastAsia="zh-CN"/>
                <w14:textFill>
                  <w14:solidFill>
                    <w14:schemeClr w14:val="tx1"/>
                  </w14:solidFill>
                </w14:textFill>
              </w:rPr>
              <w:t>26</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 xml:space="preserve"> </w:t>
            </w: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风险物质调查情况统计表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626"/>
              <w:gridCol w:w="2215"/>
              <w:gridCol w:w="1647"/>
              <w:gridCol w:w="2525"/>
            </w:tblGrid>
            <w:tr w14:paraId="2AEFF0B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626" w:type="dxa"/>
                  <w:tcBorders>
                    <w:tl2br w:val="nil"/>
                    <w:tr2bl w:val="nil"/>
                  </w:tcBorders>
                  <w:noWrap w:val="0"/>
                  <w:vAlign w:val="center"/>
                </w:tcPr>
                <w:p w14:paraId="58C64D6A">
                  <w:pPr>
                    <w:pageBreakBefore w:val="0"/>
                    <w:widowControl w:val="0"/>
                    <w:kinsoku/>
                    <w:overflowPunct/>
                    <w:topLinePunct w:val="0"/>
                    <w:bidi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名称</w:t>
                  </w:r>
                </w:p>
              </w:tc>
              <w:tc>
                <w:tcPr>
                  <w:tcW w:w="2215" w:type="dxa"/>
                  <w:tcBorders>
                    <w:tl2br w:val="nil"/>
                    <w:tr2bl w:val="nil"/>
                  </w:tcBorders>
                  <w:noWrap w:val="0"/>
                  <w:vAlign w:val="center"/>
                </w:tcPr>
                <w:p w14:paraId="242A93FB">
                  <w:pPr>
                    <w:pageBreakBefore w:val="0"/>
                    <w:widowControl w:val="0"/>
                    <w:kinsoku/>
                    <w:overflowPunct/>
                    <w:topLinePunct w:val="0"/>
                    <w:bidi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最大存在量（t）</w:t>
                  </w:r>
                </w:p>
              </w:tc>
              <w:tc>
                <w:tcPr>
                  <w:tcW w:w="1647" w:type="dxa"/>
                  <w:tcBorders>
                    <w:tl2br w:val="nil"/>
                    <w:tr2bl w:val="nil"/>
                  </w:tcBorders>
                  <w:noWrap w:val="0"/>
                  <w:vAlign w:val="center"/>
                </w:tcPr>
                <w:p w14:paraId="6E46CFCB">
                  <w:pPr>
                    <w:pageBreakBefore w:val="0"/>
                    <w:widowControl w:val="0"/>
                    <w:kinsoku/>
                    <w:overflowPunct/>
                    <w:topLinePunct w:val="0"/>
                    <w:bidi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临界量（t）</w:t>
                  </w:r>
                </w:p>
              </w:tc>
              <w:tc>
                <w:tcPr>
                  <w:tcW w:w="2525" w:type="dxa"/>
                  <w:tcBorders>
                    <w:tl2br w:val="nil"/>
                    <w:tr2bl w:val="nil"/>
                  </w:tcBorders>
                  <w:noWrap w:val="0"/>
                  <w:vAlign w:val="center"/>
                </w:tcPr>
                <w:p w14:paraId="65AC6439">
                  <w:pPr>
                    <w:pageBreakBefore w:val="0"/>
                    <w:widowControl w:val="0"/>
                    <w:kinsoku/>
                    <w:overflowPunct/>
                    <w:topLinePunct w:val="0"/>
                    <w:bidi w:val="0"/>
                    <w:spacing w:line="240" w:lineRule="auto"/>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储存地点</w:t>
                  </w:r>
                </w:p>
              </w:tc>
            </w:tr>
            <w:tr w14:paraId="15BDDC8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626" w:type="dxa"/>
                  <w:tcBorders>
                    <w:tl2br w:val="nil"/>
                    <w:tr2bl w:val="nil"/>
                  </w:tcBorders>
                  <w:noWrap w:val="0"/>
                  <w:vAlign w:val="center"/>
                </w:tcPr>
                <w:p w14:paraId="6B5AA893">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废润滑油</w:t>
                  </w:r>
                </w:p>
              </w:tc>
              <w:tc>
                <w:tcPr>
                  <w:tcW w:w="2215" w:type="dxa"/>
                  <w:tcBorders>
                    <w:tl2br w:val="nil"/>
                    <w:tr2bl w:val="nil"/>
                  </w:tcBorders>
                  <w:noWrap w:val="0"/>
                  <w:vAlign w:val="center"/>
                </w:tcPr>
                <w:p w14:paraId="7E3723F2">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w:t>
                  </w:r>
                  <w:r>
                    <w:rPr>
                      <w:rFonts w:hint="eastAsia" w:cs="Times New Roman"/>
                      <w:color w:val="000000" w:themeColor="text1"/>
                      <w:kern w:val="0"/>
                      <w:sz w:val="21"/>
                      <w:szCs w:val="21"/>
                      <w:highlight w:val="none"/>
                      <w:lang w:val="en-US" w:eastAsia="zh-CN"/>
                      <w14:textFill>
                        <w14:solidFill>
                          <w14:schemeClr w14:val="tx1"/>
                        </w14:solidFill>
                      </w14:textFill>
                    </w:rPr>
                    <w:t>2</w:t>
                  </w:r>
                </w:p>
              </w:tc>
              <w:tc>
                <w:tcPr>
                  <w:tcW w:w="1647" w:type="dxa"/>
                  <w:tcBorders>
                    <w:tl2br w:val="nil"/>
                    <w:tr2bl w:val="nil"/>
                  </w:tcBorders>
                  <w:noWrap w:val="0"/>
                  <w:vAlign w:val="center"/>
                </w:tcPr>
                <w:p w14:paraId="4901A45D">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2500</w:t>
                  </w:r>
                </w:p>
              </w:tc>
              <w:tc>
                <w:tcPr>
                  <w:tcW w:w="2525" w:type="dxa"/>
                  <w:tcBorders>
                    <w:tl2br w:val="nil"/>
                    <w:tr2bl w:val="nil"/>
                  </w:tcBorders>
                  <w:noWrap w:val="0"/>
                  <w:vAlign w:val="center"/>
                </w:tcPr>
                <w:p w14:paraId="54CBFE8A">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危废贮存库</w:t>
                  </w:r>
                </w:p>
              </w:tc>
            </w:tr>
            <w:tr w14:paraId="69CC0AB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626" w:type="dxa"/>
                  <w:tcBorders>
                    <w:tl2br w:val="nil"/>
                    <w:tr2bl w:val="nil"/>
                  </w:tcBorders>
                  <w:noWrap w:val="0"/>
                  <w:vAlign w:val="center"/>
                </w:tcPr>
                <w:p w14:paraId="16E84720">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木焦油</w:t>
                  </w:r>
                </w:p>
              </w:tc>
              <w:tc>
                <w:tcPr>
                  <w:tcW w:w="2215" w:type="dxa"/>
                  <w:tcBorders>
                    <w:tl2br w:val="nil"/>
                    <w:tr2bl w:val="nil"/>
                  </w:tcBorders>
                  <w:noWrap w:val="0"/>
                  <w:vAlign w:val="center"/>
                </w:tcPr>
                <w:p w14:paraId="6006D26E">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4</w:t>
                  </w:r>
                </w:p>
              </w:tc>
              <w:tc>
                <w:tcPr>
                  <w:tcW w:w="1647" w:type="dxa"/>
                  <w:tcBorders>
                    <w:tl2br w:val="nil"/>
                    <w:tr2bl w:val="nil"/>
                  </w:tcBorders>
                  <w:noWrap w:val="0"/>
                  <w:vAlign w:val="center"/>
                </w:tcPr>
                <w:p w14:paraId="3237B738">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2500</w:t>
                  </w:r>
                </w:p>
              </w:tc>
              <w:tc>
                <w:tcPr>
                  <w:tcW w:w="2525" w:type="dxa"/>
                  <w:tcBorders>
                    <w:tl2br w:val="nil"/>
                    <w:tr2bl w:val="nil"/>
                  </w:tcBorders>
                  <w:noWrap w:val="0"/>
                  <w:vAlign w:val="center"/>
                </w:tcPr>
                <w:p w14:paraId="69F37B6C">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olor w:val="000000" w:themeColor="text1"/>
                      <w:spacing w:val="9"/>
                      <w:highlight w:val="none"/>
                      <w:lang w:val="en-US" w:eastAsia="zh-CN"/>
                      <w14:textFill>
                        <w14:solidFill>
                          <w14:schemeClr w14:val="tx1"/>
                        </w14:solidFill>
                      </w14:textFill>
                    </w:rPr>
                    <w:t>不锈钢储罐</w:t>
                  </w:r>
                </w:p>
              </w:tc>
            </w:tr>
            <w:tr w14:paraId="064A890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626" w:type="dxa"/>
                  <w:tcBorders>
                    <w:tl2br w:val="nil"/>
                    <w:tr2bl w:val="nil"/>
                  </w:tcBorders>
                  <w:noWrap w:val="0"/>
                  <w:vAlign w:val="center"/>
                </w:tcPr>
                <w:p w14:paraId="6F3F7744">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木煤气</w:t>
                  </w:r>
                </w:p>
              </w:tc>
              <w:tc>
                <w:tcPr>
                  <w:tcW w:w="2215" w:type="dxa"/>
                  <w:tcBorders>
                    <w:tl2br w:val="nil"/>
                    <w:tr2bl w:val="nil"/>
                  </w:tcBorders>
                  <w:noWrap w:val="0"/>
                  <w:vAlign w:val="center"/>
                </w:tcPr>
                <w:p w14:paraId="32B98FF7">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6.5</w:t>
                  </w:r>
                </w:p>
              </w:tc>
              <w:tc>
                <w:tcPr>
                  <w:tcW w:w="1647" w:type="dxa"/>
                  <w:tcBorders>
                    <w:tl2br w:val="nil"/>
                    <w:tr2bl w:val="nil"/>
                  </w:tcBorders>
                  <w:noWrap w:val="0"/>
                  <w:vAlign w:val="center"/>
                </w:tcPr>
                <w:p w14:paraId="0F39E2E2">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7.5</w:t>
                  </w:r>
                </w:p>
              </w:tc>
              <w:tc>
                <w:tcPr>
                  <w:tcW w:w="2525" w:type="dxa"/>
                  <w:tcBorders>
                    <w:tl2br w:val="nil"/>
                    <w:tr2bl w:val="nil"/>
                  </w:tcBorders>
                  <w:noWrap w:val="0"/>
                  <w:vAlign w:val="center"/>
                </w:tcPr>
                <w:p w14:paraId="33223404">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双模储气柜</w:t>
                  </w:r>
                </w:p>
              </w:tc>
            </w:tr>
          </w:tbl>
          <w:p w14:paraId="68544E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表4-</w:t>
            </w:r>
            <w:r>
              <w:rPr>
                <w:rFonts w:hint="eastAsia" w:cs="Times New Roman"/>
                <w:b/>
                <w:color w:val="000000" w:themeColor="text1"/>
                <w:kern w:val="0"/>
                <w:sz w:val="21"/>
                <w:szCs w:val="21"/>
                <w:highlight w:val="none"/>
                <w:lang w:val="en-US" w:eastAsia="zh-CN"/>
                <w14:textFill>
                  <w14:solidFill>
                    <w14:schemeClr w14:val="tx1"/>
                  </w14:solidFill>
                </w14:textFill>
              </w:rPr>
              <w:t>27</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 xml:space="preserve"> </w:t>
            </w:r>
            <w:r>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润滑油的理化性质及危险特性表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199"/>
              <w:gridCol w:w="2803"/>
              <w:gridCol w:w="4011"/>
            </w:tblGrid>
            <w:tr w14:paraId="10E4950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restart"/>
                  <w:tcBorders>
                    <w:tl2br w:val="nil"/>
                    <w:tr2bl w:val="nil"/>
                  </w:tcBorders>
                  <w:noWrap w:val="0"/>
                  <w:vAlign w:val="center"/>
                </w:tcPr>
                <w:p w14:paraId="4A8DACA4">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标识</w:t>
                  </w:r>
                </w:p>
              </w:tc>
              <w:tc>
                <w:tcPr>
                  <w:tcW w:w="2905" w:type="dxa"/>
                  <w:tcBorders>
                    <w:tl2br w:val="nil"/>
                    <w:tr2bl w:val="nil"/>
                  </w:tcBorders>
                  <w:noWrap w:val="0"/>
                  <w:vAlign w:val="center"/>
                </w:tcPr>
                <w:p w14:paraId="3D9A13EB">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中文名：润滑油、机油</w:t>
                  </w:r>
                </w:p>
              </w:tc>
              <w:tc>
                <w:tcPr>
                  <w:tcW w:w="4158" w:type="dxa"/>
                  <w:tcBorders>
                    <w:tl2br w:val="nil"/>
                    <w:tr2bl w:val="nil"/>
                  </w:tcBorders>
                  <w:noWrap w:val="0"/>
                  <w:vAlign w:val="center"/>
                </w:tcPr>
                <w:p w14:paraId="373024D5">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英文名：lubricatingoil</w:t>
                  </w:r>
                </w:p>
              </w:tc>
            </w:tr>
            <w:tr w14:paraId="71FA0BA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6CC83EEE">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7063" w:type="dxa"/>
                  <w:gridSpan w:val="2"/>
                  <w:tcBorders>
                    <w:tl2br w:val="nil"/>
                    <w:tr2bl w:val="nil"/>
                  </w:tcBorders>
                  <w:noWrap w:val="0"/>
                  <w:vAlign w:val="center"/>
                </w:tcPr>
                <w:p w14:paraId="55595B56">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分子量：230-500</w:t>
                  </w:r>
                </w:p>
              </w:tc>
            </w:tr>
            <w:tr w14:paraId="62A2AEA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restart"/>
                  <w:tcBorders>
                    <w:tl2br w:val="nil"/>
                    <w:tr2bl w:val="nil"/>
                  </w:tcBorders>
                  <w:noWrap w:val="0"/>
                  <w:vAlign w:val="center"/>
                </w:tcPr>
                <w:p w14:paraId="193DC3DA">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理化性质</w:t>
                  </w:r>
                </w:p>
              </w:tc>
              <w:tc>
                <w:tcPr>
                  <w:tcW w:w="7063" w:type="dxa"/>
                  <w:gridSpan w:val="2"/>
                  <w:tcBorders>
                    <w:tl2br w:val="nil"/>
                    <w:tr2bl w:val="nil"/>
                  </w:tcBorders>
                  <w:noWrap w:val="0"/>
                  <w:vAlign w:val="center"/>
                </w:tcPr>
                <w:p w14:paraId="32111ABD">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性状：油状液体，淡黄色至褐色，无气味或略带异味</w:t>
                  </w:r>
                </w:p>
              </w:tc>
            </w:tr>
            <w:tr w14:paraId="66C1E6A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31F688A0">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7063" w:type="dxa"/>
                  <w:gridSpan w:val="2"/>
                  <w:tcBorders>
                    <w:tl2br w:val="nil"/>
                    <w:tr2bl w:val="nil"/>
                  </w:tcBorders>
                  <w:noWrap w:val="0"/>
                  <w:vAlign w:val="center"/>
                </w:tcPr>
                <w:p w14:paraId="0A404B6D">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成分：复杂烃类（碳原子数约10～22）混合物</w:t>
                  </w:r>
                </w:p>
              </w:tc>
            </w:tr>
            <w:tr w14:paraId="0CC4680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41AED307">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7063" w:type="dxa"/>
                  <w:gridSpan w:val="2"/>
                  <w:tcBorders>
                    <w:tl2br w:val="nil"/>
                    <w:tr2bl w:val="nil"/>
                  </w:tcBorders>
                  <w:noWrap w:val="0"/>
                  <w:vAlign w:val="center"/>
                </w:tcPr>
                <w:p w14:paraId="39E7B86D">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相对密度（水=1）：＜1</w:t>
                  </w:r>
                </w:p>
              </w:tc>
            </w:tr>
            <w:tr w14:paraId="042F7DF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6F42563D">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7063" w:type="dxa"/>
                  <w:gridSpan w:val="2"/>
                  <w:tcBorders>
                    <w:tl2br w:val="nil"/>
                    <w:tr2bl w:val="nil"/>
                  </w:tcBorders>
                  <w:noWrap w:val="0"/>
                  <w:vAlign w:val="center"/>
                </w:tcPr>
                <w:p w14:paraId="5833782F">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溶解性：不溶于水，溶于苯、乙醇、乙醚、氯仿和其他有机溶剂</w:t>
                  </w:r>
                </w:p>
              </w:tc>
            </w:tr>
            <w:tr w14:paraId="1CE9647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restart"/>
                  <w:tcBorders>
                    <w:tl2br w:val="nil"/>
                    <w:tr2bl w:val="nil"/>
                  </w:tcBorders>
                  <w:noWrap w:val="0"/>
                  <w:vAlign w:val="center"/>
                </w:tcPr>
                <w:p w14:paraId="1E202F43">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燃烧爆炸</w:t>
                  </w:r>
                </w:p>
                <w:p w14:paraId="5936D462">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危险性</w:t>
                  </w:r>
                </w:p>
              </w:tc>
              <w:tc>
                <w:tcPr>
                  <w:tcW w:w="2905" w:type="dxa"/>
                  <w:tcBorders>
                    <w:tl2br w:val="nil"/>
                    <w:tr2bl w:val="nil"/>
                  </w:tcBorders>
                  <w:noWrap w:val="0"/>
                  <w:vAlign w:val="center"/>
                </w:tcPr>
                <w:p w14:paraId="716FA0DF">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燃烧性：易燃</w:t>
                  </w:r>
                </w:p>
              </w:tc>
              <w:tc>
                <w:tcPr>
                  <w:tcW w:w="4158" w:type="dxa"/>
                  <w:tcBorders>
                    <w:tl2br w:val="nil"/>
                    <w:tr2bl w:val="nil"/>
                  </w:tcBorders>
                  <w:noWrap w:val="0"/>
                  <w:vAlign w:val="center"/>
                </w:tcPr>
                <w:p w14:paraId="374A1905">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燃烧分解产物：CO</w:t>
                  </w:r>
                  <w:r>
                    <w:rPr>
                      <w:rFonts w:hint="default" w:ascii="Times New Roman" w:hAnsi="Times New Roman" w:eastAsia="宋体" w:cs="Times New Roman"/>
                      <w:snapToGrid/>
                      <w:color w:val="000000" w:themeColor="text1"/>
                      <w:kern w:val="0"/>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、CO</w:t>
                  </w:r>
                </w:p>
              </w:tc>
            </w:tr>
            <w:tr w14:paraId="4C32CAE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51960F1C">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2905" w:type="dxa"/>
                  <w:tcBorders>
                    <w:tl2br w:val="nil"/>
                    <w:tr2bl w:val="nil"/>
                  </w:tcBorders>
                  <w:noWrap w:val="0"/>
                  <w:vAlign w:val="center"/>
                </w:tcPr>
                <w:p w14:paraId="2E1F980C">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闪点/℃：76</w:t>
                  </w:r>
                </w:p>
              </w:tc>
              <w:tc>
                <w:tcPr>
                  <w:tcW w:w="4158" w:type="dxa"/>
                  <w:tcBorders>
                    <w:tl2br w:val="nil"/>
                    <w:tr2bl w:val="nil"/>
                  </w:tcBorders>
                  <w:noWrap w:val="0"/>
                  <w:vAlign w:val="center"/>
                </w:tcPr>
                <w:p w14:paraId="352EA1A9">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爆炸极限：无资料</w:t>
                  </w:r>
                </w:p>
              </w:tc>
            </w:tr>
            <w:tr w14:paraId="79268B3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7DEC8C17">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2905" w:type="dxa"/>
                  <w:tcBorders>
                    <w:tl2br w:val="nil"/>
                    <w:tr2bl w:val="nil"/>
                  </w:tcBorders>
                  <w:noWrap w:val="0"/>
                  <w:vAlign w:val="center"/>
                </w:tcPr>
                <w:p w14:paraId="329FA192">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引燃温度/℃：248</w:t>
                  </w:r>
                </w:p>
              </w:tc>
              <w:tc>
                <w:tcPr>
                  <w:tcW w:w="4158" w:type="dxa"/>
                  <w:tcBorders>
                    <w:tl2br w:val="nil"/>
                    <w:tr2bl w:val="nil"/>
                  </w:tcBorders>
                  <w:noWrap w:val="0"/>
                  <w:vAlign w:val="center"/>
                </w:tcPr>
                <w:p w14:paraId="7572B70C">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稳定性：稳定</w:t>
                  </w:r>
                </w:p>
              </w:tc>
            </w:tr>
            <w:tr w14:paraId="2456637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2C1FCD47">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7063" w:type="dxa"/>
                  <w:gridSpan w:val="2"/>
                  <w:tcBorders>
                    <w:tl2br w:val="nil"/>
                    <w:tr2bl w:val="nil"/>
                  </w:tcBorders>
                  <w:noWrap w:val="0"/>
                  <w:vAlign w:val="center"/>
                </w:tcPr>
                <w:p w14:paraId="08E38948">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危险特性：遇明火、高热可燃</w:t>
                  </w:r>
                </w:p>
              </w:tc>
            </w:tr>
            <w:tr w14:paraId="0B5CF26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vMerge w:val="continue"/>
                  <w:tcBorders>
                    <w:tl2br w:val="nil"/>
                    <w:tr2bl w:val="nil"/>
                  </w:tcBorders>
                  <w:noWrap w:val="0"/>
                  <w:vAlign w:val="center"/>
                </w:tcPr>
                <w:p w14:paraId="671A29BA">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7063" w:type="dxa"/>
                  <w:gridSpan w:val="2"/>
                  <w:tcBorders>
                    <w:tl2br w:val="nil"/>
                    <w:tr2bl w:val="nil"/>
                  </w:tcBorders>
                  <w:noWrap w:val="0"/>
                  <w:vAlign w:val="center"/>
                </w:tcPr>
                <w:p w14:paraId="43C200A2">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灭火剂：泡沫、二氧化碳、干粉、砂土</w:t>
                  </w:r>
                </w:p>
              </w:tc>
            </w:tr>
            <w:tr w14:paraId="3CF9E8C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tcBorders>
                    <w:tl2br w:val="nil"/>
                    <w:tr2bl w:val="nil"/>
                  </w:tcBorders>
                  <w:noWrap w:val="0"/>
                  <w:vAlign w:val="center"/>
                </w:tcPr>
                <w:p w14:paraId="1342A82E">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毒性</w:t>
                  </w:r>
                </w:p>
              </w:tc>
              <w:tc>
                <w:tcPr>
                  <w:tcW w:w="7063" w:type="dxa"/>
                  <w:gridSpan w:val="2"/>
                  <w:tcBorders>
                    <w:tl2br w:val="nil"/>
                    <w:tr2bl w:val="nil"/>
                  </w:tcBorders>
                  <w:noWrap w:val="0"/>
                  <w:vAlign w:val="center"/>
                </w:tcPr>
                <w:p w14:paraId="68951190">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LD50、LC50无资料</w:t>
                  </w:r>
                </w:p>
              </w:tc>
            </w:tr>
            <w:tr w14:paraId="0E0D2D4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tcBorders>
                    <w:tl2br w:val="nil"/>
                    <w:tr2bl w:val="nil"/>
                  </w:tcBorders>
                  <w:noWrap w:val="0"/>
                  <w:vAlign w:val="center"/>
                </w:tcPr>
                <w:p w14:paraId="4EC6F587">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对人体危害</w:t>
                  </w:r>
                </w:p>
              </w:tc>
              <w:tc>
                <w:tcPr>
                  <w:tcW w:w="7063" w:type="dxa"/>
                  <w:gridSpan w:val="2"/>
                  <w:tcBorders>
                    <w:tl2br w:val="nil"/>
                    <w:tr2bl w:val="nil"/>
                  </w:tcBorders>
                  <w:noWrap w:val="0"/>
                  <w:vAlign w:val="center"/>
                </w:tcPr>
                <w:p w14:paraId="3438A8B7">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侵入途径：吸入、食入。</w:t>
                  </w:r>
                </w:p>
                <w:p w14:paraId="2B730F55">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健康危害：急性吸入，可出现乏力、头晕、头痛、恶心，严重者可引起油脂性肺炎。</w:t>
                  </w:r>
                </w:p>
                <w:p w14:paraId="079DB746">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慢接触者，暴露部位可发生油性痤疮和接触性皮炎。可引起神经衰弱综合征，呼吸道和眼刺激症状及慢性油脂性肺炎。有资料报道，接触石油润滑油的工人，有致癌的病例报告。</w:t>
                  </w:r>
                </w:p>
              </w:tc>
            </w:tr>
            <w:tr w14:paraId="69333C5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tcBorders>
                    <w:tl2br w:val="nil"/>
                    <w:tr2bl w:val="nil"/>
                  </w:tcBorders>
                  <w:noWrap w:val="0"/>
                  <w:vAlign w:val="center"/>
                </w:tcPr>
                <w:p w14:paraId="7904D380">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急救</w:t>
                  </w:r>
                </w:p>
              </w:tc>
              <w:tc>
                <w:tcPr>
                  <w:tcW w:w="7063" w:type="dxa"/>
                  <w:gridSpan w:val="2"/>
                  <w:tcBorders>
                    <w:tl2br w:val="nil"/>
                    <w:tr2bl w:val="nil"/>
                  </w:tcBorders>
                  <w:noWrap w:val="0"/>
                  <w:vAlign w:val="center"/>
                </w:tcPr>
                <w:p w14:paraId="4A2587BB">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皮肤接触：立即脱去被污染的衣着，用大量清水冲洗，就医；</w:t>
                  </w:r>
                </w:p>
                <w:p w14:paraId="0BA57A79">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眼睛接触：立即提起眼睑，用大量流动清水或生理盐水彻底冲洗，就医；</w:t>
                  </w:r>
                </w:p>
                <w:p w14:paraId="5BF10DF2">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吸入：迅速脱离现场至空气新鲜处。保持呼吸道通畅。如呼吸困难，输氧；如呼吸停止，立即进行人工呼吸，就医；</w:t>
                  </w:r>
                </w:p>
                <w:p w14:paraId="20E33693">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食入：饮足量温水，催吐，就医。</w:t>
                  </w:r>
                </w:p>
              </w:tc>
            </w:tr>
            <w:tr w14:paraId="2FF4F2F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tcBorders>
                    <w:tl2br w:val="nil"/>
                    <w:tr2bl w:val="nil"/>
                  </w:tcBorders>
                  <w:noWrap w:val="0"/>
                  <w:vAlign w:val="center"/>
                </w:tcPr>
                <w:p w14:paraId="50D15FF0">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防护</w:t>
                  </w:r>
                </w:p>
              </w:tc>
              <w:tc>
                <w:tcPr>
                  <w:tcW w:w="7063" w:type="dxa"/>
                  <w:gridSpan w:val="2"/>
                  <w:tcBorders>
                    <w:tl2br w:val="nil"/>
                    <w:tr2bl w:val="nil"/>
                  </w:tcBorders>
                  <w:noWrap w:val="0"/>
                  <w:vAlign w:val="center"/>
                </w:tcPr>
                <w:p w14:paraId="276AFD5B">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工程防护：密闭操作，注意通风；</w:t>
                  </w:r>
                </w:p>
                <w:p w14:paraId="17762BB4">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呼吸系统防护：空气中浓度超标时，建议佩戴自吸过滤式防毒面具（半面罩）；紧急事态抢救或撤离时，应佩戴空气呼吸器。</w:t>
                  </w:r>
                </w:p>
                <w:p w14:paraId="4781794B">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眼睛防护：必要时戴安全防护眼镜；</w:t>
                  </w:r>
                </w:p>
                <w:p w14:paraId="0FA1DDF8">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身体防护：穿防毒物渗透工作服；</w:t>
                  </w:r>
                </w:p>
                <w:p w14:paraId="0460F17C">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手防护：戴橡胶耐油手套；</w:t>
                  </w:r>
                </w:p>
                <w:p w14:paraId="22981CA2">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其它：工作现场严禁吸烟，避免长期反复接触。</w:t>
                  </w:r>
                </w:p>
              </w:tc>
            </w:tr>
            <w:tr w14:paraId="4A0AF65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tcBorders>
                    <w:tl2br w:val="nil"/>
                    <w:tr2bl w:val="nil"/>
                  </w:tcBorders>
                  <w:noWrap w:val="0"/>
                  <w:vAlign w:val="center"/>
                </w:tcPr>
                <w:p w14:paraId="6B8A9B9D">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泄漏处理</w:t>
                  </w:r>
                </w:p>
              </w:tc>
              <w:tc>
                <w:tcPr>
                  <w:tcW w:w="7063" w:type="dxa"/>
                  <w:gridSpan w:val="2"/>
                  <w:tcBorders>
                    <w:tl2br w:val="nil"/>
                    <w:tr2bl w:val="nil"/>
                  </w:tcBorders>
                  <w:noWrap w:val="0"/>
                  <w:vAlign w:val="center"/>
                </w:tcPr>
                <w:p w14:paraId="54ED0A0D">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迅速撤离泄漏污染区人员至安全区，并进行隔离，严格限制出入。切断火源。建议应急人员戴自给正压式呼吸器，穿防毒服。尽可能切断泄漏源。防止流入下水道、排洪沟等限制性空间。</w:t>
                  </w:r>
                </w:p>
                <w:p w14:paraId="4865D40B">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小量泄漏：用砂土或其他不燃材料吸附或吸收。</w:t>
                  </w:r>
                </w:p>
                <w:p w14:paraId="03BE7739">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大量泄漏：构筑围堤或挖坑收容。用泵转移至槽车或专用收集器内，回收或运至废物处理场所处置。</w:t>
                  </w:r>
                </w:p>
              </w:tc>
            </w:tr>
            <w:tr w14:paraId="41DC0E5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243" w:type="dxa"/>
                  <w:tcBorders>
                    <w:tl2br w:val="nil"/>
                    <w:tr2bl w:val="nil"/>
                  </w:tcBorders>
                  <w:noWrap w:val="0"/>
                  <w:vAlign w:val="center"/>
                </w:tcPr>
                <w:p w14:paraId="6CE5996F">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储运</w:t>
                  </w:r>
                </w:p>
                <w:p w14:paraId="4D07F420">
                  <w:pPr>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7063" w:type="dxa"/>
                  <w:gridSpan w:val="2"/>
                  <w:tcBorders>
                    <w:tl2br w:val="nil"/>
                    <w:tr2bl w:val="nil"/>
                  </w:tcBorders>
                  <w:noWrap w:val="0"/>
                  <w:vAlign w:val="center"/>
                </w:tcPr>
                <w:p w14:paraId="08F86D68">
                  <w:pPr>
                    <w:pageBreakBefore w:val="0"/>
                    <w:widowControl w:val="0"/>
                    <w:kinsoku/>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储存于阴凉、通风的库房。远离火种、热源。应与氧化剂分开存放，切忌混储。配备相应品种和数量的消防器材。储区应备有泄漏应急处理设备和合适的收容材料。运输前应先检查包装容器是否完整、密封，运输过程中要确保容器不泄漏、不倒塌、不坠落、不损坏。严禁与氧化剂、食用化学品等混装混运。运输车船必须彻底清洗、消毒，否则不得装运其它物品。船运时，配装位置应远离卧室、厨房，并与机舱、电源、火源等部位隔离。公路运输时要按规定路线行驶。</w:t>
                  </w:r>
                </w:p>
              </w:tc>
            </w:tr>
          </w:tbl>
          <w:p w14:paraId="0EEB26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表4-</w:t>
            </w:r>
            <w:r>
              <w:rPr>
                <w:rFonts w:hint="eastAsia" w:cs="Times New Roman"/>
                <w:b/>
                <w:color w:val="000000" w:themeColor="text1"/>
                <w:kern w:val="0"/>
                <w:sz w:val="21"/>
                <w:szCs w:val="21"/>
                <w:highlight w:val="none"/>
                <w:lang w:val="en-US" w:eastAsia="zh-CN"/>
                <w14:textFill>
                  <w14:solidFill>
                    <w14:schemeClr w14:val="tx1"/>
                  </w14:solidFill>
                </w14:textFill>
              </w:rPr>
              <w:t>28</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 xml:space="preserve"> </w:t>
            </w: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 xml:space="preserve">  一氧化碳</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的理化性质及危险特性表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0"/>
              <w:gridCol w:w="1358"/>
              <w:gridCol w:w="1050"/>
              <w:gridCol w:w="222"/>
              <w:gridCol w:w="140"/>
              <w:gridCol w:w="1235"/>
              <w:gridCol w:w="126"/>
              <w:gridCol w:w="841"/>
              <w:gridCol w:w="156"/>
              <w:gridCol w:w="1269"/>
              <w:gridCol w:w="404"/>
              <w:gridCol w:w="792"/>
            </w:tblGrid>
            <w:tr w14:paraId="3A763C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restart"/>
                  <w:tcBorders>
                    <w:tl2br w:val="nil"/>
                    <w:tr2bl w:val="nil"/>
                  </w:tcBorders>
                  <w:noWrap w:val="0"/>
                  <w:vAlign w:val="center"/>
                </w:tcPr>
                <w:p w14:paraId="15BDEE7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标识</w:t>
                  </w:r>
                </w:p>
              </w:tc>
              <w:tc>
                <w:tcPr>
                  <w:tcW w:w="5140" w:type="dxa"/>
                  <w:gridSpan w:val="7"/>
                  <w:tcBorders>
                    <w:tl2br w:val="nil"/>
                    <w:tr2bl w:val="nil"/>
                  </w:tcBorders>
                  <w:noWrap w:val="0"/>
                  <w:vAlign w:val="center"/>
                </w:tcPr>
                <w:p w14:paraId="529E884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中文名：一氧化碳</w:t>
                  </w:r>
                </w:p>
              </w:tc>
              <w:tc>
                <w:tcPr>
                  <w:tcW w:w="2710" w:type="dxa"/>
                  <w:gridSpan w:val="4"/>
                  <w:tcBorders>
                    <w:tl2br w:val="nil"/>
                    <w:tr2bl w:val="nil"/>
                  </w:tcBorders>
                  <w:noWrap w:val="0"/>
                  <w:vAlign w:val="center"/>
                </w:tcPr>
                <w:p w14:paraId="3ECC0EE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危险货物编号：21005</w:t>
                  </w:r>
                </w:p>
              </w:tc>
            </w:tr>
            <w:tr w14:paraId="2B2EDB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353AF40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5140" w:type="dxa"/>
                  <w:gridSpan w:val="7"/>
                  <w:tcBorders>
                    <w:tl2br w:val="nil"/>
                    <w:tr2bl w:val="nil"/>
                  </w:tcBorders>
                  <w:noWrap w:val="0"/>
                  <w:vAlign w:val="center"/>
                </w:tcPr>
                <w:p w14:paraId="2EE63D0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英文名：carbon monoxide</w:t>
                  </w:r>
                </w:p>
              </w:tc>
              <w:tc>
                <w:tcPr>
                  <w:tcW w:w="2710" w:type="dxa"/>
                  <w:gridSpan w:val="4"/>
                  <w:tcBorders>
                    <w:tl2br w:val="nil"/>
                    <w:tr2bl w:val="nil"/>
                  </w:tcBorders>
                  <w:noWrap w:val="0"/>
                  <w:vAlign w:val="center"/>
                </w:tcPr>
                <w:p w14:paraId="1CA3E35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UN编号：2031</w:t>
                  </w:r>
                </w:p>
              </w:tc>
            </w:tr>
            <w:tr w14:paraId="1E4055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331F4D5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2720" w:type="dxa"/>
                  <w:gridSpan w:val="3"/>
                  <w:tcBorders>
                    <w:tl2br w:val="nil"/>
                    <w:tr2bl w:val="nil"/>
                  </w:tcBorders>
                  <w:noWrap w:val="0"/>
                  <w:vAlign w:val="center"/>
                </w:tcPr>
                <w:p w14:paraId="517368F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分子式：CO</w:t>
                  </w:r>
                </w:p>
              </w:tc>
              <w:tc>
                <w:tcPr>
                  <w:tcW w:w="2420" w:type="dxa"/>
                  <w:gridSpan w:val="4"/>
                  <w:tcBorders>
                    <w:tl2br w:val="nil"/>
                    <w:tr2bl w:val="nil"/>
                  </w:tcBorders>
                  <w:noWrap w:val="0"/>
                  <w:vAlign w:val="center"/>
                </w:tcPr>
                <w:p w14:paraId="4234754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分子量：28</w:t>
                  </w:r>
                </w:p>
              </w:tc>
              <w:tc>
                <w:tcPr>
                  <w:tcW w:w="2710" w:type="dxa"/>
                  <w:gridSpan w:val="4"/>
                  <w:tcBorders>
                    <w:tl2br w:val="nil"/>
                    <w:tr2bl w:val="nil"/>
                  </w:tcBorders>
                  <w:noWrap w:val="0"/>
                  <w:vAlign w:val="center"/>
                </w:tcPr>
                <w:p w14:paraId="106AFB0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CAS号：630-08-0</w:t>
                  </w:r>
                </w:p>
              </w:tc>
            </w:tr>
            <w:tr w14:paraId="01C150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restart"/>
                  <w:tcBorders>
                    <w:tl2br w:val="nil"/>
                    <w:tr2bl w:val="nil"/>
                  </w:tcBorders>
                  <w:noWrap w:val="0"/>
                  <w:vAlign w:val="center"/>
                </w:tcPr>
                <w:p w14:paraId="2B0DFC3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理化性质</w:t>
                  </w:r>
                </w:p>
              </w:tc>
              <w:tc>
                <w:tcPr>
                  <w:tcW w:w="1405" w:type="dxa"/>
                  <w:tcBorders>
                    <w:tl2br w:val="nil"/>
                    <w:tr2bl w:val="nil"/>
                  </w:tcBorders>
                  <w:noWrap w:val="0"/>
                  <w:vAlign w:val="center"/>
                </w:tcPr>
                <w:p w14:paraId="78632E6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外观与性状</w:t>
                  </w:r>
                </w:p>
              </w:tc>
              <w:tc>
                <w:tcPr>
                  <w:tcW w:w="6445" w:type="dxa"/>
                  <w:gridSpan w:val="10"/>
                  <w:tcBorders>
                    <w:tl2br w:val="nil"/>
                    <w:tr2bl w:val="nil"/>
                  </w:tcBorders>
                  <w:noWrap w:val="0"/>
                  <w:vAlign w:val="center"/>
                </w:tcPr>
                <w:p w14:paraId="1B4527A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无色无臭气体</w:t>
                  </w:r>
                </w:p>
              </w:tc>
            </w:tr>
            <w:tr w14:paraId="43792D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5E643A3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51357B3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熔点（℃）</w:t>
                  </w:r>
                </w:p>
              </w:tc>
              <w:tc>
                <w:tcPr>
                  <w:tcW w:w="1084" w:type="dxa"/>
                  <w:tcBorders>
                    <w:tl2br w:val="nil"/>
                    <w:tr2bl w:val="nil"/>
                  </w:tcBorders>
                  <w:noWrap w:val="0"/>
                  <w:vAlign w:val="center"/>
                </w:tcPr>
                <w:p w14:paraId="56F40FD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-199.1</w:t>
                  </w:r>
                </w:p>
              </w:tc>
              <w:tc>
                <w:tcPr>
                  <w:tcW w:w="1785" w:type="dxa"/>
                  <w:gridSpan w:val="4"/>
                  <w:tcBorders>
                    <w:tl2br w:val="nil"/>
                    <w:tr2bl w:val="nil"/>
                  </w:tcBorders>
                  <w:noWrap w:val="0"/>
                  <w:vAlign w:val="center"/>
                </w:tcPr>
                <w:p w14:paraId="2FD54D7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相对密度（</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水=1</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866" w:type="dxa"/>
                  <w:tcBorders>
                    <w:tl2br w:val="nil"/>
                    <w:tr2bl w:val="nil"/>
                  </w:tcBorders>
                  <w:noWrap w:val="0"/>
                  <w:vAlign w:val="center"/>
                </w:tcPr>
                <w:p w14:paraId="3DDF51B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0.79</w:t>
                  </w:r>
                </w:p>
              </w:tc>
              <w:tc>
                <w:tcPr>
                  <w:tcW w:w="1895" w:type="dxa"/>
                  <w:gridSpan w:val="3"/>
                  <w:tcBorders>
                    <w:tl2br w:val="nil"/>
                    <w:tr2bl w:val="nil"/>
                  </w:tcBorders>
                  <w:noWrap w:val="0"/>
                  <w:vAlign w:val="center"/>
                </w:tcPr>
                <w:p w14:paraId="2326273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相对密度（</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空气=1</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815" w:type="dxa"/>
                  <w:tcBorders>
                    <w:tl2br w:val="nil"/>
                    <w:tr2bl w:val="nil"/>
                  </w:tcBorders>
                  <w:noWrap w:val="0"/>
                  <w:vAlign w:val="center"/>
                </w:tcPr>
                <w:p w14:paraId="3B598DF5">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0.97</w:t>
                  </w:r>
                </w:p>
              </w:tc>
            </w:tr>
            <w:tr w14:paraId="0D3FED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108974D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7F7C5EE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沸点（℃）</w:t>
                  </w:r>
                </w:p>
              </w:tc>
              <w:tc>
                <w:tcPr>
                  <w:tcW w:w="1084" w:type="dxa"/>
                  <w:tcBorders>
                    <w:tl2br w:val="nil"/>
                    <w:tr2bl w:val="nil"/>
                  </w:tcBorders>
                  <w:noWrap w:val="0"/>
                  <w:vAlign w:val="center"/>
                </w:tcPr>
                <w:p w14:paraId="28388B6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-191.4</w:t>
                  </w:r>
                </w:p>
              </w:tc>
              <w:tc>
                <w:tcPr>
                  <w:tcW w:w="2651" w:type="dxa"/>
                  <w:gridSpan w:val="5"/>
                  <w:tcBorders>
                    <w:tl2br w:val="nil"/>
                    <w:tr2bl w:val="nil"/>
                  </w:tcBorders>
                  <w:noWrap w:val="0"/>
                  <w:vAlign w:val="center"/>
                </w:tcPr>
                <w:p w14:paraId="63FC243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饱和蒸气压（kPa）</w:t>
                  </w:r>
                </w:p>
              </w:tc>
              <w:tc>
                <w:tcPr>
                  <w:tcW w:w="2710" w:type="dxa"/>
                  <w:gridSpan w:val="4"/>
                  <w:tcBorders>
                    <w:tl2br w:val="nil"/>
                    <w:tr2bl w:val="nil"/>
                  </w:tcBorders>
                  <w:noWrap w:val="0"/>
                  <w:vAlign w:val="center"/>
                </w:tcPr>
                <w:p w14:paraId="3641A32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r>
            <w:tr w14:paraId="19BF47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0EE1D28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15CF7CA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溶解性</w:t>
                  </w:r>
                </w:p>
              </w:tc>
              <w:tc>
                <w:tcPr>
                  <w:tcW w:w="6445" w:type="dxa"/>
                  <w:gridSpan w:val="10"/>
                  <w:tcBorders>
                    <w:tl2br w:val="nil"/>
                    <w:tr2bl w:val="nil"/>
                  </w:tcBorders>
                  <w:noWrap w:val="0"/>
                  <w:vAlign w:val="center"/>
                </w:tcPr>
                <w:p w14:paraId="2A2D2A6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微溶于水，溶于乙醇、苯等多数有机溶剂。</w:t>
                  </w:r>
                </w:p>
              </w:tc>
            </w:tr>
            <w:tr w14:paraId="01EACF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restart"/>
                  <w:tcBorders>
                    <w:tl2br w:val="nil"/>
                    <w:tr2bl w:val="nil"/>
                  </w:tcBorders>
                  <w:noWrap w:val="0"/>
                  <w:vAlign w:val="center"/>
                </w:tcPr>
                <w:p w14:paraId="44ECB2A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毒性及健康危害</w:t>
                  </w:r>
                </w:p>
              </w:tc>
              <w:tc>
                <w:tcPr>
                  <w:tcW w:w="1405" w:type="dxa"/>
                  <w:tcBorders>
                    <w:tl2br w:val="nil"/>
                    <w:tr2bl w:val="nil"/>
                  </w:tcBorders>
                  <w:noWrap w:val="0"/>
                  <w:vAlign w:val="center"/>
                </w:tcPr>
                <w:p w14:paraId="4E593C8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侵入途径</w:t>
                  </w:r>
                </w:p>
              </w:tc>
              <w:tc>
                <w:tcPr>
                  <w:tcW w:w="6445" w:type="dxa"/>
                  <w:gridSpan w:val="10"/>
                  <w:tcBorders>
                    <w:tl2br w:val="nil"/>
                    <w:tr2bl w:val="nil"/>
                  </w:tcBorders>
                  <w:noWrap w:val="0"/>
                  <w:vAlign w:val="center"/>
                </w:tcPr>
                <w:p w14:paraId="044B4AD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吸入</w:t>
                  </w:r>
                </w:p>
              </w:tc>
            </w:tr>
            <w:tr w14:paraId="354EF3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5C97EDB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2D2575B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毒性</w:t>
                  </w:r>
                </w:p>
              </w:tc>
              <w:tc>
                <w:tcPr>
                  <w:tcW w:w="6445" w:type="dxa"/>
                  <w:gridSpan w:val="10"/>
                  <w:tcBorders>
                    <w:tl2br w:val="nil"/>
                    <w:tr2bl w:val="nil"/>
                  </w:tcBorders>
                  <w:noWrap w:val="0"/>
                  <w:vAlign w:val="center"/>
                </w:tcPr>
                <w:p w14:paraId="1F4B18F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LC50：1807 ppm 4小时（大鼠吸入）</w:t>
                  </w:r>
                </w:p>
              </w:tc>
            </w:tr>
            <w:tr w14:paraId="1D855D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09B4565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0DE5453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健康危害</w:t>
                  </w:r>
                </w:p>
              </w:tc>
              <w:tc>
                <w:tcPr>
                  <w:tcW w:w="6445" w:type="dxa"/>
                  <w:gridSpan w:val="10"/>
                  <w:tcBorders>
                    <w:tl2br w:val="nil"/>
                    <w:tr2bl w:val="nil"/>
                  </w:tcBorders>
                  <w:noWrap w:val="0"/>
                  <w:vAlign w:val="center"/>
                </w:tcPr>
                <w:p w14:paraId="74B275C7">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一氧化碳在血中与血红蛋白结合而造成组织缺氧。急性中毒：轻度中毒者出现头痛、头晕、耳鸣、心悸、恶心、呕吐、无力，血液碳氧血红蛋白浓度可高于10％；中度中毒者除上述症状外，还有皮肤粘膜呈樱红色、脉快、烦躁、步态不稳、浅至中度昏迷，血液碳氧血红蛋白浓度可高于30％；重度患者深度昏迷、瞳孔缩小、肌张力增强、频繁抽搐、大小便失禁、休克、肺水肿、严重心肌损害等，血液碳氧血红蛋白可高于50％。部分患者昏迷苏醒后，约经 2～60天的症状缓解期后，又可能出现迟发性脑病，以意识精神障碍、锥体系或锥体外系损害为主。慢性影响：能否造成慢性中毒及对心血管影响无定论。</w:t>
                  </w:r>
                </w:p>
              </w:tc>
            </w:tr>
            <w:tr w14:paraId="7E342A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13751C5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65289C7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急救方法</w:t>
                  </w:r>
                </w:p>
              </w:tc>
              <w:tc>
                <w:tcPr>
                  <w:tcW w:w="6445" w:type="dxa"/>
                  <w:gridSpan w:val="10"/>
                  <w:tcBorders>
                    <w:tl2br w:val="nil"/>
                    <w:tr2bl w:val="nil"/>
                  </w:tcBorders>
                  <w:noWrap w:val="0"/>
                  <w:vAlign w:val="center"/>
                </w:tcPr>
                <w:p w14:paraId="5DF11959">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吸入：迅速脱离现场至空气新鲜处。保持呼吸道通畅。如呼吸困难，给输氧。呼吸心跳停止时，立即进行人工呼吸和胸外心脏按压术。就医。</w:t>
                  </w:r>
                </w:p>
              </w:tc>
            </w:tr>
            <w:tr w14:paraId="5CAA75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restart"/>
                  <w:tcBorders>
                    <w:tl2br w:val="nil"/>
                    <w:tr2bl w:val="nil"/>
                  </w:tcBorders>
                  <w:noWrap w:val="0"/>
                  <w:vAlign w:val="center"/>
                </w:tcPr>
                <w:p w14:paraId="4E50415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燃烧爆炸危险性</w:t>
                  </w:r>
                </w:p>
              </w:tc>
              <w:tc>
                <w:tcPr>
                  <w:tcW w:w="1405" w:type="dxa"/>
                  <w:tcBorders>
                    <w:tl2br w:val="nil"/>
                    <w:tr2bl w:val="nil"/>
                  </w:tcBorders>
                  <w:noWrap w:val="0"/>
                  <w:vAlign w:val="center"/>
                </w:tcPr>
                <w:p w14:paraId="397A5DF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燃烧性</w:t>
                  </w:r>
                </w:p>
              </w:tc>
              <w:tc>
                <w:tcPr>
                  <w:tcW w:w="1461" w:type="dxa"/>
                  <w:gridSpan w:val="3"/>
                  <w:tcBorders>
                    <w:tl2br w:val="nil"/>
                    <w:tr2bl w:val="nil"/>
                  </w:tcBorders>
                  <w:noWrap w:val="0"/>
                  <w:vAlign w:val="center"/>
                </w:tcPr>
                <w:p w14:paraId="1A768A6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易燃</w:t>
                  </w:r>
                </w:p>
              </w:tc>
              <w:tc>
                <w:tcPr>
                  <w:tcW w:w="2436" w:type="dxa"/>
                  <w:gridSpan w:val="4"/>
                  <w:tcBorders>
                    <w:tl2br w:val="nil"/>
                    <w:tr2bl w:val="nil"/>
                  </w:tcBorders>
                  <w:noWrap w:val="0"/>
                  <w:vAlign w:val="center"/>
                </w:tcPr>
                <w:p w14:paraId="7D831BB5">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燃烧分解物</w:t>
                  </w:r>
                </w:p>
              </w:tc>
              <w:tc>
                <w:tcPr>
                  <w:tcW w:w="2548" w:type="dxa"/>
                  <w:gridSpan w:val="3"/>
                  <w:tcBorders>
                    <w:tl2br w:val="nil"/>
                    <w:tr2bl w:val="nil"/>
                  </w:tcBorders>
                  <w:noWrap w:val="0"/>
                  <w:vAlign w:val="center"/>
                </w:tcPr>
                <w:p w14:paraId="03CC846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二氧化碳</w:t>
                  </w:r>
                </w:p>
              </w:tc>
            </w:tr>
            <w:tr w14:paraId="57A53D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4ECF44B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561D959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闪点（℃）</w:t>
                  </w:r>
                </w:p>
              </w:tc>
              <w:tc>
                <w:tcPr>
                  <w:tcW w:w="1461" w:type="dxa"/>
                  <w:gridSpan w:val="3"/>
                  <w:tcBorders>
                    <w:tl2br w:val="nil"/>
                    <w:tr2bl w:val="nil"/>
                  </w:tcBorders>
                  <w:noWrap w:val="0"/>
                  <w:vAlign w:val="center"/>
                </w:tcPr>
                <w:p w14:paraId="119F636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＜-50</w:t>
                  </w:r>
                </w:p>
              </w:tc>
              <w:tc>
                <w:tcPr>
                  <w:tcW w:w="2436" w:type="dxa"/>
                  <w:gridSpan w:val="4"/>
                  <w:tcBorders>
                    <w:tl2br w:val="nil"/>
                    <w:tr2bl w:val="nil"/>
                  </w:tcBorders>
                  <w:noWrap w:val="0"/>
                  <w:vAlign w:val="center"/>
                </w:tcPr>
                <w:p w14:paraId="30C3064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爆炸上限（v%）</w:t>
                  </w:r>
                </w:p>
              </w:tc>
              <w:tc>
                <w:tcPr>
                  <w:tcW w:w="2548" w:type="dxa"/>
                  <w:gridSpan w:val="3"/>
                  <w:tcBorders>
                    <w:tl2br w:val="nil"/>
                    <w:tr2bl w:val="nil"/>
                  </w:tcBorders>
                  <w:noWrap w:val="0"/>
                  <w:vAlign w:val="center"/>
                </w:tcPr>
                <w:p w14:paraId="3E0B373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74.2</w:t>
                  </w:r>
                </w:p>
              </w:tc>
            </w:tr>
            <w:tr w14:paraId="4B4AA2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6036A03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601D812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引燃温度（℃）</w:t>
                  </w:r>
                </w:p>
              </w:tc>
              <w:tc>
                <w:tcPr>
                  <w:tcW w:w="1461" w:type="dxa"/>
                  <w:gridSpan w:val="3"/>
                  <w:tcBorders>
                    <w:tl2br w:val="nil"/>
                    <w:tr2bl w:val="nil"/>
                  </w:tcBorders>
                  <w:noWrap w:val="0"/>
                  <w:vAlign w:val="center"/>
                </w:tcPr>
                <w:p w14:paraId="036E9CE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610</w:t>
                  </w:r>
                </w:p>
              </w:tc>
              <w:tc>
                <w:tcPr>
                  <w:tcW w:w="2436" w:type="dxa"/>
                  <w:gridSpan w:val="4"/>
                  <w:tcBorders>
                    <w:tl2br w:val="nil"/>
                    <w:tr2bl w:val="nil"/>
                  </w:tcBorders>
                  <w:noWrap w:val="0"/>
                  <w:vAlign w:val="center"/>
                </w:tcPr>
                <w:p w14:paraId="42880A3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爆炸下限（v%）</w:t>
                  </w:r>
                </w:p>
              </w:tc>
              <w:tc>
                <w:tcPr>
                  <w:tcW w:w="2548" w:type="dxa"/>
                  <w:gridSpan w:val="3"/>
                  <w:tcBorders>
                    <w:tl2br w:val="nil"/>
                    <w:tr2bl w:val="nil"/>
                  </w:tcBorders>
                  <w:noWrap w:val="0"/>
                  <w:vAlign w:val="center"/>
                </w:tcPr>
                <w:p w14:paraId="56984BF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12.5</w:t>
                  </w:r>
                </w:p>
              </w:tc>
            </w:tr>
            <w:tr w14:paraId="76BA06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734F0C1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768A437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危险特性</w:t>
                  </w:r>
                </w:p>
              </w:tc>
              <w:tc>
                <w:tcPr>
                  <w:tcW w:w="6445" w:type="dxa"/>
                  <w:gridSpan w:val="10"/>
                  <w:tcBorders>
                    <w:tl2br w:val="nil"/>
                    <w:tr2bl w:val="nil"/>
                  </w:tcBorders>
                  <w:noWrap w:val="0"/>
                  <w:vAlign w:val="center"/>
                </w:tcPr>
                <w:p w14:paraId="0CF6B36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是一种易燃易爆气体。与空气混合能形成爆炸性混合物，遇明火、高热能引起燃烧爆炸。</w:t>
                  </w:r>
                </w:p>
              </w:tc>
            </w:tr>
            <w:tr w14:paraId="228EC5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1953B0B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70FE07B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建规火险分级</w:t>
                  </w:r>
                </w:p>
              </w:tc>
              <w:tc>
                <w:tcPr>
                  <w:tcW w:w="1461" w:type="dxa"/>
                  <w:gridSpan w:val="3"/>
                  <w:tcBorders>
                    <w:tl2br w:val="nil"/>
                    <w:tr2bl w:val="nil"/>
                  </w:tcBorders>
                  <w:noWrap w:val="0"/>
                  <w:vAlign w:val="center"/>
                </w:tcPr>
                <w:p w14:paraId="3AFC9C7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乙</w:t>
                  </w:r>
                </w:p>
              </w:tc>
              <w:tc>
                <w:tcPr>
                  <w:tcW w:w="1277" w:type="dxa"/>
                  <w:tcBorders>
                    <w:tl2br w:val="nil"/>
                    <w:tr2bl w:val="nil"/>
                  </w:tcBorders>
                  <w:noWrap w:val="0"/>
                  <w:vAlign w:val="center"/>
                </w:tcPr>
                <w:p w14:paraId="42420CD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稳定性</w:t>
                  </w:r>
                </w:p>
              </w:tc>
              <w:tc>
                <w:tcPr>
                  <w:tcW w:w="1159" w:type="dxa"/>
                  <w:gridSpan w:val="3"/>
                  <w:tcBorders>
                    <w:tl2br w:val="nil"/>
                    <w:tr2bl w:val="nil"/>
                  </w:tcBorders>
                  <w:noWrap w:val="0"/>
                  <w:vAlign w:val="center"/>
                </w:tcPr>
                <w:p w14:paraId="65E4AD4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稳定</w:t>
                  </w:r>
                </w:p>
              </w:tc>
              <w:tc>
                <w:tcPr>
                  <w:tcW w:w="1312" w:type="dxa"/>
                  <w:tcBorders>
                    <w:tl2br w:val="nil"/>
                    <w:tr2bl w:val="nil"/>
                  </w:tcBorders>
                  <w:noWrap w:val="0"/>
                  <w:vAlign w:val="center"/>
                </w:tcPr>
                <w:p w14:paraId="254313D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聚合危害</w:t>
                  </w:r>
                </w:p>
              </w:tc>
              <w:tc>
                <w:tcPr>
                  <w:tcW w:w="1236" w:type="dxa"/>
                  <w:gridSpan w:val="2"/>
                  <w:tcBorders>
                    <w:tl2br w:val="nil"/>
                    <w:tr2bl w:val="nil"/>
                  </w:tcBorders>
                  <w:noWrap w:val="0"/>
                  <w:vAlign w:val="center"/>
                </w:tcPr>
                <w:p w14:paraId="7BA855E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不聚合</w:t>
                  </w:r>
                </w:p>
              </w:tc>
            </w:tr>
            <w:tr w14:paraId="060121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188D5E9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61044E4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禁忌物</w:t>
                  </w:r>
                </w:p>
              </w:tc>
              <w:tc>
                <w:tcPr>
                  <w:tcW w:w="6445" w:type="dxa"/>
                  <w:gridSpan w:val="10"/>
                  <w:tcBorders>
                    <w:tl2br w:val="nil"/>
                    <w:tr2bl w:val="nil"/>
                  </w:tcBorders>
                  <w:noWrap w:val="0"/>
                  <w:vAlign w:val="center"/>
                </w:tcPr>
                <w:p w14:paraId="5BF7184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强氧化剂、碱类。</w:t>
                  </w:r>
                </w:p>
              </w:tc>
            </w:tr>
            <w:tr w14:paraId="2234BF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758CDD6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6644D6F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储运条件</w:t>
                  </w:r>
                </w:p>
                <w:p w14:paraId="35DDB519">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与泄漏处理</w:t>
                  </w:r>
                </w:p>
              </w:tc>
              <w:tc>
                <w:tcPr>
                  <w:tcW w:w="6445" w:type="dxa"/>
                  <w:gridSpan w:val="10"/>
                  <w:tcBorders>
                    <w:tl2br w:val="nil"/>
                    <w:tr2bl w:val="nil"/>
                  </w:tcBorders>
                  <w:noWrap w:val="0"/>
                  <w:vAlign w:val="center"/>
                </w:tcPr>
                <w:p w14:paraId="47B8177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储运条件：储存于阴凉、通风的库房。远离火种、热源。库温不宜超过30℃。应与氧化剂、碱类、食用化学品分开存放，切忌混储。采用防爆型照明、通风设施。禁止使用易产生火花的机械设备和工具。储区应备有泄漏应急处理设备。泄漏处理：迅速撤离泄漏污染区人员至上风处，并立即隔离150m，严格限制出入。切断火源。建议应急处理人员戴自给正压式呼吸器，穿防静电工作服。尽可能切断泄漏源。合理通风，加速扩散。喷雾状水稀释、溶解。构筑围堤或挖坑收容产生的大量废水。如有可能，将漏出气用排风机送至空旷地方或装设适当喷头烧掉。也可以用管路导至炉中、凹地焚之。漏气容器要妥善处理，修复、检验后再用。</w:t>
                  </w:r>
                </w:p>
              </w:tc>
            </w:tr>
            <w:tr w14:paraId="6E7725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dxa"/>
                  <w:vMerge w:val="continue"/>
                  <w:tcBorders>
                    <w:tl2br w:val="nil"/>
                    <w:tr2bl w:val="nil"/>
                  </w:tcBorders>
                  <w:noWrap w:val="0"/>
                  <w:vAlign w:val="center"/>
                </w:tcPr>
                <w:p w14:paraId="62D81B3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405" w:type="dxa"/>
                  <w:tcBorders>
                    <w:tl2br w:val="nil"/>
                    <w:tr2bl w:val="nil"/>
                  </w:tcBorders>
                  <w:noWrap w:val="0"/>
                  <w:vAlign w:val="center"/>
                </w:tcPr>
                <w:p w14:paraId="0772D0C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灭火方法</w:t>
                  </w:r>
                </w:p>
              </w:tc>
              <w:tc>
                <w:tcPr>
                  <w:tcW w:w="6445" w:type="dxa"/>
                  <w:gridSpan w:val="10"/>
                  <w:tcBorders>
                    <w:tl2br w:val="nil"/>
                    <w:tr2bl w:val="nil"/>
                  </w:tcBorders>
                  <w:noWrap w:val="0"/>
                  <w:vAlign w:val="center"/>
                </w:tcPr>
                <w:p w14:paraId="6201C71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切断气源。若不能切断气源，则不允许熄灭泄漏处的火焰。喷水冷却容器，可能的话将容器从火场移至空旷处。灭火剂：雾状水、泡沫、二氧化碳、干粉。</w:t>
                  </w:r>
                </w:p>
              </w:tc>
            </w:tr>
          </w:tbl>
          <w:p w14:paraId="6564E5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表4-</w:t>
            </w: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2</w:t>
            </w:r>
            <w:r>
              <w:rPr>
                <w:rFonts w:hint="eastAsia" w:cs="Times New Roman"/>
                <w:b/>
                <w:color w:val="000000" w:themeColor="text1"/>
                <w:kern w:val="0"/>
                <w:sz w:val="21"/>
                <w:szCs w:val="21"/>
                <w:highlight w:val="none"/>
                <w:lang w:val="en-US" w:eastAsia="zh-CN"/>
                <w14:textFill>
                  <w14:solidFill>
                    <w14:schemeClr w14:val="tx1"/>
                  </w14:solidFill>
                </w14:textFill>
              </w:rPr>
              <w:t>9</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 xml:space="preserve"> </w:t>
            </w:r>
            <w:r>
              <w:rPr>
                <w:rFonts w:hint="eastAsia"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 xml:space="preserve">  甲烷</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的理化性质及危险特性表</w:t>
            </w:r>
          </w:p>
          <w:tbl>
            <w:tblPr>
              <w:tblStyle w:val="66"/>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22"/>
              <w:gridCol w:w="1284"/>
              <w:gridCol w:w="1275"/>
              <w:gridCol w:w="68"/>
              <w:gridCol w:w="315"/>
              <w:gridCol w:w="1205"/>
              <w:gridCol w:w="615"/>
              <w:gridCol w:w="49"/>
              <w:gridCol w:w="1900"/>
              <w:gridCol w:w="882"/>
            </w:tblGrid>
            <w:tr w14:paraId="0F4B8F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restart"/>
                  <w:tcBorders>
                    <w:tl2br w:val="nil"/>
                    <w:tr2bl w:val="nil"/>
                  </w:tcBorders>
                  <w:textDirection w:val="tbRlV"/>
                  <w:vAlign w:val="center"/>
                </w:tcPr>
                <w:p w14:paraId="5FB8617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标识</w:t>
                  </w:r>
                </w:p>
              </w:tc>
              <w:tc>
                <w:tcPr>
                  <w:tcW w:w="4986" w:type="dxa"/>
                  <w:gridSpan w:val="7"/>
                  <w:tcBorders>
                    <w:tl2br w:val="nil"/>
                    <w:tr2bl w:val="nil"/>
                  </w:tcBorders>
                  <w:vAlign w:val="center"/>
                </w:tcPr>
                <w:p w14:paraId="5F63EB8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中文名：甲烷</w:t>
                  </w:r>
                </w:p>
              </w:tc>
              <w:tc>
                <w:tcPr>
                  <w:tcW w:w="2883" w:type="dxa"/>
                  <w:gridSpan w:val="2"/>
                  <w:tcBorders>
                    <w:tl2br w:val="nil"/>
                    <w:tr2bl w:val="nil"/>
                  </w:tcBorders>
                  <w:vAlign w:val="center"/>
                </w:tcPr>
                <w:p w14:paraId="0DF0C89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危险货物编号：21007</w:t>
                  </w:r>
                </w:p>
              </w:tc>
            </w:tr>
            <w:tr w14:paraId="523FCF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712DD0F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4986" w:type="dxa"/>
                  <w:gridSpan w:val="7"/>
                  <w:tcBorders>
                    <w:tl2br w:val="nil"/>
                    <w:tr2bl w:val="nil"/>
                  </w:tcBorders>
                  <w:vAlign w:val="center"/>
                </w:tcPr>
                <w:p w14:paraId="6238752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英文名：methane；Marsh gas</w:t>
                  </w:r>
                </w:p>
              </w:tc>
              <w:tc>
                <w:tcPr>
                  <w:tcW w:w="2883" w:type="dxa"/>
                  <w:gridSpan w:val="2"/>
                  <w:tcBorders>
                    <w:tl2br w:val="nil"/>
                    <w:tr2bl w:val="nil"/>
                  </w:tcBorders>
                  <w:vAlign w:val="center"/>
                </w:tcPr>
                <w:p w14:paraId="6556198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UN 编号：1971</w:t>
                  </w:r>
                </w:p>
              </w:tc>
            </w:tr>
            <w:tr w14:paraId="6CD528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4ABA90F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2723" w:type="dxa"/>
                  <w:gridSpan w:val="3"/>
                  <w:tcBorders>
                    <w:tl2br w:val="nil"/>
                    <w:tr2bl w:val="nil"/>
                  </w:tcBorders>
                  <w:vAlign w:val="center"/>
                </w:tcPr>
                <w:p w14:paraId="7EA5E53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分子式：CH</w:t>
                  </w:r>
                  <w:r>
                    <w:rPr>
                      <w:rFonts w:hint="eastAsia" w:ascii="Times New Roman" w:hAnsi="Times New Roman" w:eastAsia="宋体" w:cs="Times New Roman"/>
                      <w:snapToGrid/>
                      <w:color w:val="000000" w:themeColor="text1"/>
                      <w:kern w:val="0"/>
                      <w:sz w:val="21"/>
                      <w:szCs w:val="21"/>
                      <w:highlight w:val="none"/>
                      <w:vertAlign w:val="subscript"/>
                      <w:lang w:val="en-US" w:eastAsia="zh-CN"/>
                      <w14:textFill>
                        <w14:solidFill>
                          <w14:schemeClr w14:val="tx1"/>
                        </w14:solidFill>
                      </w14:textFill>
                    </w:rPr>
                    <w:t>4</w:t>
                  </w:r>
                </w:p>
              </w:tc>
              <w:tc>
                <w:tcPr>
                  <w:tcW w:w="2263" w:type="dxa"/>
                  <w:gridSpan w:val="4"/>
                  <w:tcBorders>
                    <w:tl2br w:val="nil"/>
                    <w:tr2bl w:val="nil"/>
                  </w:tcBorders>
                  <w:vAlign w:val="center"/>
                </w:tcPr>
                <w:p w14:paraId="38DFF0C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分子量：16.04</w:t>
                  </w:r>
                </w:p>
              </w:tc>
              <w:tc>
                <w:tcPr>
                  <w:tcW w:w="2883" w:type="dxa"/>
                  <w:gridSpan w:val="2"/>
                  <w:tcBorders>
                    <w:tl2br w:val="nil"/>
                    <w:tr2bl w:val="nil"/>
                  </w:tcBorders>
                  <w:vAlign w:val="center"/>
                </w:tcPr>
                <w:p w14:paraId="2A7CD8F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CAS 号：74-82-8</w:t>
                  </w:r>
                </w:p>
              </w:tc>
            </w:tr>
            <w:tr w14:paraId="6F20CD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restart"/>
                  <w:tcBorders>
                    <w:tl2br w:val="nil"/>
                    <w:tr2bl w:val="nil"/>
                  </w:tcBorders>
                  <w:textDirection w:val="tbRlV"/>
                  <w:vAlign w:val="center"/>
                </w:tcPr>
                <w:p w14:paraId="05968B2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理化性质</w:t>
                  </w:r>
                </w:p>
              </w:tc>
              <w:tc>
                <w:tcPr>
                  <w:tcW w:w="1331" w:type="dxa"/>
                  <w:tcBorders>
                    <w:tl2br w:val="nil"/>
                    <w:tr2bl w:val="nil"/>
                  </w:tcBorders>
                  <w:vAlign w:val="center"/>
                </w:tcPr>
                <w:p w14:paraId="4EAE279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外观与性状</w:t>
                  </w:r>
                </w:p>
              </w:tc>
              <w:tc>
                <w:tcPr>
                  <w:tcW w:w="6538" w:type="dxa"/>
                  <w:gridSpan w:val="8"/>
                  <w:tcBorders>
                    <w:tl2br w:val="nil"/>
                    <w:tr2bl w:val="nil"/>
                  </w:tcBorders>
                  <w:vAlign w:val="center"/>
                </w:tcPr>
                <w:p w14:paraId="59E45C7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无色无臭气体。</w:t>
                  </w:r>
                </w:p>
              </w:tc>
            </w:tr>
            <w:tr w14:paraId="155681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79BCA54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132FA8E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熔点（</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1322" w:type="dxa"/>
                  <w:tcBorders>
                    <w:tl2br w:val="nil"/>
                    <w:tr2bl w:val="nil"/>
                  </w:tcBorders>
                  <w:vAlign w:val="center"/>
                </w:tcPr>
                <w:p w14:paraId="6850E5E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-182.5</w:t>
                  </w:r>
                </w:p>
              </w:tc>
              <w:tc>
                <w:tcPr>
                  <w:tcW w:w="1645" w:type="dxa"/>
                  <w:gridSpan w:val="3"/>
                  <w:tcBorders>
                    <w:tl2br w:val="nil"/>
                    <w:tr2bl w:val="nil"/>
                  </w:tcBorders>
                  <w:vAlign w:val="center"/>
                </w:tcPr>
                <w:p w14:paraId="138DB8B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相对密度（</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水=1</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688" w:type="dxa"/>
                  <w:gridSpan w:val="2"/>
                  <w:tcBorders>
                    <w:tl2br w:val="nil"/>
                    <w:tr2bl w:val="nil"/>
                  </w:tcBorders>
                  <w:vAlign w:val="center"/>
                </w:tcPr>
                <w:p w14:paraId="0617B405">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0.42</w:t>
                  </w:r>
                </w:p>
              </w:tc>
              <w:tc>
                <w:tcPr>
                  <w:tcW w:w="1969" w:type="dxa"/>
                  <w:tcBorders>
                    <w:tl2br w:val="nil"/>
                    <w:tr2bl w:val="nil"/>
                  </w:tcBorders>
                  <w:vAlign w:val="center"/>
                </w:tcPr>
                <w:p w14:paraId="791612E2">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相对密度（</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空气=1</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914" w:type="dxa"/>
                  <w:tcBorders>
                    <w:tl2br w:val="nil"/>
                    <w:tr2bl w:val="nil"/>
                  </w:tcBorders>
                  <w:vAlign w:val="center"/>
                </w:tcPr>
                <w:p w14:paraId="59C3583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0.55</w:t>
                  </w:r>
                </w:p>
              </w:tc>
            </w:tr>
            <w:tr w14:paraId="78B854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438D2C5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123A7B2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沸点（</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1322" w:type="dxa"/>
                  <w:tcBorders>
                    <w:tl2br w:val="nil"/>
                    <w:tr2bl w:val="nil"/>
                  </w:tcBorders>
                  <w:vAlign w:val="center"/>
                </w:tcPr>
                <w:p w14:paraId="78840F6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-161.5</w:t>
                  </w:r>
                </w:p>
              </w:tc>
              <w:tc>
                <w:tcPr>
                  <w:tcW w:w="2333" w:type="dxa"/>
                  <w:gridSpan w:val="5"/>
                  <w:tcBorders>
                    <w:tl2br w:val="nil"/>
                    <w:tr2bl w:val="nil"/>
                  </w:tcBorders>
                  <w:vAlign w:val="center"/>
                </w:tcPr>
                <w:p w14:paraId="710FDDB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饱和蒸气压（kPa）</w:t>
                  </w:r>
                </w:p>
              </w:tc>
              <w:tc>
                <w:tcPr>
                  <w:tcW w:w="2883" w:type="dxa"/>
                  <w:gridSpan w:val="2"/>
                  <w:tcBorders>
                    <w:tl2br w:val="nil"/>
                    <w:tr2bl w:val="nil"/>
                  </w:tcBorders>
                  <w:vAlign w:val="center"/>
                </w:tcPr>
                <w:p w14:paraId="0FBD42F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53.32/-168.8℃</w:t>
                  </w:r>
                </w:p>
              </w:tc>
            </w:tr>
            <w:tr w14:paraId="7B3D97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restart"/>
                  <w:tcBorders>
                    <w:tl2br w:val="nil"/>
                    <w:tr2bl w:val="nil"/>
                  </w:tcBorders>
                  <w:vAlign w:val="center"/>
                </w:tcPr>
                <w:p w14:paraId="4DE1057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毒性及健康危害</w:t>
                  </w:r>
                </w:p>
              </w:tc>
              <w:tc>
                <w:tcPr>
                  <w:tcW w:w="1331" w:type="dxa"/>
                  <w:tcBorders>
                    <w:tl2br w:val="nil"/>
                    <w:tr2bl w:val="nil"/>
                  </w:tcBorders>
                  <w:vAlign w:val="center"/>
                </w:tcPr>
                <w:p w14:paraId="48680A3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溶解性</w:t>
                  </w:r>
                </w:p>
              </w:tc>
              <w:tc>
                <w:tcPr>
                  <w:tcW w:w="6538" w:type="dxa"/>
                  <w:gridSpan w:val="8"/>
                  <w:tcBorders>
                    <w:tl2br w:val="nil"/>
                    <w:tr2bl w:val="nil"/>
                  </w:tcBorders>
                  <w:vAlign w:val="center"/>
                </w:tcPr>
                <w:p w14:paraId="7D4F21F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微溶于水，溶于乙醇、乙醚。</w:t>
                  </w:r>
                </w:p>
              </w:tc>
            </w:tr>
            <w:tr w14:paraId="3ABF16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54FA601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5147D28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侵入途径</w:t>
                  </w:r>
                </w:p>
              </w:tc>
              <w:tc>
                <w:tcPr>
                  <w:tcW w:w="6538" w:type="dxa"/>
                  <w:gridSpan w:val="8"/>
                  <w:tcBorders>
                    <w:tl2br w:val="nil"/>
                    <w:tr2bl w:val="nil"/>
                  </w:tcBorders>
                  <w:vAlign w:val="center"/>
                </w:tcPr>
                <w:p w14:paraId="5B251F0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吸入。</w:t>
                  </w:r>
                </w:p>
              </w:tc>
            </w:tr>
            <w:tr w14:paraId="18AB55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1F49F57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1CBF6BD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毒性</w:t>
                  </w:r>
                </w:p>
              </w:tc>
              <w:tc>
                <w:tcPr>
                  <w:tcW w:w="6538" w:type="dxa"/>
                  <w:gridSpan w:val="8"/>
                  <w:tcBorders>
                    <w:tl2br w:val="nil"/>
                    <w:tr2bl w:val="nil"/>
                  </w:tcBorders>
                  <w:vAlign w:val="center"/>
                </w:tcPr>
                <w:p w14:paraId="1D651A9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LD</w:t>
                  </w:r>
                  <w:r>
                    <w:rPr>
                      <w:rFonts w:hint="default" w:ascii="Times New Roman" w:hAnsi="Times New Roman" w:eastAsia="宋体" w:cs="Times New Roman"/>
                      <w:snapToGrid/>
                      <w:color w:val="000000" w:themeColor="text1"/>
                      <w:kern w:val="0"/>
                      <w:sz w:val="21"/>
                      <w:szCs w:val="21"/>
                      <w:highlight w:val="none"/>
                      <w:vertAlign w:val="subscript"/>
                      <w:lang w:val="en-US" w:eastAsia="zh-CN"/>
                      <w14:textFill>
                        <w14:solidFill>
                          <w14:schemeClr w14:val="tx1"/>
                        </w14:solidFill>
                      </w14:textFill>
                    </w:rPr>
                    <w:t>50</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                       LC</w:t>
                  </w:r>
                  <w:r>
                    <w:rPr>
                      <w:rFonts w:hint="default" w:ascii="Times New Roman" w:hAnsi="Times New Roman" w:eastAsia="宋体" w:cs="Times New Roman"/>
                      <w:snapToGrid/>
                      <w:color w:val="000000" w:themeColor="text1"/>
                      <w:kern w:val="0"/>
                      <w:sz w:val="21"/>
                      <w:szCs w:val="21"/>
                      <w:highlight w:val="none"/>
                      <w:vertAlign w:val="subscript"/>
                      <w:lang w:val="en-US" w:eastAsia="zh-CN"/>
                      <w14:textFill>
                        <w14:solidFill>
                          <w14:schemeClr w14:val="tx1"/>
                        </w14:solidFill>
                      </w14:textFill>
                    </w:rPr>
                    <w:t>50</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r>
            <w:tr w14:paraId="38D905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3CEE984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0CD4FF8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健康危害</w:t>
                  </w:r>
                </w:p>
              </w:tc>
              <w:tc>
                <w:tcPr>
                  <w:tcW w:w="6538" w:type="dxa"/>
                  <w:gridSpan w:val="8"/>
                  <w:tcBorders>
                    <w:tl2br w:val="nil"/>
                    <w:tr2bl w:val="nil"/>
                  </w:tcBorders>
                  <w:vAlign w:val="center"/>
                </w:tcPr>
                <w:p w14:paraId="01DA3BFE">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属微毒类。允许气体安全地扩散到大气中或当作燃料使用。有单纯性窒息作用，在高浓度时因缺氧窒息而引起中毒。空气中达到25～30%出现头昏、呼吸加速、运动失调。急性毒性：小鼠吸入42%浓度×60分钟，麻醉作用；兔吸入42%浓度×60分钟，麻醉作用。</w:t>
                  </w:r>
                </w:p>
              </w:tc>
            </w:tr>
            <w:tr w14:paraId="2ED59D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1266555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271920F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急救方法</w:t>
                  </w:r>
                </w:p>
              </w:tc>
              <w:tc>
                <w:tcPr>
                  <w:tcW w:w="6538" w:type="dxa"/>
                  <w:gridSpan w:val="8"/>
                  <w:tcBorders>
                    <w:tl2br w:val="nil"/>
                    <w:tr2bl w:val="nil"/>
                  </w:tcBorders>
                  <w:vAlign w:val="center"/>
                </w:tcPr>
                <w:p w14:paraId="2FACADD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皮肤接触：若有冻伤，就医治疗。</w:t>
                  </w:r>
                </w:p>
                <w:p w14:paraId="296B21B5">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吸入：迅速脱离现场至空气新鲜处。保持呼吸道通畅。如呼吸困难，给输氧。如呼吸停止，立即进行人工呼吸。就医。</w:t>
                  </w:r>
                </w:p>
              </w:tc>
            </w:tr>
            <w:tr w14:paraId="79F2A9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restart"/>
                  <w:tcBorders>
                    <w:tl2br w:val="nil"/>
                    <w:tr2bl w:val="nil"/>
                  </w:tcBorders>
                  <w:textDirection w:val="tbRlV"/>
                  <w:vAlign w:val="center"/>
                </w:tcPr>
                <w:p w14:paraId="5B467C6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燃烧爆炸危险性</w:t>
                  </w:r>
                </w:p>
              </w:tc>
              <w:tc>
                <w:tcPr>
                  <w:tcW w:w="1331" w:type="dxa"/>
                  <w:tcBorders>
                    <w:tl2br w:val="nil"/>
                    <w:tr2bl w:val="nil"/>
                  </w:tcBorders>
                  <w:vAlign w:val="center"/>
                </w:tcPr>
                <w:p w14:paraId="0C77A5E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燃烧性</w:t>
                  </w:r>
                </w:p>
              </w:tc>
              <w:tc>
                <w:tcPr>
                  <w:tcW w:w="1718" w:type="dxa"/>
                  <w:gridSpan w:val="3"/>
                  <w:tcBorders>
                    <w:tl2br w:val="nil"/>
                    <w:tr2bl w:val="nil"/>
                  </w:tcBorders>
                  <w:vAlign w:val="center"/>
                </w:tcPr>
                <w:p w14:paraId="7BD0AFB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易燃</w:t>
                  </w:r>
                </w:p>
              </w:tc>
              <w:tc>
                <w:tcPr>
                  <w:tcW w:w="1886" w:type="dxa"/>
                  <w:gridSpan w:val="2"/>
                  <w:tcBorders>
                    <w:tl2br w:val="nil"/>
                    <w:tr2bl w:val="nil"/>
                  </w:tcBorders>
                  <w:vAlign w:val="center"/>
                </w:tcPr>
                <w:p w14:paraId="79F1E96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燃烧分解物</w:t>
                  </w:r>
                </w:p>
              </w:tc>
              <w:tc>
                <w:tcPr>
                  <w:tcW w:w="2934" w:type="dxa"/>
                  <w:gridSpan w:val="3"/>
                  <w:tcBorders>
                    <w:tl2br w:val="nil"/>
                    <w:tr2bl w:val="nil"/>
                  </w:tcBorders>
                  <w:vAlign w:val="center"/>
                </w:tcPr>
                <w:p w14:paraId="5329F8D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r>
            <w:tr w14:paraId="25FA82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03D8A7C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5F9E44C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闪点（</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1718" w:type="dxa"/>
                  <w:gridSpan w:val="3"/>
                  <w:tcBorders>
                    <w:tl2br w:val="nil"/>
                    <w:tr2bl w:val="nil"/>
                  </w:tcBorders>
                  <w:vAlign w:val="center"/>
                </w:tcPr>
                <w:p w14:paraId="039085C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1886" w:type="dxa"/>
                  <w:gridSpan w:val="2"/>
                  <w:tcBorders>
                    <w:tl2br w:val="nil"/>
                    <w:tr2bl w:val="nil"/>
                  </w:tcBorders>
                  <w:vAlign w:val="center"/>
                </w:tcPr>
                <w:p w14:paraId="539ADD1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爆炸上限（v%）</w:t>
                  </w:r>
                </w:p>
              </w:tc>
              <w:tc>
                <w:tcPr>
                  <w:tcW w:w="2934" w:type="dxa"/>
                  <w:gridSpan w:val="3"/>
                  <w:tcBorders>
                    <w:tl2br w:val="nil"/>
                    <w:tr2bl w:val="nil"/>
                  </w:tcBorders>
                  <w:vAlign w:val="center"/>
                </w:tcPr>
                <w:p w14:paraId="3F8EB2C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15</w:t>
                  </w:r>
                </w:p>
              </w:tc>
            </w:tr>
            <w:tr w14:paraId="0197721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498C3224">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5875121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引燃温度（</w:t>
                  </w:r>
                  <w:r>
                    <w:rPr>
                      <w:rFonts w:hint="default"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w:t>
                  </w:r>
                </w:p>
              </w:tc>
              <w:tc>
                <w:tcPr>
                  <w:tcW w:w="1718" w:type="dxa"/>
                  <w:gridSpan w:val="3"/>
                  <w:tcBorders>
                    <w:tl2br w:val="nil"/>
                    <w:tr2bl w:val="nil"/>
                  </w:tcBorders>
                  <w:vAlign w:val="center"/>
                </w:tcPr>
                <w:p w14:paraId="7F537621">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537</w:t>
                  </w:r>
                </w:p>
              </w:tc>
              <w:tc>
                <w:tcPr>
                  <w:tcW w:w="1886" w:type="dxa"/>
                  <w:gridSpan w:val="2"/>
                  <w:tcBorders>
                    <w:tl2br w:val="nil"/>
                    <w:tr2bl w:val="nil"/>
                  </w:tcBorders>
                  <w:vAlign w:val="center"/>
                </w:tcPr>
                <w:p w14:paraId="2902DD3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爆炸下限（v%）</w:t>
                  </w:r>
                </w:p>
              </w:tc>
              <w:tc>
                <w:tcPr>
                  <w:tcW w:w="2934" w:type="dxa"/>
                  <w:gridSpan w:val="3"/>
                  <w:tcBorders>
                    <w:tl2br w:val="nil"/>
                    <w:tr2bl w:val="nil"/>
                  </w:tcBorders>
                  <w:vAlign w:val="center"/>
                </w:tcPr>
                <w:p w14:paraId="4BF5335F">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5.3</w:t>
                  </w:r>
                </w:p>
              </w:tc>
            </w:tr>
            <w:tr w14:paraId="1F3624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55E8D0CA">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604CB17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p w14:paraId="2FDD3518">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危险特性</w:t>
                  </w:r>
                </w:p>
              </w:tc>
              <w:tc>
                <w:tcPr>
                  <w:tcW w:w="6538" w:type="dxa"/>
                  <w:gridSpan w:val="8"/>
                  <w:tcBorders>
                    <w:tl2br w:val="nil"/>
                    <w:tr2bl w:val="nil"/>
                  </w:tcBorders>
                  <w:vAlign w:val="center"/>
                </w:tcPr>
                <w:p w14:paraId="3AB9E806">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易燃，与空气混合能形成爆炸性混合物，遇热源和明火有燃烧爆炸的危险。与五氧化溴、氯气、次氯酸、三氟化氮、液氧、二氟化氧及其它强氧化剂接触剧烈反应。</w:t>
                  </w:r>
                </w:p>
              </w:tc>
            </w:tr>
            <w:tr w14:paraId="7D3F7EB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17A2BAB0">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73EDB16D">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储运条件与泄漏处理</w:t>
                  </w:r>
                </w:p>
              </w:tc>
              <w:tc>
                <w:tcPr>
                  <w:tcW w:w="6538" w:type="dxa"/>
                  <w:gridSpan w:val="8"/>
                  <w:tcBorders>
                    <w:tl2br w:val="nil"/>
                    <w:tr2bl w:val="nil"/>
                  </w:tcBorders>
                  <w:vAlign w:val="center"/>
                </w:tcPr>
                <w:p w14:paraId="6B0F5B3C">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储运条件：用钢瓶；液化甲烷用特别绝热的容器。储存于阴凉、通风良好的不燃材料结构的库房或大型气柜。远离容易起火的地方。与五氟化溴、氯气、二氧化氯、三氟化氮、液氧、二氟化氧、氧化剂隔离储运。液化甲烷必须在很低的温度下装运，这种低温通过液化气体的蒸发来保持或用甲烷专用罐车保温运输。泄漏处理：迅速撤离泄漏污染区人员至上风处，并进行隔离，严格限制出入。切断火源。建议应急处理人员戴自给正压式呼吸器，穿消防防护服。尽可能切断泄漏源。合理通风，加速扩散。喷雾状水稀释、溶解。构筑围堤或挖坑收容产生的大量废水。如有可能，将漏出气用排风机送至空旷地方或装设适当喷头烧掉。也可以将漏气的容器移至空旷处，注意通风。漏气容器要妥善处理，修复、检验后再用。</w:t>
                  </w:r>
                </w:p>
              </w:tc>
            </w:tr>
            <w:tr w14:paraId="03C266A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37" w:type="dxa"/>
                  <w:vMerge w:val="continue"/>
                  <w:tcBorders>
                    <w:tl2br w:val="nil"/>
                    <w:tr2bl w:val="nil"/>
                  </w:tcBorders>
                  <w:textDirection w:val="tbRlV"/>
                  <w:vAlign w:val="center"/>
                </w:tcPr>
                <w:p w14:paraId="0CB3685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p>
              </w:tc>
              <w:tc>
                <w:tcPr>
                  <w:tcW w:w="1331" w:type="dxa"/>
                  <w:tcBorders>
                    <w:tl2br w:val="nil"/>
                    <w:tr2bl w:val="nil"/>
                  </w:tcBorders>
                  <w:vAlign w:val="center"/>
                </w:tcPr>
                <w:p w14:paraId="1F53D773">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灭火方法</w:t>
                  </w:r>
                </w:p>
              </w:tc>
              <w:tc>
                <w:tcPr>
                  <w:tcW w:w="6538" w:type="dxa"/>
                  <w:gridSpan w:val="8"/>
                  <w:tcBorders>
                    <w:tl2br w:val="nil"/>
                    <w:tr2bl w:val="nil"/>
                  </w:tcBorders>
                  <w:vAlign w:val="center"/>
                </w:tcPr>
                <w:p w14:paraId="0650BFAB">
                  <w:pPr>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highlight w:val="none"/>
                      <w:lang w:val="en-US" w:eastAsia="zh-CN"/>
                      <w14:textFill>
                        <w14:solidFill>
                          <w14:schemeClr w14:val="tx1"/>
                        </w14:solidFill>
                      </w14:textFill>
                    </w:rPr>
                    <w:t>切断气源。若不能立即切断气源，则不允许熄灭正在燃烧的气体。喷水冷却容器，可能的话将容器从火场移至空旷处。灭火剂：雾状水、泡沫、二氧化碳、干粉。</w:t>
                  </w:r>
                </w:p>
              </w:tc>
            </w:tr>
          </w:tbl>
          <w:p w14:paraId="58F32BC6">
            <w:pPr>
              <w:pStyle w:val="80"/>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环境风险潜势初判</w:t>
            </w:r>
          </w:p>
          <w:p w14:paraId="6E321914">
            <w:pPr>
              <w:keepNext w:val="0"/>
              <w:keepLines w:val="0"/>
              <w:widowControl/>
              <w:suppressLineNumbers w:val="0"/>
              <w:spacing w:line="360" w:lineRule="auto"/>
              <w:ind w:firstLine="480"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根据《建设项目环境风险评价技术导则》（HJ169-2018）附录B.1，当存在多种危险物质时，按下列公式计算物质总量与其临界量Q：</w:t>
            </w:r>
          </w:p>
          <w:p w14:paraId="0EC6284E">
            <w:pPr>
              <w:pStyle w:val="80"/>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drawing>
                <wp:inline distT="0" distB="0" distL="114300" distR="114300">
                  <wp:extent cx="1343025" cy="438150"/>
                  <wp:effectExtent l="0" t="0" r="0" b="0"/>
                  <wp:docPr id="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pic:cNvPicPr>
                            <a:picLocks noChangeAspect="1"/>
                          </pic:cNvPicPr>
                        </pic:nvPicPr>
                        <pic:blipFill>
                          <a:blip r:embed="rId18"/>
                          <a:stretch>
                            <a:fillRect/>
                          </a:stretch>
                        </pic:blipFill>
                        <pic:spPr>
                          <a:xfrm>
                            <a:off x="0" y="0"/>
                            <a:ext cx="1343025" cy="438150"/>
                          </a:xfrm>
                          <a:prstGeom prst="rect">
                            <a:avLst/>
                          </a:prstGeom>
                          <a:noFill/>
                          <a:ln>
                            <a:noFill/>
                          </a:ln>
                        </pic:spPr>
                      </pic:pic>
                    </a:graphicData>
                  </a:graphic>
                </wp:inline>
              </w:drawing>
            </w:r>
          </w:p>
          <w:p w14:paraId="579ED404">
            <w:pPr>
              <w:keepNext w:val="0"/>
              <w:keepLines w:val="0"/>
              <w:widowControl/>
              <w:suppressLineNumbers w:val="0"/>
              <w:spacing w:line="360" w:lineRule="auto"/>
              <w:ind w:firstLine="48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式中：q</w:t>
            </w:r>
            <w:r>
              <w:rPr>
                <w:rFonts w:hint="default" w:ascii="Times New Roman" w:hAnsi="Times New Roman" w:eastAsia="宋体" w:cs="Times New Roman"/>
                <w:color w:val="000000" w:themeColor="text1"/>
                <w:kern w:val="0"/>
                <w:sz w:val="15"/>
                <w:szCs w:val="15"/>
                <w:highlight w:val="none"/>
                <w:lang w:val="en-US" w:eastAsia="zh-CN" w:bidi="ar"/>
                <w14:textFill>
                  <w14:solidFill>
                    <w14:schemeClr w14:val="tx1"/>
                  </w14:solidFill>
                </w14:textFill>
              </w:rPr>
              <w:t>1</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15"/>
                <w:szCs w:val="15"/>
                <w:highlight w:val="none"/>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15"/>
                <w:szCs w:val="15"/>
                <w:highlight w:val="none"/>
                <w:lang w:val="en-US" w:eastAsia="zh-CN" w:bidi="ar"/>
                <w14:textFill>
                  <w14:solidFill>
                    <w14:schemeClr w14:val="tx1"/>
                  </w14:solidFill>
                </w14:textFill>
              </w:rPr>
              <w:t>n</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—每种危险物质的最大存在总量，</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吨</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6A25060A">
            <w:pPr>
              <w:keepNext w:val="0"/>
              <w:keepLines w:val="0"/>
              <w:widowControl/>
              <w:suppressLineNumbers w:val="0"/>
              <w:spacing w:line="360" w:lineRule="auto"/>
              <w:ind w:firstLine="1200" w:firstLineChars="5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15"/>
                <w:szCs w:val="15"/>
                <w:highlight w:val="none"/>
                <w:lang w:val="en-US" w:eastAsia="zh-CN" w:bidi="ar"/>
                <w14:textFill>
                  <w14:solidFill>
                    <w14:schemeClr w14:val="tx1"/>
                  </w14:solidFill>
                </w14:textFill>
              </w:rPr>
              <w:t>1</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15"/>
                <w:szCs w:val="15"/>
                <w:highlight w:val="none"/>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15"/>
                <w:szCs w:val="15"/>
                <w:highlight w:val="none"/>
                <w:lang w:val="en-US" w:eastAsia="zh-CN" w:bidi="ar"/>
                <w14:textFill>
                  <w14:solidFill>
                    <w14:schemeClr w14:val="tx1"/>
                  </w14:solidFill>
                </w14:textFill>
              </w:rPr>
              <w:t>n</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—每种危险物质的临界量，</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吨</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10B898AE">
            <w:pPr>
              <w:keepNext w:val="0"/>
              <w:keepLines w:val="0"/>
              <w:widowControl/>
              <w:suppressLineNumbers w:val="0"/>
              <w:spacing w:line="360" w:lineRule="auto"/>
              <w:ind w:firstLine="1200" w:firstLineChars="5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当Q＜1时，该项目环境风险潜势为Ⅰ。</w:t>
            </w:r>
          </w:p>
          <w:p w14:paraId="5FC60A0B">
            <w:pPr>
              <w:keepNext w:val="0"/>
              <w:keepLines w:val="0"/>
              <w:widowControl/>
              <w:suppressLineNumbers w:val="0"/>
              <w:spacing w:line="360" w:lineRule="auto"/>
              <w:ind w:firstLine="480" w:firstLineChars="200"/>
              <w:jc w:val="left"/>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当Q≥1时，将Q值划分为：（1）1≤Q＜10；（2）10≤Q＜100</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（3）Q≥100；对照附录B.2，对风险物质进行Q值计算，本项目主要风险物质具体见表4-</w:t>
            </w:r>
            <w:r>
              <w:rPr>
                <w:rFonts w:hint="eastAsia" w:cs="Times New Roman"/>
                <w:color w:val="000000" w:themeColor="text1"/>
                <w:kern w:val="0"/>
                <w:sz w:val="24"/>
                <w:szCs w:val="24"/>
                <w:highlight w:val="none"/>
                <w:lang w:val="en-US" w:eastAsia="zh-CN" w:bidi="ar"/>
                <w14:textFill>
                  <w14:solidFill>
                    <w14:schemeClr w14:val="tx1"/>
                  </w14:solidFill>
                </w14:textFill>
              </w:rPr>
              <w:t>30</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3875468D">
            <w:pPr>
              <w:pStyle w:val="81"/>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表4</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eastAsia" w:eastAsia="宋体" w:cs="Times New Roman"/>
                <w:b/>
                <w:bCs/>
                <w:color w:val="000000" w:themeColor="text1"/>
                <w:sz w:val="21"/>
                <w:szCs w:val="21"/>
                <w:highlight w:val="none"/>
                <w:lang w:val="en-US" w:eastAsia="zh-CN"/>
                <w14:textFill>
                  <w14:solidFill>
                    <w14:schemeClr w14:val="tx1"/>
                  </w14:solidFill>
                </w14:textFill>
              </w:rPr>
              <w:t>30</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风险物质最大存在量与临界值表</w:t>
            </w:r>
          </w:p>
          <w:tbl>
            <w:tblPr>
              <w:tblStyle w:val="29"/>
              <w:tblW w:w="80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260"/>
              <w:gridCol w:w="1260"/>
              <w:gridCol w:w="1417"/>
              <w:gridCol w:w="1260"/>
              <w:gridCol w:w="1558"/>
            </w:tblGrid>
            <w:tr w14:paraId="667BB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260" w:type="dxa"/>
                  <w:tcBorders>
                    <w:top w:val="single" w:color="000000" w:sz="12" w:space="0"/>
                    <w:left w:val="nil"/>
                    <w:bottom w:val="single" w:color="000000" w:sz="8" w:space="0"/>
                    <w:right w:val="single" w:color="000000" w:sz="8" w:space="0"/>
                  </w:tcBorders>
                  <w:noWrap w:val="0"/>
                  <w:vAlign w:val="center"/>
                </w:tcPr>
                <w:p w14:paraId="574D507A">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1260" w:type="dxa"/>
                  <w:tcBorders>
                    <w:top w:val="single" w:color="000000" w:sz="12" w:space="0"/>
                    <w:left w:val="single" w:color="000000" w:sz="8" w:space="0"/>
                    <w:bottom w:val="single" w:color="000000" w:sz="8" w:space="0"/>
                    <w:right w:val="single" w:color="000000" w:sz="8" w:space="0"/>
                  </w:tcBorders>
                  <w:noWrap w:val="0"/>
                  <w:vAlign w:val="center"/>
                </w:tcPr>
                <w:p w14:paraId="617318BB">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1260" w:type="dxa"/>
                  <w:tcBorders>
                    <w:top w:val="single" w:color="000000" w:sz="12" w:space="0"/>
                    <w:left w:val="single" w:color="000000" w:sz="8" w:space="0"/>
                    <w:bottom w:val="single" w:color="000000" w:sz="8" w:space="0"/>
                    <w:right w:val="single" w:color="000000" w:sz="8" w:space="0"/>
                  </w:tcBorders>
                  <w:noWrap w:val="0"/>
                  <w:vAlign w:val="center"/>
                </w:tcPr>
                <w:p w14:paraId="1A9FC08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CAS</w:t>
                  </w:r>
                  <w:r>
                    <w:rPr>
                      <w:rStyle w:val="82"/>
                      <w:color w:val="000000" w:themeColor="text1"/>
                      <w:highlight w:val="none"/>
                      <w:lang w:val="en-US" w:eastAsia="zh-CN" w:bidi="ar"/>
                      <w14:textFill>
                        <w14:solidFill>
                          <w14:schemeClr w14:val="tx1"/>
                        </w14:solidFill>
                      </w14:textFill>
                    </w:rPr>
                    <w:t>号</w:t>
                  </w:r>
                </w:p>
              </w:tc>
              <w:tc>
                <w:tcPr>
                  <w:tcW w:w="1417" w:type="dxa"/>
                  <w:tcBorders>
                    <w:top w:val="single" w:color="000000" w:sz="12" w:space="0"/>
                    <w:left w:val="single" w:color="000000" w:sz="8" w:space="0"/>
                    <w:bottom w:val="single" w:color="000000" w:sz="8" w:space="0"/>
                    <w:right w:val="single" w:color="000000" w:sz="8" w:space="0"/>
                  </w:tcBorders>
                  <w:noWrap w:val="0"/>
                  <w:vAlign w:val="center"/>
                </w:tcPr>
                <w:p w14:paraId="16F182F5">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风险物质最大存在量</w:t>
                  </w:r>
                  <w:r>
                    <w:rPr>
                      <w:rStyle w:val="83"/>
                      <w:rFonts w:eastAsia="宋体"/>
                      <w:color w:val="000000" w:themeColor="text1"/>
                      <w:highlight w:val="none"/>
                      <w:lang w:val="en-US" w:eastAsia="zh-CN" w:bidi="ar"/>
                      <w14:textFill>
                        <w14:solidFill>
                          <w14:schemeClr w14:val="tx1"/>
                        </w14:solidFill>
                      </w14:textFill>
                    </w:rPr>
                    <w:t>/t</w:t>
                  </w:r>
                </w:p>
              </w:tc>
              <w:tc>
                <w:tcPr>
                  <w:tcW w:w="1260" w:type="dxa"/>
                  <w:tcBorders>
                    <w:top w:val="single" w:color="000000" w:sz="12" w:space="0"/>
                    <w:left w:val="single" w:color="000000" w:sz="8" w:space="0"/>
                    <w:bottom w:val="single" w:color="000000" w:sz="8" w:space="0"/>
                    <w:right w:val="single" w:color="000000" w:sz="8" w:space="0"/>
                  </w:tcBorders>
                  <w:noWrap w:val="0"/>
                  <w:vAlign w:val="center"/>
                </w:tcPr>
                <w:p w14:paraId="2B715A40">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临界值</w:t>
                  </w:r>
                  <w:r>
                    <w:rPr>
                      <w:rStyle w:val="83"/>
                      <w:rFonts w:eastAsia="宋体"/>
                      <w:color w:val="000000" w:themeColor="text1"/>
                      <w:highlight w:val="none"/>
                      <w:lang w:val="en-US" w:eastAsia="zh-CN" w:bidi="ar"/>
                      <w14:textFill>
                        <w14:solidFill>
                          <w14:schemeClr w14:val="tx1"/>
                        </w14:solidFill>
                      </w14:textFill>
                    </w:rPr>
                    <w:t>/t</w:t>
                  </w:r>
                </w:p>
              </w:tc>
              <w:tc>
                <w:tcPr>
                  <w:tcW w:w="1558" w:type="dxa"/>
                  <w:tcBorders>
                    <w:top w:val="single" w:color="000000" w:sz="12" w:space="0"/>
                    <w:left w:val="single" w:color="000000" w:sz="8" w:space="0"/>
                    <w:bottom w:val="single" w:color="000000" w:sz="8" w:space="0"/>
                    <w:right w:val="nil"/>
                  </w:tcBorders>
                  <w:noWrap w:val="0"/>
                  <w:vAlign w:val="center"/>
                </w:tcPr>
                <w:p w14:paraId="5082EC22">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比值</w:t>
                  </w:r>
                  <w:r>
                    <w:rPr>
                      <w:rStyle w:val="83"/>
                      <w:rFonts w:eastAsia="宋体"/>
                      <w:color w:val="000000" w:themeColor="text1"/>
                      <w:highlight w:val="none"/>
                      <w:lang w:val="en-US" w:eastAsia="zh-CN" w:bidi="ar"/>
                      <w14:textFill>
                        <w14:solidFill>
                          <w14:schemeClr w14:val="tx1"/>
                        </w14:solidFill>
                      </w14:textFill>
                    </w:rPr>
                    <w:t>Q</w:t>
                  </w:r>
                </w:p>
              </w:tc>
            </w:tr>
            <w:tr w14:paraId="2EE04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260" w:type="dxa"/>
                  <w:tcBorders>
                    <w:top w:val="single" w:color="000000" w:sz="8" w:space="0"/>
                    <w:left w:val="nil"/>
                    <w:bottom w:val="single" w:color="000000" w:sz="8" w:space="0"/>
                    <w:right w:val="single" w:color="000000" w:sz="8" w:space="0"/>
                  </w:tcBorders>
                  <w:noWrap w:val="0"/>
                  <w:vAlign w:val="center"/>
                </w:tcPr>
                <w:p w14:paraId="6A639D1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1327F00C">
                  <w:pPr>
                    <w:pageBreakBefore w:val="0"/>
                    <w:widowControl w:val="0"/>
                    <w:kinsoku/>
                    <w:overflowPunct/>
                    <w:topLinePunct w:val="0"/>
                    <w:bidi w:val="0"/>
                    <w:spacing w:line="240" w:lineRule="auto"/>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废润滑油</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0B10F14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t>80474-14-2</w:t>
                  </w:r>
                </w:p>
              </w:tc>
              <w:tc>
                <w:tcPr>
                  <w:tcW w:w="1417" w:type="dxa"/>
                  <w:tcBorders>
                    <w:top w:val="single" w:color="000000" w:sz="8" w:space="0"/>
                    <w:left w:val="single" w:color="000000" w:sz="8" w:space="0"/>
                    <w:bottom w:val="single" w:color="000000" w:sz="8" w:space="0"/>
                    <w:right w:val="single" w:color="000000" w:sz="8" w:space="0"/>
                  </w:tcBorders>
                  <w:noWrap w:val="0"/>
                  <w:vAlign w:val="center"/>
                </w:tcPr>
                <w:p w14:paraId="0D1CBC03">
                  <w:pPr>
                    <w:pageBreakBefore w:val="0"/>
                    <w:widowControl w:val="0"/>
                    <w:kinsoku/>
                    <w:overflowPunct/>
                    <w:topLinePunct w:val="0"/>
                    <w:bidi w:val="0"/>
                    <w:spacing w:line="240" w:lineRule="auto"/>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w:t>
                  </w:r>
                  <w:r>
                    <w:rPr>
                      <w:rFonts w:hint="eastAsia" w:cs="Times New Roman"/>
                      <w:color w:val="000000" w:themeColor="text1"/>
                      <w:kern w:val="0"/>
                      <w:sz w:val="21"/>
                      <w:szCs w:val="21"/>
                      <w:highlight w:val="none"/>
                      <w:lang w:val="en-US" w:eastAsia="zh-CN"/>
                      <w14:textFill>
                        <w14:solidFill>
                          <w14:schemeClr w14:val="tx1"/>
                        </w14:solidFill>
                      </w14:textFill>
                    </w:rPr>
                    <w:t>2</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64E0F94A">
                  <w:pPr>
                    <w:pageBreakBefore w:val="0"/>
                    <w:widowControl w:val="0"/>
                    <w:kinsoku/>
                    <w:overflowPunct/>
                    <w:topLinePunct w:val="0"/>
                    <w:bidi w:val="0"/>
                    <w:spacing w:line="240" w:lineRule="auto"/>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2500</w:t>
                  </w:r>
                </w:p>
              </w:tc>
              <w:tc>
                <w:tcPr>
                  <w:tcW w:w="1558" w:type="dxa"/>
                  <w:tcBorders>
                    <w:top w:val="single" w:color="000000" w:sz="8" w:space="0"/>
                    <w:left w:val="single" w:color="000000" w:sz="8" w:space="0"/>
                    <w:bottom w:val="single" w:color="000000" w:sz="8" w:space="0"/>
                    <w:right w:val="nil"/>
                  </w:tcBorders>
                  <w:noWrap w:val="0"/>
                  <w:vAlign w:val="center"/>
                </w:tcPr>
                <w:p w14:paraId="4B961E3C">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0.00008</w:t>
                  </w:r>
                </w:p>
              </w:tc>
            </w:tr>
            <w:tr w14:paraId="56922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260" w:type="dxa"/>
                  <w:tcBorders>
                    <w:top w:val="single" w:color="000000" w:sz="8" w:space="0"/>
                    <w:left w:val="nil"/>
                    <w:bottom w:val="single" w:color="000000" w:sz="8" w:space="0"/>
                    <w:right w:val="single" w:color="000000" w:sz="8" w:space="0"/>
                  </w:tcBorders>
                  <w:noWrap w:val="0"/>
                  <w:vAlign w:val="center"/>
                </w:tcPr>
                <w:p w14:paraId="029D8E8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2DFBA7ED">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木焦油</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27F27242">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w:t>
                  </w:r>
                </w:p>
              </w:tc>
              <w:tc>
                <w:tcPr>
                  <w:tcW w:w="1417" w:type="dxa"/>
                  <w:tcBorders>
                    <w:top w:val="single" w:color="000000" w:sz="8" w:space="0"/>
                    <w:left w:val="single" w:color="000000" w:sz="8" w:space="0"/>
                    <w:bottom w:val="single" w:color="000000" w:sz="8" w:space="0"/>
                    <w:right w:val="single" w:color="000000" w:sz="8" w:space="0"/>
                  </w:tcBorders>
                  <w:noWrap w:val="0"/>
                  <w:vAlign w:val="center"/>
                </w:tcPr>
                <w:p w14:paraId="55465E8A">
                  <w:pPr>
                    <w:pageBreakBefore w:val="0"/>
                    <w:widowControl w:val="0"/>
                    <w:kinsoku/>
                    <w:overflowPunct/>
                    <w:topLinePunct w:val="0"/>
                    <w:bidi w:val="0"/>
                    <w:spacing w:line="240" w:lineRule="auto"/>
                    <w:jc w:val="cente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4</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0DE37A11">
                  <w:pPr>
                    <w:pageBreakBefore w:val="0"/>
                    <w:widowControl w:val="0"/>
                    <w:kinsoku/>
                    <w:overflowPunct/>
                    <w:topLinePunct w:val="0"/>
                    <w:bidi w:val="0"/>
                    <w:spacing w:line="240" w:lineRule="auto"/>
                    <w:jc w:val="cente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2500</w:t>
                  </w:r>
                </w:p>
              </w:tc>
              <w:tc>
                <w:tcPr>
                  <w:tcW w:w="1558" w:type="dxa"/>
                  <w:tcBorders>
                    <w:top w:val="single" w:color="000000" w:sz="8" w:space="0"/>
                    <w:left w:val="single" w:color="000000" w:sz="8" w:space="0"/>
                    <w:bottom w:val="single" w:color="000000" w:sz="8" w:space="0"/>
                    <w:right w:val="nil"/>
                  </w:tcBorders>
                  <w:noWrap w:val="0"/>
                  <w:vAlign w:val="center"/>
                </w:tcPr>
                <w:p w14:paraId="623415BB">
                  <w:pPr>
                    <w:pageBreakBefore w:val="0"/>
                    <w:widowControl w:val="0"/>
                    <w:kinsoku/>
                    <w:overflowPunct/>
                    <w:topLinePunct w:val="0"/>
                    <w:bidi w:val="0"/>
                    <w:spacing w:line="240" w:lineRule="auto"/>
                    <w:jc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0.0016</w:t>
                  </w:r>
                </w:p>
              </w:tc>
            </w:tr>
            <w:tr w14:paraId="6E2B4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260" w:type="dxa"/>
                  <w:tcBorders>
                    <w:top w:val="single" w:color="000000" w:sz="8" w:space="0"/>
                    <w:left w:val="nil"/>
                    <w:bottom w:val="single" w:color="000000" w:sz="8" w:space="0"/>
                    <w:right w:val="single" w:color="000000" w:sz="8" w:space="0"/>
                  </w:tcBorders>
                  <w:noWrap w:val="0"/>
                  <w:vAlign w:val="center"/>
                </w:tcPr>
                <w:p w14:paraId="1AED90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3</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0B8BA049">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木煤气</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6A890A9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w:t>
                  </w:r>
                </w:p>
              </w:tc>
              <w:tc>
                <w:tcPr>
                  <w:tcW w:w="1417" w:type="dxa"/>
                  <w:tcBorders>
                    <w:top w:val="single" w:color="000000" w:sz="8" w:space="0"/>
                    <w:left w:val="single" w:color="000000" w:sz="8" w:space="0"/>
                    <w:bottom w:val="single" w:color="000000" w:sz="8" w:space="0"/>
                    <w:right w:val="single" w:color="000000" w:sz="8" w:space="0"/>
                  </w:tcBorders>
                  <w:noWrap w:val="0"/>
                  <w:vAlign w:val="center"/>
                </w:tcPr>
                <w:p w14:paraId="665D99E8">
                  <w:pPr>
                    <w:pageBreakBefore w:val="0"/>
                    <w:widowControl w:val="0"/>
                    <w:kinsoku/>
                    <w:overflowPunct/>
                    <w:topLinePunct w:val="0"/>
                    <w:bidi w:val="0"/>
                    <w:spacing w:line="240" w:lineRule="auto"/>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6.5</w:t>
                  </w:r>
                </w:p>
              </w:tc>
              <w:tc>
                <w:tcPr>
                  <w:tcW w:w="1260" w:type="dxa"/>
                  <w:tcBorders>
                    <w:top w:val="single" w:color="000000" w:sz="8" w:space="0"/>
                    <w:left w:val="single" w:color="000000" w:sz="8" w:space="0"/>
                    <w:bottom w:val="single" w:color="000000" w:sz="8" w:space="0"/>
                    <w:right w:val="single" w:color="000000" w:sz="8" w:space="0"/>
                  </w:tcBorders>
                  <w:noWrap w:val="0"/>
                  <w:vAlign w:val="center"/>
                </w:tcPr>
                <w:p w14:paraId="1520868F">
                  <w:pPr>
                    <w:pageBreakBefore w:val="0"/>
                    <w:widowControl w:val="0"/>
                    <w:kinsoku/>
                    <w:overflowPunct/>
                    <w:topLinePunct w:val="0"/>
                    <w:bidi w:val="0"/>
                    <w:spacing w:line="240" w:lineRule="auto"/>
                    <w:jc w:val="cente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7.5</w:t>
                  </w:r>
                </w:p>
              </w:tc>
              <w:tc>
                <w:tcPr>
                  <w:tcW w:w="1558" w:type="dxa"/>
                  <w:tcBorders>
                    <w:top w:val="single" w:color="000000" w:sz="8" w:space="0"/>
                    <w:left w:val="single" w:color="000000" w:sz="8" w:space="0"/>
                    <w:bottom w:val="single" w:color="000000" w:sz="8" w:space="0"/>
                    <w:right w:val="nil"/>
                  </w:tcBorders>
                  <w:noWrap w:val="0"/>
                  <w:vAlign w:val="center"/>
                </w:tcPr>
                <w:p w14:paraId="567B49B1">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0.8667</w:t>
                  </w:r>
                </w:p>
              </w:tc>
            </w:tr>
            <w:tr w14:paraId="4C172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457" w:type="dxa"/>
                  <w:gridSpan w:val="5"/>
                  <w:tcBorders>
                    <w:top w:val="single" w:color="000000" w:sz="8" w:space="0"/>
                    <w:left w:val="nil"/>
                    <w:bottom w:val="single" w:color="000000" w:sz="8" w:space="0"/>
                    <w:right w:val="single" w:color="000000" w:sz="8" w:space="0"/>
                  </w:tcBorders>
                  <w:noWrap w:val="0"/>
                  <w:vAlign w:val="center"/>
                </w:tcPr>
                <w:p w14:paraId="1C1DDE03">
                  <w:pPr>
                    <w:pageBreakBefore w:val="0"/>
                    <w:widowControl w:val="0"/>
                    <w:kinsoku/>
                    <w:overflowPunct/>
                    <w:topLinePunct w:val="0"/>
                    <w:bidi w:val="0"/>
                    <w:spacing w:line="240" w:lineRule="auto"/>
                    <w:jc w:val="center"/>
                    <w:rPr>
                      <w:rFonts w:hint="default"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合计</w:t>
                  </w:r>
                </w:p>
              </w:tc>
              <w:tc>
                <w:tcPr>
                  <w:tcW w:w="1558" w:type="dxa"/>
                  <w:tcBorders>
                    <w:top w:val="single" w:color="000000" w:sz="8" w:space="0"/>
                    <w:left w:val="single" w:color="000000" w:sz="8" w:space="0"/>
                    <w:bottom w:val="single" w:color="000000" w:sz="8" w:space="0"/>
                    <w:right w:val="nil"/>
                  </w:tcBorders>
                  <w:noWrap w:val="0"/>
                  <w:vAlign w:val="center"/>
                </w:tcPr>
                <w:p w14:paraId="57DB1109">
                  <w:pPr>
                    <w:pageBreakBefore w:val="0"/>
                    <w:widowControl w:val="0"/>
                    <w:kinsoku/>
                    <w:overflowPunct/>
                    <w:topLinePunct w:val="0"/>
                    <w:bidi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0.8683</w:t>
                  </w:r>
                </w:p>
              </w:tc>
            </w:tr>
            <w:tr w14:paraId="6C122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457" w:type="dxa"/>
                  <w:gridSpan w:val="5"/>
                  <w:tcBorders>
                    <w:top w:val="single" w:color="000000" w:sz="8" w:space="0"/>
                    <w:left w:val="nil"/>
                    <w:bottom w:val="single" w:color="000000" w:sz="12" w:space="0"/>
                    <w:right w:val="single" w:color="000000" w:sz="8" w:space="0"/>
                  </w:tcBorders>
                  <w:noWrap w:val="0"/>
                  <w:vAlign w:val="center"/>
                </w:tcPr>
                <w:p w14:paraId="7D9E4B53">
                  <w:pPr>
                    <w:keepNext w:val="0"/>
                    <w:keepLines w:val="0"/>
                    <w:widowControl/>
                    <w:suppressLineNumbers w:val="0"/>
                    <w:jc w:val="center"/>
                    <w:textAlignment w:val="top"/>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本项目</w:t>
                  </w:r>
                  <w:r>
                    <w:rPr>
                      <w:rStyle w:val="84"/>
                      <w:rFonts w:eastAsia="宋体"/>
                      <w:color w:val="000000" w:themeColor="text1"/>
                      <w:highlight w:val="none"/>
                      <w:lang w:val="en-US" w:eastAsia="zh-CN" w:bidi="ar"/>
                      <w14:textFill>
                        <w14:solidFill>
                          <w14:schemeClr w14:val="tx1"/>
                        </w14:solidFill>
                      </w14:textFill>
                    </w:rPr>
                    <w:t>Q</w:t>
                  </w:r>
                  <w:r>
                    <w:rPr>
                      <w:rStyle w:val="85"/>
                      <w:color w:val="000000" w:themeColor="text1"/>
                      <w:highlight w:val="none"/>
                      <w:lang w:val="en-US" w:eastAsia="zh-CN" w:bidi="ar"/>
                      <w14:textFill>
                        <w14:solidFill>
                          <w14:schemeClr w14:val="tx1"/>
                        </w14:solidFill>
                      </w14:textFill>
                    </w:rPr>
                    <w:t>值划分</w:t>
                  </w:r>
                </w:p>
              </w:tc>
              <w:tc>
                <w:tcPr>
                  <w:tcW w:w="1558" w:type="dxa"/>
                  <w:tcBorders>
                    <w:top w:val="single" w:color="000000" w:sz="8" w:space="0"/>
                    <w:left w:val="single" w:color="000000" w:sz="8" w:space="0"/>
                    <w:bottom w:val="single" w:color="000000" w:sz="12" w:space="0"/>
                    <w:right w:val="nil"/>
                  </w:tcBorders>
                  <w:noWrap w:val="0"/>
                  <w:vAlign w:val="center"/>
                </w:tcPr>
                <w:p w14:paraId="20A0115D">
                  <w:pPr>
                    <w:keepNext w:val="0"/>
                    <w:keepLines w:val="0"/>
                    <w:widowControl/>
                    <w:suppressLineNumbers w:val="0"/>
                    <w:jc w:val="center"/>
                    <w:textAlignment w:val="top"/>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Q&lt;1</w:t>
                  </w:r>
                </w:p>
              </w:tc>
            </w:tr>
          </w:tbl>
          <w:p w14:paraId="7A8B2BBA">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根据本项目实际情况，计算得Q值为0.</w:t>
            </w:r>
            <w:r>
              <w:rPr>
                <w:rFonts w:hint="eastAsia" w:cs="Times New Roman"/>
                <w:color w:val="000000" w:themeColor="text1"/>
                <w:kern w:val="0"/>
                <w:sz w:val="24"/>
                <w:szCs w:val="24"/>
                <w:highlight w:val="none"/>
                <w:lang w:val="en-US" w:eastAsia="zh-CN" w:bidi="ar"/>
                <w14:textFill>
                  <w14:solidFill>
                    <w14:schemeClr w14:val="tx1"/>
                  </w14:solidFill>
                </w14:textFill>
              </w:rPr>
              <w:t>8683</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，Q＜1，确定项目风险潜势为I。</w:t>
            </w:r>
          </w:p>
          <w:p w14:paraId="75D5A85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Q＜1</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，因此，本项目</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有毒有害和易燃易爆危险物质存储量</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未超过</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超过临界量</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《建设项目环境影响报告表编制技术指南（污染影响类）</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试行</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中表1，无须编制环境风险专项评价，只</w:t>
            </w:r>
            <w:r>
              <w:rPr>
                <w:rFonts w:hint="eastAsia" w:cs="Times New Roman"/>
                <w:color w:val="000000" w:themeColor="text1"/>
                <w:kern w:val="0"/>
                <w:sz w:val="24"/>
                <w:szCs w:val="24"/>
                <w:highlight w:val="none"/>
                <w:lang w:val="en-US" w:eastAsia="zh-CN" w:bidi="ar"/>
                <w14:textFill>
                  <w14:solidFill>
                    <w14:schemeClr w14:val="tx1"/>
                  </w14:solidFill>
                </w14:textFill>
              </w:rPr>
              <w:t>需</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明确有毒有害和易燃易爆等危险物质和风险源分布情况及可能影响途径，并提出相应环境风险防范措施。</w:t>
            </w:r>
          </w:p>
          <w:p w14:paraId="567AFDB5">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7.</w:t>
            </w: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风险事故环境影响</w:t>
            </w: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分析</w:t>
            </w:r>
          </w:p>
          <w:p w14:paraId="22324F9D">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（1）木煤气</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泄漏</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环境影响分析</w:t>
            </w:r>
          </w:p>
          <w:p w14:paraId="06D94EB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泄漏后，若不能及时采取措施制止，致使木煤气进入环境当中，木煤气若遇明火则会引发火灾等危害极大的事故。木煤气气泄漏外溢，会对环境、人员和设备产生一定危害。木煤气主要危害包括：a.遇明火可能发生火灾或爆炸事故，造成人员伤亡、设备损坏等危害；b.CO对人体的毒性危害，尽管毒性相对较低，主要具有麻醉和刺激作用，以及对呼吸道</w:t>
            </w:r>
            <w:r>
              <w:rPr>
                <w:rFonts w:hint="eastAsia" w:cs="Times New Roman"/>
                <w:color w:val="000000" w:themeColor="text1"/>
                <w:kern w:val="0"/>
                <w:sz w:val="24"/>
                <w:szCs w:val="24"/>
                <w:highlight w:val="none"/>
                <w:lang w:val="en-US" w:eastAsia="zh-CN" w:bidi="ar"/>
                <w14:textFill>
                  <w14:solidFill>
                    <w14:schemeClr w14:val="tx1"/>
                  </w14:solidFill>
                </w14:textFill>
              </w:rPr>
              <w:t>黏膜</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和皮肤有一定的刺激作用，较长时间接触后，对人体产生头疼、头沉、眩晕、颈部搏动感、心跳、眼花、恶心、呕</w:t>
            </w:r>
            <w:r>
              <w:rPr>
                <w:rFonts w:ascii="宋体" w:hAnsi="宋体" w:eastAsia="宋体" w:cs="宋体"/>
                <w:color w:val="000000" w:themeColor="text1"/>
                <w:sz w:val="24"/>
                <w:szCs w:val="24"/>
                <w14:textFill>
                  <w14:solidFill>
                    <w14:schemeClr w14:val="tx1"/>
                  </w14:solidFill>
                </w14:textFill>
              </w:rPr>
              <w:t>吐、四肢无力、眼角膜充血等危害，对周围的环境及人群造成影响。对于本项目而言，项目处于空旷地带，自然扩散，将很快扩散到空气中。</w:t>
            </w:r>
          </w:p>
          <w:p w14:paraId="02108C9B">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）废润滑油</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泄漏</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环境影响分析</w:t>
            </w:r>
          </w:p>
          <w:p w14:paraId="315D95B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废润滑油在收集、暂存、交接过程中发生泄漏、流失，可能会导致危险废物下渗，进而污染地下水及土壤环境。危险物质火灾爆炸等事故引发的次生污染物（CO、SO</w:t>
            </w:r>
            <w:r>
              <w:rPr>
                <w:rFonts w:hint="default" w:ascii="Times New Roman" w:hAnsi="Times New Roman" w:eastAsia="宋体" w:cs="Times New Roman"/>
                <w:color w:val="000000" w:themeColor="text1"/>
                <w:kern w:val="0"/>
                <w:sz w:val="24"/>
                <w:szCs w:val="24"/>
                <w:highlight w:val="none"/>
                <w:vertAlign w:val="subscript"/>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、NO</w:t>
            </w:r>
            <w:r>
              <w:rPr>
                <w:rFonts w:hint="default" w:ascii="Times New Roman" w:hAnsi="Times New Roman" w:eastAsia="宋体" w:cs="Times New Roman"/>
                <w:color w:val="000000" w:themeColor="text1"/>
                <w:kern w:val="0"/>
                <w:sz w:val="24"/>
                <w:szCs w:val="24"/>
                <w:highlight w:val="none"/>
                <w:vertAlign w:val="subscript"/>
                <w:lang w:val="en-US" w:eastAsia="zh-CN" w:bidi="ar"/>
                <w14:textFill>
                  <w14:solidFill>
                    <w14:schemeClr w14:val="tx1"/>
                  </w14:solidFill>
                </w14:textFill>
              </w:rPr>
              <w:t>X</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、Hg等）的排放，造成的环境污染事故。项目环境风险影响的环境要素主要是大气环境、土壤环境、地下水环境</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火灾产生大量有害气体，同时产生消防废水</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2C9FD8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木焦油</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泄漏</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环境影响分析</w:t>
            </w:r>
          </w:p>
          <w:p w14:paraId="51CDD0B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木焦油储罐布置于专用防渗池内部，池体防渗结构完整，有效容积可容纳储罐全部物料。日常阀门、管线微量渗漏的木焦油会留存于防渗池内，可及时回收，不会渗入土壤、地下水，少量挥发废气对外环境影响轻微。若发生储罐破裂等大规模泄漏，防渗池可完全截流全部木焦油，避免物料漫流进入外</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环境，</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仅在防渗层破损的极端叠加事故下，存在酚类酸性污染物少量下渗的潜在风险，事故发生后可通过吸附清污、修补防渗层、局部土壤治理等手段消除污染，项目木焦油泄漏环境风险整体可控。</w:t>
            </w:r>
          </w:p>
          <w:p w14:paraId="0175887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（4）</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有机肥原料</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成品堆存自燃风险影响分析</w:t>
            </w:r>
          </w:p>
          <w:p w14:paraId="454F6AE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有机肥成品堆体内部微生物持续放热，堆体通风不良、堆积过高，热量蓄积，引发堆体自燃，燃烧产生烟尘、CO、VOCs，污染大气环境；风险情景为堆体散热不畅发生自燃，短时释放烟尘、一氧化碳，以大气污染为主，无直接水环境污染。</w:t>
            </w:r>
          </w:p>
          <w:p w14:paraId="50BC64A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炭化炉及木煤气系统爆炸风险影响分析</w:t>
            </w:r>
          </w:p>
          <w:p w14:paraId="6132F02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炭化炉为缺氧闷烧，产生含CO、甲烷的木煤气；若设备管道密封失效、负压失效，木煤气泄漏积聚，遇明火、静电，发生爆炸；爆炸造成设备损毁，有毒可燃气体扩散，污染周边大气；风险情景为木煤气泄漏积聚遇点火源发生燃爆，大量CO、可燃气体瞬时外溢，造成区域大气污染，爆炸冲击造成设备破损，附带少量炭屑、物料散落。</w:t>
            </w:r>
          </w:p>
          <w:p w14:paraId="7F3DC9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（6）</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双模储气柜风险影响分析</w:t>
            </w:r>
          </w:p>
          <w:p w14:paraId="66CA0A0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本项目炭化产生的木煤气收集后输送至2座2500m</w:t>
            </w:r>
            <w:r>
              <w:rPr>
                <w:rFonts w:hint="eastAsia" w:cs="Times New Roman"/>
                <w:color w:val="000000" w:themeColor="text1"/>
                <w:kern w:val="0"/>
                <w:sz w:val="24"/>
                <w:szCs w:val="24"/>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双膜储气柜暂存，木煤气主要成分为CO、H</w:t>
            </w:r>
            <w:r>
              <w:rPr>
                <w:rFonts w:hint="eastAsia" w:cs="Times New Roman"/>
                <w:color w:val="000000" w:themeColor="text1"/>
                <w:kern w:val="0"/>
                <w:sz w:val="24"/>
                <w:szCs w:val="24"/>
                <w:highlight w:val="none"/>
                <w:vertAlign w:val="subscript"/>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、CH</w:t>
            </w:r>
            <w:r>
              <w:rPr>
                <w:rFonts w:hint="eastAsia" w:cs="Times New Roman"/>
                <w:color w:val="000000" w:themeColor="text1"/>
                <w:kern w:val="0"/>
                <w:sz w:val="24"/>
                <w:szCs w:val="24"/>
                <w:highlight w:val="none"/>
                <w:vertAlign w:val="subscript"/>
                <w:lang w:val="en-US" w:eastAsia="zh-CN" w:bidi="ar"/>
                <w14:textFill>
                  <w14:solidFill>
                    <w14:schemeClr w14:val="tx1"/>
                  </w14:solidFill>
                </w14:textFill>
              </w:rPr>
              <w:t>4</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等可燃组分，属于易燃易爆气体，储气柜存在泄漏、超压、火灾爆炸等环境风险，风险影响分析如下：</w:t>
            </w:r>
          </w:p>
          <w:p w14:paraId="562005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①</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泄漏风险</w:t>
            </w:r>
          </w:p>
          <w:p w14:paraId="0B3F9B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双膜储气柜膜体破损、接口法兰、管道阀门失效时，木煤气发生逸散。木煤气密度略低于空气，泄漏后易在储气柜上部、车间密闭空间积聚；其中CO具有毒性，在局部密闭区域会造成人员中毒；可燃组分遇明火、静电火花可引发燃烧爆炸。泄漏气体扩散至厂区外，在不利气象条件下会对周边人员健康产生短时影响。项目储气柜布置于热储能车间室外通风区域，开阔环境有利于气体扩散，降低积聚风险。</w:t>
            </w:r>
          </w:p>
          <w:p w14:paraId="43AFEF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②</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超压破损风险</w:t>
            </w:r>
          </w:p>
          <w:p w14:paraId="567B467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上游炭化炉产气波动、后端燃烧系统用气负荷突变，会造成储气柜内部压力异常。压力过高会造成膜体撕裂破损；压力过低会造成内膜塌陷损坏。一旦发生破损，大量木煤气短时外泄，显著提升火灾、中毒风险。项目设置压力监测、紧急放散阀、高低压联锁报警装置，压力异常时可自动报警、紧急放散，控制超压风险。</w:t>
            </w:r>
          </w:p>
          <w:p w14:paraId="40A549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③</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火灾、爆炸风险</w:t>
            </w:r>
          </w:p>
          <w:p w14:paraId="16B8A67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泄漏的木煤气在空气中达到爆炸极限，遇到静电、电气火花、雷击、外来明火等点火源，会发生燃烧甚至爆炸。事故状态下，燃烧产生高温烟气、CO、NO</w:t>
            </w:r>
            <w:r>
              <w:rPr>
                <w:rFonts w:hint="eastAsia" w:cs="Times New Roman"/>
                <w:color w:val="000000" w:themeColor="text1"/>
                <w:kern w:val="0"/>
                <w:sz w:val="24"/>
                <w:szCs w:val="24"/>
                <w:highlight w:val="none"/>
                <w:vertAlign w:val="subscript"/>
                <w:lang w:val="en-US" w:eastAsia="zh-CN" w:bidi="ar"/>
                <w14:textFill>
                  <w14:solidFill>
                    <w14:schemeClr w14:val="tx1"/>
                  </w14:solidFill>
                </w14:textFill>
              </w:rPr>
              <w:t>X</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等污染物，污染周边大气环境；爆炸冲击波会造成设备损毁、人员伤害；燃烧产生的消防废水若未收集，会携带污染物漫流，污染土壤及地下水。项目储气区域严格管控火源，配套防雷防静电接地、可燃气体探测报警系统，设置围堰与事故应急池，可收集事故消防废水。</w:t>
            </w:r>
          </w:p>
          <w:p w14:paraId="159F3B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④</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次生/伴生风险</w:t>
            </w:r>
          </w:p>
          <w:p w14:paraId="36F3B1E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储气柜火灾爆炸事故可能造成周边设备、管道损坏，引发连锁泄漏；膜体燃烧产生少量燃烧残渣，属于一般工业固废，收集后处置。</w:t>
            </w:r>
          </w:p>
          <w:p w14:paraId="5D018AB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（7）</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木醋液（含酚类物质）泄漏风险影响分析</w:t>
            </w:r>
          </w:p>
          <w:p w14:paraId="6A961F9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副产物木醋液含有酚类、有机酸，属于刺激性液体，储存罐、输送管道破损发生泄漏，酚类、有机酸进入土壤、地下水，造成土壤及地下水污染；风险情景为储罐/管道破损，木醋液泄漏，酚类、有机酸下渗污染土壤，若进入雨水系统，进一步污染地表水体、地下水。</w:t>
            </w:r>
          </w:p>
          <w:p w14:paraId="5D945A5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cs="Times New Roman"/>
                <w:color w:val="000000" w:themeColor="text1"/>
                <w:kern w:val="0"/>
                <w:sz w:val="24"/>
                <w:szCs w:val="24"/>
                <w:highlight w:val="none"/>
                <w:lang w:val="en-US" w:eastAsia="zh-CN" w:bidi="ar"/>
                <w14:textFill>
                  <w14:solidFill>
                    <w14:schemeClr w14:val="tx1"/>
                  </w14:solidFill>
                </w14:textFill>
              </w:rPr>
              <w:t>8</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）火灾</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环境影响分析</w:t>
            </w:r>
          </w:p>
          <w:p w14:paraId="351FE46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项目木煤气、木焦油、废润滑油、有机肥</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产品</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均属于可燃物，起火后将产生多维度次生污染。大气层面，油料、木焦油燃烧释放CO、酚类、VOCs、烟尘，有机肥燃烧产生粉尘、硫化氢、氨气，有毒有害气体扩散恶化区域空气质量，易引发人员中毒；水土层面，灭火消防废水裹挟油污、酚类，若未有效收集，会渗入土壤造成酸化毒害，持续下渗污染地下水，</w:t>
            </w:r>
            <w:r>
              <w:rPr>
                <w:rFonts w:hint="eastAsia" w:cs="Times New Roman"/>
                <w:color w:val="000000" w:themeColor="text1"/>
                <w:kern w:val="0"/>
                <w:sz w:val="24"/>
                <w:szCs w:val="24"/>
                <w:highlight w:val="none"/>
                <w:lang w:val="en-US" w:eastAsia="zh-CN" w:bidi="ar"/>
                <w14:textFill>
                  <w14:solidFill>
                    <w14:schemeClr w14:val="tx1"/>
                  </w14:solidFill>
                </w14:textFill>
              </w:rPr>
              <w:t>消防</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废水外流还会污染周边地表水，破坏水生生态；同时木煤气泄漏会加剧爆炸火势，有机肥固体燃料延长燃烧时间，加大污染物产生量。</w:t>
            </w:r>
          </w:p>
          <w:p w14:paraId="53BC1AA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（9）木煤气停产期间回火燃烧风险</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影响分析</w:t>
            </w:r>
          </w:p>
          <w:p w14:paraId="2EB7E4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停产停机阶段，炭化炉、木煤气收集管道、双膜储气柜系统负压状态消失，热风炉燃烧端的火焰存在沿管道逆向传播回火风险；停机过程中系统压力波动，空气易从设备密封点、出料口、阀门缝隙渗入木煤气管道内部，木煤气（含CO、H</w:t>
            </w:r>
            <w:r>
              <w:rPr>
                <w:rFonts w:hint="eastAsia" w:ascii="Times New Roman" w:hAnsi="Times New Roman" w:cs="Times New Roman"/>
                <w:color w:val="000000" w:themeColor="text1"/>
                <w:kern w:val="0"/>
                <w:sz w:val="24"/>
                <w:szCs w:val="24"/>
                <w:highlight w:val="none"/>
                <w:vertAlign w:val="subscript"/>
                <w:lang w:val="en-US" w:eastAsia="zh-CN" w:bidi="ar"/>
                <w14:textFill>
                  <w14:solidFill>
                    <w14:schemeClr w14:val="tx1"/>
                  </w14:solidFill>
                </w14:textFill>
              </w:rPr>
              <w:t>2</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、CH</w:t>
            </w:r>
            <w:r>
              <w:rPr>
                <w:rFonts w:hint="eastAsia" w:ascii="Times New Roman" w:hAnsi="Times New Roman" w:cs="Times New Roman"/>
                <w:color w:val="000000" w:themeColor="text1"/>
                <w:kern w:val="0"/>
                <w:sz w:val="24"/>
                <w:szCs w:val="24"/>
                <w:highlight w:val="none"/>
                <w:vertAlign w:val="subscript"/>
                <w:lang w:val="en-US" w:eastAsia="zh-CN" w:bidi="ar"/>
                <w14:textFill>
                  <w14:solidFill>
                    <w14:schemeClr w14:val="tx1"/>
                  </w14:solidFill>
                </w14:textFill>
              </w:rPr>
              <w:t>4</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等可燃组分）与空气混合达到爆炸极限，一旦热风炉火焰回窜，易引发管道、储气柜内燃烧甚至爆燃事故。短期临时停产、检修停机两种工况风险突出：临时停产时系统内残留木煤气未完全处置，负压引风机停机后压力反转，火焰易逆向回火；检修停产时若未执行惰性化置换，空气进入管网，回火引燃残留可燃气体。</w:t>
            </w:r>
          </w:p>
          <w:p w14:paraId="13BE68D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7.4风险防范措施</w:t>
            </w:r>
          </w:p>
          <w:p w14:paraId="3908B723">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bookmarkStart w:id="11" w:name="heading_0"/>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（1）木煤气泄漏风险防控措施</w:t>
            </w:r>
            <w:bookmarkEnd w:id="11"/>
          </w:p>
          <w:p w14:paraId="216CBFDC">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木煤气储存于双膜储气柜内，针对其易燃易爆、含一氧化碳有毒有害特性，落实专项防控措施。日常对双膜储气柜、输送管线、阀门进行定期巡检与气密性检测。储气柜区域严禁明火、严禁非防爆设备作业，做好防雷、防静电接地措施。一旦发生气体泄漏，立即停机切断产气及供气系统，划定警戒区域，疏散现场人员，依托厂区空旷开阔地形加强自然通风，加速气体扩散稀释，避免气体聚集引发爆炸、燃烧。若出现人员轻微中毒症状，及时转移至新鲜空气区域，严重者立即送医处置，杜绝人员伤害及大气污染影响。</w:t>
            </w:r>
          </w:p>
          <w:p w14:paraId="2DF9A3F6">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bookmarkStart w:id="12" w:name="heading_1"/>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（2）废润滑油泄漏风险防控措施</w:t>
            </w:r>
            <w:bookmarkEnd w:id="12"/>
          </w:p>
          <w:p w14:paraId="4FB07538">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项目废润滑油统一储存于密闭危废贮存库内，库房地面采取硬化防渗处理，设置围堰、导流设施，从源头防范泄漏下渗风险。日常规范废润滑油入库、暂存、转运管理，定期检查包装容器完好情况，杜绝跑冒滴漏。若发生油品泄漏，立即采用吸油毡、干沙土吸附收集，全部作为危险废物规范贮存，防止油品渗入土壤和地下水。若遇火灾事故，立即启用库区干粉灭火设施扑救，同时关闭厂区雨水排放口，严禁无序外排，有效防范大气、土壤及地下水次生污染。</w:t>
            </w:r>
          </w:p>
          <w:p w14:paraId="3233D5F5">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bookmarkStart w:id="13" w:name="heading_2"/>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（3）木焦油泄漏风险防控措施</w:t>
            </w:r>
            <w:bookmarkEnd w:id="13"/>
          </w:p>
          <w:p w14:paraId="6ABC5CB0">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项目木焦油储罐整体布置于专用防渗池内，防渗结构完整、有效容积可全覆盖储罐储存量，具备完整的泄漏截留能力。日常定期检查储罐、管线、阀门完好性及防渗池防渗层完整性，微量渗漏物料可自动留存于防渗池内，及时回收利用，无水土污染风险。如发生储罐破损大规模泄漏，防渗池可完全截流全部物料，</w:t>
            </w:r>
            <w:r>
              <w:rPr>
                <w:rFonts w:hint="eastAsia" w:cs="Times New Roman"/>
                <w:color w:val="000000" w:themeColor="text1"/>
                <w:kern w:val="0"/>
                <w:sz w:val="24"/>
                <w:szCs w:val="24"/>
                <w:highlight w:val="none"/>
                <w:lang w:val="en-US" w:eastAsia="zh-CN" w:bidi="ar"/>
                <w14:textFill>
                  <w14:solidFill>
                    <w14:schemeClr w14:val="tx1"/>
                  </w14:solidFill>
                </w14:textFill>
              </w:rPr>
              <w:t>防止</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物料漫流外溢。极端工况下防渗层破损时，立即采用吸附材料清理池内残液，修补防渗结构，对局部受污染土壤进行清理处置，可快速消除环境影响，整体风险可控。</w:t>
            </w:r>
          </w:p>
          <w:p w14:paraId="70D3A2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bookmarkStart w:id="14" w:name="heading_3"/>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（4）</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有机肥原料</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成品堆存自燃风险防控措施</w:t>
            </w:r>
          </w:p>
          <w:p w14:paraId="029707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原料及有机肥成品分区存放，严格控制堆体堆放高度，预留通风间隙，堆存车间保证通风条件；设置温度监测装置，定期检测堆体内部温度，堆体温度异常升高时及时翻堆散热、疏散物料；堆存区域严禁明火，配置干粉灭火器、消防沙等消防器材，车间电气采用防爆防尘型，消除电气点火源；建立日常巡检制度，减少物料长期大量堆存；一旦发生局部自燃，隔离周边可燃物，采用消防沙、干粉灭火器灭火，避免大量冲水造成物料外流，燃烧烟气通过车间通风系统导出。</w:t>
            </w:r>
          </w:p>
          <w:p w14:paraId="6197AF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炭化炉及木煤气系统爆炸风险防控措施</w:t>
            </w:r>
          </w:p>
          <w:p w14:paraId="097FD31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炭化</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noBreakHyphen/>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木煤气整套系统维持负压运行，设置压力联锁声光报警，压力异常时自动联锁停机，储气柜配套安全阀、阻火器与应急放空管线；定期开展管道气密性检测，炭化车间、储气区域设置可燃气体（CO）检测报警仪，报警信号接入中控；该区域全部电气选用防爆型，设备管道可靠防静电接地；检修作业前对管道可燃气体置换吹扫，检测合格后方可动火，严禁带压检修；配备一氧化碳防护器具，编制泄漏爆炸应急处置卡；发生煤气泄漏时立即停机切断气源，加强通风，人员撤离至上风向，杜绝各类点火源。</w:t>
            </w:r>
          </w:p>
          <w:p w14:paraId="15C77E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（6）</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双模储气柜</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风险防范措施</w:t>
            </w:r>
          </w:p>
          <w:p w14:paraId="11EAEE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①</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选址与平面布局防范</w:t>
            </w:r>
          </w:p>
          <w:p w14:paraId="59A712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2座2500m</w:t>
            </w:r>
            <w:r>
              <w:rPr>
                <w:rFonts w:hint="eastAsia" w:ascii="Times New Roman" w:hAnsi="Times New Roman" w:eastAsia="宋体" w:cs="Times New Roman"/>
                <w:b w:val="0"/>
                <w:bCs w:val="0"/>
                <w:color w:val="000000" w:themeColor="text1"/>
                <w:kern w:val="0"/>
                <w:sz w:val="24"/>
                <w:szCs w:val="24"/>
                <w:highlight w:val="none"/>
                <w:vertAlign w:val="superscript"/>
                <w:lang w:val="en-US" w:eastAsia="zh-CN" w:bidi="ar"/>
                <w14:textFill>
                  <w14:solidFill>
                    <w14:schemeClr w14:val="tx1"/>
                  </w14:solidFill>
                </w14:textFill>
              </w:rPr>
              <w:t>3</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双膜储气柜布置于热储能车间室外开阔通风区域，远离生产车间出入口、办公生活区、人员密集点及明火源；储气柜与周边建构筑物之间严格满足防火间距要求，区域设置实体隔离围栏、警示标识，严禁无关人员进入。</w:t>
            </w:r>
          </w:p>
          <w:p w14:paraId="3C4AF4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②</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设备与工艺控制措施</w:t>
            </w:r>
          </w:p>
          <w:p w14:paraId="5DA51C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储气柜选用合格双膜材质，配套压力在线监测仪表、高低压力报警及紧急放散联锁装置；设置可燃气体浓度探测器，探头布置于储气柜上部易积聚位置，信号接入中控室，浓度超标时声光报警。储气柜进出口管道设置切断阀，产气、用气负荷波动时可实现自动联锁切断；所有连接法兰、阀门、管路选用密封性能良好的配件，定期检漏，防止气体泄漏。储气柜、管道系统做完整防雷、防静电接地，定期检测接地电阻，消除静电、雷击点火源。</w:t>
            </w:r>
          </w:p>
          <w:p w14:paraId="2DC603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③</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火源管控措施</w:t>
            </w:r>
          </w:p>
          <w:p w14:paraId="02C2D3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储气柜区域划为防爆区域，区域内电气设备选用防爆型；严禁在储气柜周边进行动火作业，确需动火必须执行动火审批、气体检测、现场监护制度；区域内禁止吸烟，设置严禁明火警示标志；车辆进入防爆区域安装防火阻火器。</w:t>
            </w:r>
          </w:p>
          <w:p w14:paraId="1D97E9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④</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监测、巡检与维护管理</w:t>
            </w:r>
          </w:p>
          <w:p w14:paraId="59CFCC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建立日常巡检制度，定期检查膜体有无破损、管道阀门有无渗漏、仪表及报警装置是否完好；定期校验可燃气体检测仪、压力变送器、联锁放散系统；建立设备维护台账，发现膜体老化、密封失效等缺陷及时维修更换。</w:t>
            </w:r>
          </w:p>
          <w:p w14:paraId="260CDD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⑤</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事故收集与次生污染防控</w:t>
            </w:r>
          </w:p>
          <w:p w14:paraId="70F21F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储气柜区域设置导流设施，配套事故应急池。一旦发生火灾事故，消防废水经导流收集进入事故应急池，严禁未经收集外排，避免消防废水漫流污染土壤、地下水。</w:t>
            </w:r>
          </w:p>
          <w:p w14:paraId="5F944B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7</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木醋液（含酚类物质）泄漏风险防控措施</w:t>
            </w:r>
          </w:p>
          <w:p w14:paraId="30ACE8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木醋液储罐设置在防渗围堰内，围堰采用混凝土防渗硬化，围堰有效容积不小于最大单罐容积，实现泄漏液体有效截流，配套导流收集设施，泄漏液体可泵回事故罐回收利用；储罐区地面做防渗处理，储罐设置液位及超限报警装置，定期检查罐体、阀门、管道腐蚀破损情况；输送管道优先架空敷设，阀门接头位置设置接液盘；围堰内雨水不得直接外排；发生泄漏事故第一时间关闭阀门，将泄漏液体收集至事故罐回收回用，对受污染土壤收集处置，防止酚类物质持续下渗污染地下水。</w:t>
            </w:r>
          </w:p>
          <w:p w14:paraId="6513944B">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cs="Times New Roman"/>
                <w:color w:val="000000" w:themeColor="text1"/>
                <w:kern w:val="0"/>
                <w:sz w:val="24"/>
                <w:szCs w:val="24"/>
                <w:highlight w:val="none"/>
                <w:lang w:val="en-US" w:eastAsia="zh-CN" w:bidi="ar"/>
                <w14:textFill>
                  <w14:solidFill>
                    <w14:schemeClr w14:val="tx1"/>
                  </w14:solidFill>
                </w14:textFill>
              </w:rPr>
              <w:t>8</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）火灾环境防控措施</w:t>
            </w:r>
            <w:bookmarkEnd w:id="14"/>
          </w:p>
          <w:p w14:paraId="52EAB343">
            <w:pPr>
              <w:pStyle w:val="80"/>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项目双膜储气柜木煤气、防渗池内木焦油、危废库废润滑油及厂区有机肥（碳粉</w:t>
            </w:r>
            <w:r>
              <w:rPr>
                <w:rFonts w:hint="eastAsia" w:cs="Times New Roman"/>
                <w:color w:val="000000" w:themeColor="text1"/>
                <w:kern w:val="0"/>
                <w:sz w:val="24"/>
                <w:szCs w:val="24"/>
                <w:highlight w:val="none"/>
                <w:lang w:val="en-US" w:eastAsia="zh-CN" w:bidi="ar"/>
                <w14:textFill>
                  <w14:solidFill>
                    <w14:schemeClr w14:val="tx1"/>
                  </w14:solidFill>
                </w14:textFill>
              </w:rPr>
              <w:t>、矿源腐殖酸粉</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均为可燃物质，需落实综合火灾防控措施。厂区各分区合理布置消防器材，严格划分防火分区，保持安全防火间距，降低自燃风险。发生火灾时，及时分区灭火、阻隔火势蔓延，减少CO、VOCs、酚类、氨气、硫化氢等有毒有害烟气排放，降低大气污染。同时立即截断雨水排口，将夹带油污、木焦油的消防废水全部收集至应急池</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（消防水池）</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，避免漫流污染土壤、地下水。火灾结束后，对燃烧残渣、污染废弃物分类合规处置，必要时开展局部土壤修复，彻底消除火灾次生环境影响。</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消防废水</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收集后统一</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由吸污车上门拉运至</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呼图壁县工业园区化工园污水处理厂</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处理</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300D31AF">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（9）木煤气停产期间回火燃烧风险防控措施</w:t>
            </w:r>
          </w:p>
          <w:p w14:paraId="5E1C55A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①</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工艺联锁阻断：木煤气总管、热风炉进气支管设置阻火器+水封回火防止器双重阻火装置，配置紧急切断阀；停机时执行联锁程序，先切断炭化炉产气进料，维持负压引风机延时运行，将管道内残留木煤气送入热风炉充分燃烧，待系统内可燃气体浓度降至安全阈值后，方可关停引风机，防止压力反转造成回火倒灌。</w:t>
            </w:r>
          </w:p>
          <w:p w14:paraId="799B508C">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②</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残留气体处置：临时停产前，充分燃烧管网及储气柜内留存木煤气；长期停产检修，采用氮气对管道、储气柜进行置换吹扫，取样检测可燃气体、含氧量合格后方可开展检修作业，严禁带气检修。</w:t>
            </w:r>
          </w:p>
          <w:p w14:paraId="7BFAAFAB">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③</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压力与监测管控：停产全过程监控系统压力、可燃气体浓度，负压系统停机后关闭各单元隔断阀，隔绝热风炉燃烧端与炭化炉、储气柜管路；系统设置泄压放散管，放散管口加装阻火器。</w:t>
            </w:r>
          </w:p>
          <w:p w14:paraId="3A3D331A">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④</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管理制度：编制停机专项操作规程，明确临时停产、大修停产操作步骤；定期检查阻火器、水封、紧急切断阀、压力/可燃气体报警装置；对操作人员开展木煤气回火事故应急演练，发生回火先兆时立即启动紧急切断，切断燃气通路。</w:t>
            </w:r>
          </w:p>
          <w:p w14:paraId="661F033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7.5应急预案</w:t>
            </w:r>
          </w:p>
          <w:p w14:paraId="114F8AB1">
            <w:pPr>
              <w:spacing w:line="360" w:lineRule="auto"/>
              <w:ind w:firstLine="480" w:firstLineChars="200"/>
              <w:rPr>
                <w:rFonts w:hint="default" w:ascii="Times New Roman" w:hAnsi="Times New Roman" w:eastAsia="宋体" w:cs="Times New Roman"/>
                <w:color w:val="000000" w:themeColor="text1"/>
                <w:sz w:val="24"/>
                <w:szCs w:val="21"/>
                <w:highlight w:val="none"/>
                <w14:textFill>
                  <w14:solidFill>
                    <w14:schemeClr w14:val="tx1"/>
                  </w14:solidFill>
                </w14:textFill>
              </w:rPr>
            </w:pPr>
            <w:r>
              <w:rPr>
                <w:rFonts w:hint="default" w:ascii="Times New Roman" w:hAnsi="Times New Roman" w:eastAsia="宋体" w:cs="Times New Roman"/>
                <w:color w:val="000000" w:themeColor="text1"/>
                <w:sz w:val="24"/>
                <w:szCs w:val="21"/>
                <w:highlight w:val="none"/>
                <w14:textFill>
                  <w14:solidFill>
                    <w14:schemeClr w14:val="tx1"/>
                  </w14:solidFill>
                </w14:textFill>
              </w:rPr>
              <w:t>对于重大或不可接受的风险（主要是物料严重泄漏、火灾爆炸造成重大人员伤害等），制定应急响应方案，建立应急反应体系，当事件一旦发生时可迅速加以控制，使危害和损失降低到尽可能低的程度。作为事故风险防范和应急对策的重要组成部分，应急组织机构应制定应急计划，其基本内容应包括应急组织、应急设施（设备器材）、应急通讯联络、应急监测、应急安全保卫、应急撤离措施、应急救援、应急状态终止、事故后果评价、应急报告等。</w:t>
            </w:r>
          </w:p>
          <w:p w14:paraId="0A6D98EF">
            <w:pPr>
              <w:spacing w:line="360" w:lineRule="auto"/>
              <w:ind w:firstLine="480" w:firstLineChars="200"/>
              <w:rPr>
                <w:rFonts w:hint="default" w:ascii="Times New Roman" w:hAnsi="Times New Roman" w:eastAsia="宋体" w:cs="Times New Roman"/>
                <w:color w:val="000000" w:themeColor="text1"/>
                <w:sz w:val="24"/>
                <w:szCs w:val="21"/>
                <w:highlight w:val="none"/>
                <w14:textFill>
                  <w14:solidFill>
                    <w14:schemeClr w14:val="tx1"/>
                  </w14:solidFill>
                </w14:textFill>
              </w:rPr>
            </w:pPr>
            <w:r>
              <w:rPr>
                <w:rFonts w:hint="default" w:ascii="Times New Roman" w:hAnsi="Times New Roman" w:eastAsia="宋体" w:cs="Times New Roman"/>
                <w:color w:val="000000" w:themeColor="text1"/>
                <w:sz w:val="24"/>
                <w:szCs w:val="21"/>
                <w:highlight w:val="none"/>
                <w14:textFill>
                  <w14:solidFill>
                    <w14:schemeClr w14:val="tx1"/>
                  </w14:solidFill>
                </w14:textFill>
              </w:rPr>
              <w:t>建设单位根据本次建设特点编制突发环境事件应急预案并备案，其主要内容见表</w:t>
            </w:r>
            <w:r>
              <w:rPr>
                <w:rFonts w:hint="eastAsia" w:ascii="Times New Roman" w:hAnsi="Times New Roman" w:eastAsia="宋体" w:cs="Times New Roman"/>
                <w:color w:val="000000" w:themeColor="text1"/>
                <w:sz w:val="24"/>
                <w:szCs w:val="21"/>
                <w:highlight w:val="none"/>
                <w:lang w:val="en-US" w:eastAsia="zh-CN"/>
                <w14:textFill>
                  <w14:solidFill>
                    <w14:schemeClr w14:val="tx1"/>
                  </w14:solidFill>
                </w14:textFill>
              </w:rPr>
              <w:t>4-</w:t>
            </w:r>
            <w:r>
              <w:rPr>
                <w:rFonts w:hint="eastAsia" w:cs="Times New Roman"/>
                <w:color w:val="000000" w:themeColor="text1"/>
                <w:sz w:val="24"/>
                <w:szCs w:val="21"/>
                <w:highlight w:val="none"/>
                <w:lang w:val="en-US" w:eastAsia="zh-CN"/>
                <w14:textFill>
                  <w14:solidFill>
                    <w14:schemeClr w14:val="tx1"/>
                  </w14:solidFill>
                </w14:textFill>
              </w:rPr>
              <w:t>31</w:t>
            </w:r>
            <w:r>
              <w:rPr>
                <w:rFonts w:hint="default" w:ascii="Times New Roman" w:hAnsi="Times New Roman" w:eastAsia="宋体" w:cs="Times New Roman"/>
                <w:color w:val="000000" w:themeColor="text1"/>
                <w:sz w:val="24"/>
                <w:szCs w:val="21"/>
                <w:highlight w:val="none"/>
                <w14:textFill>
                  <w14:solidFill>
                    <w14:schemeClr w14:val="tx1"/>
                  </w14:solidFill>
                </w14:textFill>
              </w:rPr>
              <w:t>。</w:t>
            </w:r>
          </w:p>
          <w:p w14:paraId="5F2507D1">
            <w:pPr>
              <w:keepNext w:val="0"/>
              <w:keepLines w:val="0"/>
              <w:pageBreakBefore w:val="0"/>
              <w:widowControl w:val="0"/>
              <w:shd w:val="clear" w:color="auto" w:fill="auto"/>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bookmarkStart w:id="15" w:name="_Toc203821082"/>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表</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4-</w:t>
            </w:r>
            <w:r>
              <w:rPr>
                <w:rFonts w:hint="eastAsia" w:cs="Times New Roman"/>
                <w:b/>
                <w:bCs/>
                <w:color w:val="000000" w:themeColor="text1"/>
                <w:kern w:val="0"/>
                <w:sz w:val="21"/>
                <w:szCs w:val="21"/>
                <w:highlight w:val="none"/>
                <w:lang w:val="en-US" w:eastAsia="zh-CN"/>
                <w14:textFill>
                  <w14:solidFill>
                    <w14:schemeClr w14:val="tx1"/>
                  </w14:solidFill>
                </w14:textFill>
              </w:rPr>
              <w:t>31</w:t>
            </w: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 xml:space="preserve"> 应急预案主要内容</w:t>
            </w:r>
            <w:bookmarkEnd w:id="15"/>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622"/>
              <w:gridCol w:w="2696"/>
              <w:gridCol w:w="4695"/>
            </w:tblGrid>
            <w:tr w14:paraId="373EFC9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3CA36525">
                  <w:pPr>
                    <w:widowControl w:val="0"/>
                    <w:spacing w:line="240" w:lineRule="auto"/>
                    <w:ind w:firstLine="0" w:firstLineChars="0"/>
                    <w:jc w:val="center"/>
                    <w:rPr>
                      <w:rFonts w:hint="default" w:ascii="Times New Roman" w:hAnsi="Times New Roman" w:eastAsia="宋体" w:cs="Times New Roman"/>
                      <w:b/>
                      <w:bCs/>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zh-CN" w:eastAsia="zh-CN" w:bidi="zh-CN"/>
                      <w14:textFill>
                        <w14:solidFill>
                          <w14:schemeClr w14:val="tx1"/>
                        </w14:solidFill>
                      </w14:textFill>
                    </w:rPr>
                    <w:t>序号</w:t>
                  </w:r>
                </w:p>
              </w:tc>
              <w:tc>
                <w:tcPr>
                  <w:tcW w:w="2778" w:type="dxa"/>
                  <w:tcBorders>
                    <w:tl2br w:val="nil"/>
                    <w:tr2bl w:val="nil"/>
                  </w:tcBorders>
                  <w:noWrap w:val="0"/>
                  <w:vAlign w:val="center"/>
                </w:tcPr>
                <w:p w14:paraId="1AA65A87">
                  <w:pPr>
                    <w:widowControl w:val="0"/>
                    <w:spacing w:line="240" w:lineRule="auto"/>
                    <w:ind w:firstLine="0" w:firstLineChars="0"/>
                    <w:jc w:val="center"/>
                    <w:rPr>
                      <w:rFonts w:hint="default" w:ascii="Times New Roman" w:hAnsi="Times New Roman" w:eastAsia="宋体" w:cs="Times New Roman"/>
                      <w:b/>
                      <w:bCs/>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zh-CN" w:eastAsia="zh-CN" w:bidi="zh-CN"/>
                      <w14:textFill>
                        <w14:solidFill>
                          <w14:schemeClr w14:val="tx1"/>
                        </w14:solidFill>
                      </w14:textFill>
                    </w:rPr>
                    <w:t>项目</w:t>
                  </w:r>
                </w:p>
              </w:tc>
              <w:tc>
                <w:tcPr>
                  <w:tcW w:w="4840" w:type="dxa"/>
                  <w:tcBorders>
                    <w:tl2br w:val="nil"/>
                    <w:tr2bl w:val="nil"/>
                  </w:tcBorders>
                  <w:noWrap w:val="0"/>
                  <w:vAlign w:val="center"/>
                </w:tcPr>
                <w:p w14:paraId="2FDCBD87">
                  <w:pPr>
                    <w:widowControl w:val="0"/>
                    <w:spacing w:line="240" w:lineRule="auto"/>
                    <w:ind w:firstLine="0" w:firstLineChars="0"/>
                    <w:jc w:val="center"/>
                    <w:rPr>
                      <w:rFonts w:hint="default" w:ascii="Times New Roman" w:hAnsi="Times New Roman" w:eastAsia="宋体" w:cs="Times New Roman"/>
                      <w:b/>
                      <w:bCs/>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b/>
                      <w:bCs/>
                      <w:color w:val="000000" w:themeColor="text1"/>
                      <w:kern w:val="2"/>
                      <w:sz w:val="21"/>
                      <w:szCs w:val="24"/>
                      <w:highlight w:val="none"/>
                      <w:lang w:val="zh-CN" w:eastAsia="zh-CN" w:bidi="zh-CN"/>
                      <w14:textFill>
                        <w14:solidFill>
                          <w14:schemeClr w14:val="tx1"/>
                        </w14:solidFill>
                      </w14:textFill>
                    </w:rPr>
                    <w:t>内容及要求</w:t>
                  </w:r>
                </w:p>
              </w:tc>
            </w:tr>
            <w:tr w14:paraId="54AA25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63EEB0AF">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1</w:t>
                  </w:r>
                </w:p>
              </w:tc>
              <w:tc>
                <w:tcPr>
                  <w:tcW w:w="2778" w:type="dxa"/>
                  <w:tcBorders>
                    <w:tl2br w:val="nil"/>
                    <w:tr2bl w:val="nil"/>
                  </w:tcBorders>
                  <w:noWrap w:val="0"/>
                  <w:vAlign w:val="center"/>
                </w:tcPr>
                <w:p w14:paraId="21B9B464">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应急计划区</w:t>
                  </w:r>
                </w:p>
              </w:tc>
              <w:tc>
                <w:tcPr>
                  <w:tcW w:w="4840" w:type="dxa"/>
                  <w:tcBorders>
                    <w:tl2br w:val="nil"/>
                    <w:tr2bl w:val="nil"/>
                  </w:tcBorders>
                  <w:noWrap w:val="0"/>
                  <w:vAlign w:val="center"/>
                </w:tcPr>
                <w:p w14:paraId="34C6C45F">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color w:val="000000" w:themeColor="text1"/>
                      <w:spacing w:val="7"/>
                      <w:highlight w:val="none"/>
                      <w14:textFill>
                        <w14:solidFill>
                          <w14:schemeClr w14:val="tx1"/>
                        </w14:solidFill>
                      </w14:textFill>
                    </w:rPr>
                    <w:t>整个项目区</w:t>
                  </w:r>
                </w:p>
              </w:tc>
            </w:tr>
            <w:tr w14:paraId="67ED333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057B8C18">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2</w:t>
                  </w:r>
                </w:p>
              </w:tc>
              <w:tc>
                <w:tcPr>
                  <w:tcW w:w="2778" w:type="dxa"/>
                  <w:tcBorders>
                    <w:tl2br w:val="nil"/>
                    <w:tr2bl w:val="nil"/>
                  </w:tcBorders>
                  <w:noWrap w:val="0"/>
                  <w:vAlign w:val="center"/>
                </w:tcPr>
                <w:p w14:paraId="1D1EE3A2">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应急组织机构、人员</w:t>
                  </w:r>
                </w:p>
              </w:tc>
              <w:tc>
                <w:tcPr>
                  <w:tcW w:w="4840" w:type="dxa"/>
                  <w:tcBorders>
                    <w:tl2br w:val="nil"/>
                    <w:tr2bl w:val="nil"/>
                  </w:tcBorders>
                  <w:noWrap w:val="0"/>
                  <w:vAlign w:val="center"/>
                </w:tcPr>
                <w:p w14:paraId="4FDF3B57">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厂区、地区应急组织机构、人员</w:t>
                  </w:r>
                </w:p>
              </w:tc>
            </w:tr>
            <w:tr w14:paraId="6B3D68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43767D71">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3</w:t>
                  </w:r>
                </w:p>
              </w:tc>
              <w:tc>
                <w:tcPr>
                  <w:tcW w:w="2778" w:type="dxa"/>
                  <w:tcBorders>
                    <w:tl2br w:val="nil"/>
                    <w:tr2bl w:val="nil"/>
                  </w:tcBorders>
                  <w:noWrap w:val="0"/>
                  <w:vAlign w:val="center"/>
                </w:tcPr>
                <w:p w14:paraId="587CBEC8">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预案分级响应条件</w:t>
                  </w:r>
                </w:p>
              </w:tc>
              <w:tc>
                <w:tcPr>
                  <w:tcW w:w="4840" w:type="dxa"/>
                  <w:tcBorders>
                    <w:tl2br w:val="nil"/>
                    <w:tr2bl w:val="nil"/>
                  </w:tcBorders>
                  <w:noWrap w:val="0"/>
                  <w:vAlign w:val="center"/>
                </w:tcPr>
                <w:p w14:paraId="2A40D6E9">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规定预案级别，分级响应程序及条件</w:t>
                  </w:r>
                </w:p>
              </w:tc>
            </w:tr>
            <w:tr w14:paraId="5DCED3B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33B154C9">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4</w:t>
                  </w:r>
                </w:p>
              </w:tc>
              <w:tc>
                <w:tcPr>
                  <w:tcW w:w="2778" w:type="dxa"/>
                  <w:tcBorders>
                    <w:tl2br w:val="nil"/>
                    <w:tr2bl w:val="nil"/>
                  </w:tcBorders>
                  <w:noWrap w:val="0"/>
                  <w:vAlign w:val="center"/>
                </w:tcPr>
                <w:p w14:paraId="50E9D07D">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应急救援保障</w:t>
                  </w:r>
                </w:p>
              </w:tc>
              <w:tc>
                <w:tcPr>
                  <w:tcW w:w="4840" w:type="dxa"/>
                  <w:tcBorders>
                    <w:tl2br w:val="nil"/>
                    <w:tr2bl w:val="nil"/>
                  </w:tcBorders>
                  <w:noWrap w:val="0"/>
                  <w:vAlign w:val="center"/>
                </w:tcPr>
                <w:p w14:paraId="24061065">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应急设施、设备与器材</w:t>
                  </w:r>
                </w:p>
              </w:tc>
            </w:tr>
            <w:tr w14:paraId="45E241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788BAC49">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5</w:t>
                  </w:r>
                </w:p>
              </w:tc>
              <w:tc>
                <w:tcPr>
                  <w:tcW w:w="2778" w:type="dxa"/>
                  <w:tcBorders>
                    <w:tl2br w:val="nil"/>
                    <w:tr2bl w:val="nil"/>
                  </w:tcBorders>
                  <w:noWrap w:val="0"/>
                  <w:vAlign w:val="center"/>
                </w:tcPr>
                <w:p w14:paraId="3E4C71EA">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报警、通讯联络方式</w:t>
                  </w:r>
                </w:p>
              </w:tc>
              <w:tc>
                <w:tcPr>
                  <w:tcW w:w="4840" w:type="dxa"/>
                  <w:tcBorders>
                    <w:tl2br w:val="nil"/>
                    <w:tr2bl w:val="nil"/>
                  </w:tcBorders>
                  <w:noWrap w:val="0"/>
                  <w:vAlign w:val="center"/>
                </w:tcPr>
                <w:p w14:paraId="35B74525">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规定应急状态下的报警通讯方式、通知方式和交通保障、管制等相关内容</w:t>
                  </w:r>
                </w:p>
              </w:tc>
            </w:tr>
            <w:tr w14:paraId="7FA6C0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3099B4CD">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6</w:t>
                  </w:r>
                </w:p>
              </w:tc>
              <w:tc>
                <w:tcPr>
                  <w:tcW w:w="2778" w:type="dxa"/>
                  <w:tcBorders>
                    <w:tl2br w:val="nil"/>
                    <w:tr2bl w:val="nil"/>
                  </w:tcBorders>
                  <w:noWrap w:val="0"/>
                  <w:vAlign w:val="center"/>
                </w:tcPr>
                <w:p w14:paraId="357D9A19">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应急环境监测、抢险、救援及控制措施</w:t>
                  </w:r>
                </w:p>
              </w:tc>
              <w:tc>
                <w:tcPr>
                  <w:tcW w:w="4840" w:type="dxa"/>
                  <w:tcBorders>
                    <w:tl2br w:val="nil"/>
                    <w:tr2bl w:val="nil"/>
                  </w:tcBorders>
                  <w:noWrap w:val="0"/>
                  <w:vAlign w:val="center"/>
                </w:tcPr>
                <w:p w14:paraId="7C2F1152">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由专业队伍负责对事故现场进行侦察监测，对事故性质、参数与后果进行评估，为指挥部门提供决策依据</w:t>
                  </w:r>
                </w:p>
              </w:tc>
            </w:tr>
            <w:tr w14:paraId="06CB9F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2D9C55BD">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7</w:t>
                  </w:r>
                </w:p>
              </w:tc>
              <w:tc>
                <w:tcPr>
                  <w:tcW w:w="2778" w:type="dxa"/>
                  <w:tcBorders>
                    <w:tl2br w:val="nil"/>
                    <w:tr2bl w:val="nil"/>
                  </w:tcBorders>
                  <w:noWrap w:val="0"/>
                  <w:vAlign w:val="center"/>
                </w:tcPr>
                <w:p w14:paraId="5ECF4632">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应急防护措施</w:t>
                  </w:r>
                </w:p>
              </w:tc>
              <w:tc>
                <w:tcPr>
                  <w:tcW w:w="4840" w:type="dxa"/>
                  <w:tcBorders>
                    <w:tl2br w:val="nil"/>
                    <w:tr2bl w:val="nil"/>
                  </w:tcBorders>
                  <w:noWrap w:val="0"/>
                  <w:vAlign w:val="center"/>
                </w:tcPr>
                <w:p w14:paraId="423C90EB">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防火区域控制：事故现场与邻近区域；清除污染措施：事故现场与邻近区域；清除污染设备及配置</w:t>
                  </w:r>
                </w:p>
              </w:tc>
            </w:tr>
            <w:tr w14:paraId="4038D7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4C128854">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8</w:t>
                  </w:r>
                </w:p>
              </w:tc>
              <w:tc>
                <w:tcPr>
                  <w:tcW w:w="2778" w:type="dxa"/>
                  <w:tcBorders>
                    <w:tl2br w:val="nil"/>
                    <w:tr2bl w:val="nil"/>
                  </w:tcBorders>
                  <w:noWrap w:val="0"/>
                  <w:vAlign w:val="center"/>
                </w:tcPr>
                <w:p w14:paraId="233043AC">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紧急撤离、疏散</w:t>
                  </w:r>
                </w:p>
              </w:tc>
              <w:tc>
                <w:tcPr>
                  <w:tcW w:w="4840" w:type="dxa"/>
                  <w:tcBorders>
                    <w:tl2br w:val="nil"/>
                    <w:tr2bl w:val="nil"/>
                  </w:tcBorders>
                  <w:noWrap w:val="0"/>
                  <w:vAlign w:val="center"/>
                </w:tcPr>
                <w:p w14:paraId="3503F5CB">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毒物应急剂量控制：事故现场、厂区、邻近区；撤离组织计划；医疗救护；公众健康</w:t>
                  </w:r>
                </w:p>
              </w:tc>
            </w:tr>
            <w:tr w14:paraId="45381B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4F242D78">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9</w:t>
                  </w:r>
                </w:p>
              </w:tc>
              <w:tc>
                <w:tcPr>
                  <w:tcW w:w="2778" w:type="dxa"/>
                  <w:tcBorders>
                    <w:tl2br w:val="nil"/>
                    <w:tr2bl w:val="nil"/>
                  </w:tcBorders>
                  <w:noWrap w:val="0"/>
                  <w:vAlign w:val="center"/>
                </w:tcPr>
                <w:p w14:paraId="74350CE4">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应急救援关闭程序与恢复措施</w:t>
                  </w:r>
                </w:p>
              </w:tc>
              <w:tc>
                <w:tcPr>
                  <w:tcW w:w="4840" w:type="dxa"/>
                  <w:tcBorders>
                    <w:tl2br w:val="nil"/>
                    <w:tr2bl w:val="nil"/>
                  </w:tcBorders>
                  <w:noWrap w:val="0"/>
                  <w:vAlign w:val="center"/>
                </w:tcPr>
                <w:p w14:paraId="06D41CA7">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规定应急状态终止程序；事故现场善后处理，恢复措施；邻近区域接触事故警戒及善后恢复措施</w:t>
                  </w:r>
                </w:p>
              </w:tc>
            </w:tr>
            <w:tr w14:paraId="411743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7CA8F1D8">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10</w:t>
                  </w:r>
                </w:p>
              </w:tc>
              <w:tc>
                <w:tcPr>
                  <w:tcW w:w="2778" w:type="dxa"/>
                  <w:tcBorders>
                    <w:tl2br w:val="nil"/>
                    <w:tr2bl w:val="nil"/>
                  </w:tcBorders>
                  <w:noWrap w:val="0"/>
                  <w:vAlign w:val="center"/>
                </w:tcPr>
                <w:p w14:paraId="47D6971F">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培训计划</w:t>
                  </w:r>
                </w:p>
              </w:tc>
              <w:tc>
                <w:tcPr>
                  <w:tcW w:w="4840" w:type="dxa"/>
                  <w:tcBorders>
                    <w:tl2br w:val="nil"/>
                    <w:tr2bl w:val="nil"/>
                  </w:tcBorders>
                  <w:noWrap w:val="0"/>
                  <w:vAlign w:val="center"/>
                </w:tcPr>
                <w:p w14:paraId="2826F4F1">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人员培训；应急预案演练</w:t>
                  </w:r>
                </w:p>
              </w:tc>
            </w:tr>
            <w:tr w14:paraId="1FD175E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641" w:type="dxa"/>
                  <w:tcBorders>
                    <w:tl2br w:val="nil"/>
                    <w:tr2bl w:val="nil"/>
                  </w:tcBorders>
                  <w:noWrap w:val="0"/>
                  <w:vAlign w:val="center"/>
                </w:tcPr>
                <w:p w14:paraId="4B3FFDD9">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11</w:t>
                  </w:r>
                </w:p>
              </w:tc>
              <w:tc>
                <w:tcPr>
                  <w:tcW w:w="2778" w:type="dxa"/>
                  <w:tcBorders>
                    <w:tl2br w:val="nil"/>
                    <w:tr2bl w:val="nil"/>
                  </w:tcBorders>
                  <w:noWrap w:val="0"/>
                  <w:vAlign w:val="center"/>
                </w:tcPr>
                <w:p w14:paraId="44CF466D">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公众教育和信息</w:t>
                  </w:r>
                </w:p>
              </w:tc>
              <w:tc>
                <w:tcPr>
                  <w:tcW w:w="4840" w:type="dxa"/>
                  <w:tcBorders>
                    <w:tl2br w:val="nil"/>
                    <w:tr2bl w:val="nil"/>
                  </w:tcBorders>
                  <w:noWrap w:val="0"/>
                  <w:vAlign w:val="center"/>
                </w:tcPr>
                <w:p w14:paraId="190039FB">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公众教育；信息发布</w:t>
                  </w:r>
                </w:p>
              </w:tc>
            </w:tr>
          </w:tbl>
          <w:p w14:paraId="4C58A0BF">
            <w:pPr>
              <w:widowControl/>
              <w:adjustRightInd w:val="0"/>
              <w:snapToGrid w:val="0"/>
              <w:jc w:val="center"/>
              <w:rPr>
                <w:rFonts w:hint="default" w:ascii="Times New Roman" w:hAnsi="Times New Roman" w:eastAsia="宋体" w:cs="Times New Roman"/>
                <w:color w:val="000000" w:themeColor="text1"/>
                <w:szCs w:val="24"/>
                <w:highlight w:val="none"/>
                <w14:textFill>
                  <w14:solidFill>
                    <w14:schemeClr w14:val="tx1"/>
                  </w14:solidFill>
                </w14:textFill>
              </w:rPr>
            </w:pPr>
            <w:r>
              <w:rPr>
                <w:rFonts w:hint="default" w:ascii="Times New Roman" w:hAnsi="Times New Roman" w:eastAsia="宋体" w:cs="Times New Roman"/>
                <w:b/>
                <w:color w:val="000000" w:themeColor="text1"/>
                <w:szCs w:val="24"/>
                <w:highlight w:val="none"/>
                <w14:textFill>
                  <w14:solidFill>
                    <w14:schemeClr w14:val="tx1"/>
                  </w14:solidFill>
                </w14:textFill>
              </w:rPr>
              <w:t>表</w:t>
            </w:r>
            <w:r>
              <w:rPr>
                <w:rFonts w:hint="eastAsia" w:ascii="Times New Roman" w:hAnsi="Times New Roman" w:eastAsia="宋体" w:cs="Times New Roman"/>
                <w:b/>
                <w:color w:val="000000" w:themeColor="text1"/>
                <w:szCs w:val="24"/>
                <w:highlight w:val="none"/>
                <w:lang w:val="en-US" w:eastAsia="zh-CN"/>
                <w14:textFill>
                  <w14:solidFill>
                    <w14:schemeClr w14:val="tx1"/>
                  </w14:solidFill>
                </w14:textFill>
              </w:rPr>
              <w:t>4-</w:t>
            </w:r>
            <w:r>
              <w:rPr>
                <w:rFonts w:hint="eastAsia" w:cs="Times New Roman"/>
                <w:b/>
                <w:color w:val="000000" w:themeColor="text1"/>
                <w:szCs w:val="24"/>
                <w:highlight w:val="none"/>
                <w:lang w:val="en-US" w:eastAsia="zh-CN"/>
                <w14:textFill>
                  <w14:solidFill>
                    <w14:schemeClr w14:val="tx1"/>
                  </w14:solidFill>
                </w14:textFill>
              </w:rPr>
              <w:t>32</w:t>
            </w:r>
            <w:r>
              <w:rPr>
                <w:rFonts w:hint="default" w:ascii="Times New Roman" w:hAnsi="Times New Roman" w:eastAsia="宋体" w:cs="Times New Roman"/>
                <w:b/>
                <w:color w:val="000000" w:themeColor="text1"/>
                <w:szCs w:val="24"/>
                <w:highlight w:val="none"/>
                <w:lang w:val="en-US" w:eastAsia="zh-CN"/>
                <w14:textFill>
                  <w14:solidFill>
                    <w14:schemeClr w14:val="tx1"/>
                  </w14:solidFill>
                </w14:textFill>
              </w:rPr>
              <w:t xml:space="preserve">   建设项目环境风险简单分析内容表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763"/>
              <w:gridCol w:w="870"/>
              <w:gridCol w:w="2423"/>
              <w:gridCol w:w="992"/>
              <w:gridCol w:w="1965"/>
            </w:tblGrid>
            <w:tr w14:paraId="39683F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0" w:type="pct"/>
                  <w:tcBorders>
                    <w:tl2br w:val="nil"/>
                    <w:tr2bl w:val="nil"/>
                  </w:tcBorders>
                  <w:noWrap w:val="0"/>
                  <w:vAlign w:val="center"/>
                </w:tcPr>
                <w:p w14:paraId="083BE740">
                  <w:pPr>
                    <w:adjustRightInd w:val="0"/>
                    <w:spacing w:line="240" w:lineRule="auto"/>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建设项目名称</w:t>
                  </w:r>
                </w:p>
              </w:tc>
              <w:tc>
                <w:tcPr>
                  <w:tcW w:w="3899" w:type="pct"/>
                  <w:gridSpan w:val="4"/>
                  <w:tcBorders>
                    <w:tl2br w:val="nil"/>
                    <w:tr2bl w:val="nil"/>
                  </w:tcBorders>
                  <w:noWrap w:val="0"/>
                  <w:vAlign w:val="center"/>
                </w:tcPr>
                <w:p w14:paraId="43CB75DC">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呼图壁融鼎农林科技有限责任公司秸秆及粪污综合利用项目</w:t>
                  </w:r>
                </w:p>
              </w:tc>
            </w:tr>
            <w:tr w14:paraId="01FED2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0" w:type="pct"/>
                  <w:tcBorders>
                    <w:tl2br w:val="nil"/>
                    <w:tr2bl w:val="nil"/>
                  </w:tcBorders>
                  <w:noWrap w:val="0"/>
                  <w:vAlign w:val="center"/>
                </w:tcPr>
                <w:p w14:paraId="0F3356E8">
                  <w:pPr>
                    <w:adjustRightInd w:val="0"/>
                    <w:spacing w:line="240" w:lineRule="auto"/>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建设地点</w:t>
                  </w:r>
                </w:p>
              </w:tc>
              <w:tc>
                <w:tcPr>
                  <w:tcW w:w="3899" w:type="pct"/>
                  <w:gridSpan w:val="4"/>
                  <w:tcBorders>
                    <w:tl2br w:val="nil"/>
                    <w:tr2bl w:val="nil"/>
                  </w:tcBorders>
                  <w:noWrap w:val="0"/>
                  <w:vAlign w:val="center"/>
                </w:tcPr>
                <w:p w14:paraId="0D7C2E4A">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zh-CN" w:eastAsia="zh-CN" w:bidi="zh-CN"/>
                      <w14:textFill>
                        <w14:solidFill>
                          <w14:schemeClr w14:val="tx1"/>
                        </w14:solidFill>
                      </w14:textFill>
                    </w:rPr>
                    <w:t>新疆维吾尔自治区昌吉回族自治州呼图壁县大丰镇红柳塘村丹霞路28号</w:t>
                  </w:r>
                </w:p>
              </w:tc>
            </w:tr>
            <w:tr w14:paraId="0732AB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0" w:type="pct"/>
                  <w:tcBorders>
                    <w:tl2br w:val="nil"/>
                    <w:tr2bl w:val="nil"/>
                  </w:tcBorders>
                  <w:noWrap w:val="0"/>
                  <w:vAlign w:val="center"/>
                </w:tcPr>
                <w:p w14:paraId="7737B8B4">
                  <w:pPr>
                    <w:adjustRightInd w:val="0"/>
                    <w:spacing w:line="240" w:lineRule="auto"/>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地理坐标</w:t>
                  </w:r>
                </w:p>
              </w:tc>
              <w:tc>
                <w:tcPr>
                  <w:tcW w:w="542" w:type="pct"/>
                  <w:tcBorders>
                    <w:tl2br w:val="nil"/>
                    <w:tr2bl w:val="nil"/>
                  </w:tcBorders>
                  <w:noWrap w:val="0"/>
                  <w:vAlign w:val="center"/>
                </w:tcPr>
                <w:p w14:paraId="533DD48C">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zh-CN"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zh-CN" w:eastAsia="zh-CN" w:bidi="zh-CN"/>
                      <w14:textFill>
                        <w14:solidFill>
                          <w14:schemeClr w14:val="tx1"/>
                        </w14:solidFill>
                      </w14:textFill>
                    </w:rPr>
                    <w:t>东经</w:t>
                  </w:r>
                </w:p>
              </w:tc>
              <w:tc>
                <w:tcPr>
                  <w:tcW w:w="1511" w:type="pct"/>
                  <w:tcBorders>
                    <w:tl2br w:val="nil"/>
                    <w:tr2bl w:val="nil"/>
                  </w:tcBorders>
                  <w:noWrap w:val="0"/>
                  <w:vAlign w:val="center"/>
                </w:tcPr>
                <w:p w14:paraId="1EF3ECF5">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86</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°38′51.716″</w:t>
                  </w:r>
                </w:p>
              </w:tc>
              <w:tc>
                <w:tcPr>
                  <w:tcW w:w="618" w:type="pct"/>
                  <w:tcBorders>
                    <w:tl2br w:val="nil"/>
                    <w:tr2bl w:val="nil"/>
                  </w:tcBorders>
                  <w:noWrap w:val="0"/>
                  <w:vAlign w:val="center"/>
                </w:tcPr>
                <w:p w14:paraId="36F7EAC7">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t>北纬</w:t>
                  </w:r>
                </w:p>
              </w:tc>
              <w:tc>
                <w:tcPr>
                  <w:tcW w:w="1226" w:type="pct"/>
                  <w:tcBorders>
                    <w:tl2br w:val="nil"/>
                    <w:tr2bl w:val="nil"/>
                  </w:tcBorders>
                  <w:noWrap w:val="0"/>
                  <w:vAlign w:val="center"/>
                </w:tcPr>
                <w:p w14:paraId="1563CB30">
                  <w:pPr>
                    <w:widowControl w:val="0"/>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4°10′32.257″</w:t>
                  </w:r>
                </w:p>
              </w:tc>
            </w:tr>
            <w:tr w14:paraId="72A493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0" w:type="pct"/>
                  <w:tcBorders>
                    <w:tl2br w:val="nil"/>
                    <w:tr2bl w:val="nil"/>
                  </w:tcBorders>
                  <w:noWrap w:val="0"/>
                  <w:vAlign w:val="center"/>
                </w:tcPr>
                <w:p w14:paraId="2ACC8FEA">
                  <w:pPr>
                    <w:adjustRightInd w:val="0"/>
                    <w:spacing w:line="240" w:lineRule="auto"/>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主要危险物质及分布</w:t>
                  </w:r>
                </w:p>
              </w:tc>
              <w:tc>
                <w:tcPr>
                  <w:tcW w:w="3899" w:type="pct"/>
                  <w:gridSpan w:val="4"/>
                  <w:tcBorders>
                    <w:tl2br w:val="nil"/>
                    <w:tr2bl w:val="nil"/>
                  </w:tcBorders>
                  <w:noWrap w:val="0"/>
                  <w:vAlign w:val="center"/>
                </w:tcPr>
                <w:p w14:paraId="756A45BD">
                  <w:pPr>
                    <w:adjustRightInd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color w:val="000000" w:themeColor="text1"/>
                      <w:spacing w:val="9"/>
                      <w:highlight w:val="none"/>
                      <w14:textFill>
                        <w14:solidFill>
                          <w14:schemeClr w14:val="tx1"/>
                        </w14:solidFill>
                      </w14:textFill>
                    </w:rPr>
                    <w:t>本项目涉及的环境风险物质</w:t>
                  </w:r>
                  <w:r>
                    <w:rPr>
                      <w:rFonts w:hint="eastAsia"/>
                      <w:color w:val="000000" w:themeColor="text1"/>
                      <w:spacing w:val="9"/>
                      <w:highlight w:val="none"/>
                      <w:lang w:eastAsia="zh-CN"/>
                      <w14:textFill>
                        <w14:solidFill>
                          <w14:schemeClr w14:val="tx1"/>
                        </w14:solidFill>
                      </w14:textFill>
                    </w:rPr>
                    <w:t>：</w:t>
                  </w:r>
                  <w:r>
                    <w:rPr>
                      <w:rFonts w:hint="default"/>
                      <w:color w:val="000000" w:themeColor="text1"/>
                      <w:spacing w:val="9"/>
                      <w:highlight w:val="none"/>
                      <w:lang w:val="en-US" w:eastAsia="zh-CN"/>
                      <w14:textFill>
                        <w14:solidFill>
                          <w14:schemeClr w14:val="tx1"/>
                        </w14:solidFill>
                      </w14:textFill>
                    </w:rPr>
                    <w:t>废润滑油</w:t>
                  </w:r>
                  <w:r>
                    <w:rPr>
                      <w:rFonts w:hint="eastAsia"/>
                      <w:color w:val="000000" w:themeColor="text1"/>
                      <w:spacing w:val="9"/>
                      <w:highlight w:val="none"/>
                      <w:lang w:val="en-US" w:eastAsia="zh-CN"/>
                      <w14:textFill>
                        <w14:solidFill>
                          <w14:schemeClr w14:val="tx1"/>
                        </w14:solidFill>
                      </w14:textFill>
                    </w:rPr>
                    <w:t>暂存于危废贮存库内；</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木焦油</w:t>
                  </w:r>
                  <w:r>
                    <w:rPr>
                      <w:rFonts w:hint="eastAsia"/>
                      <w:color w:val="000000" w:themeColor="text1"/>
                      <w:spacing w:val="9"/>
                      <w:highlight w:val="none"/>
                      <w:lang w:val="en-US" w:eastAsia="zh-CN"/>
                      <w14:textFill>
                        <w14:solidFill>
                          <w14:schemeClr w14:val="tx1"/>
                        </w14:solidFill>
                      </w14:textFill>
                    </w:rPr>
                    <w:t>暂存于不锈钢储罐内；</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木煤气</w:t>
                  </w:r>
                  <w:r>
                    <w:rPr>
                      <w:rFonts w:hint="eastAsia"/>
                      <w:color w:val="000000" w:themeColor="text1"/>
                      <w:spacing w:val="9"/>
                      <w:highlight w:val="none"/>
                      <w:lang w:val="en-US" w:eastAsia="zh-CN"/>
                      <w14:textFill>
                        <w14:solidFill>
                          <w14:schemeClr w14:val="tx1"/>
                        </w14:solidFill>
                      </w14:textFill>
                    </w:rPr>
                    <w:t>暂存于</w:t>
                  </w:r>
                  <w:r>
                    <w:rPr>
                      <w:rFonts w:hint="eastAsia" w:cs="Times New Roman"/>
                      <w:color w:val="000000" w:themeColor="text1"/>
                      <w:kern w:val="0"/>
                      <w:sz w:val="21"/>
                      <w:szCs w:val="21"/>
                      <w:highlight w:val="none"/>
                      <w:lang w:val="en-US" w:eastAsia="zh-CN"/>
                      <w14:textFill>
                        <w14:solidFill>
                          <w14:schemeClr w14:val="tx1"/>
                        </w14:solidFill>
                      </w14:textFill>
                    </w:rPr>
                    <w:t>双模储气柜内。</w:t>
                  </w:r>
                </w:p>
              </w:tc>
            </w:tr>
            <w:tr w14:paraId="6CFA177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0" w:type="pct"/>
                  <w:tcBorders>
                    <w:tl2br w:val="nil"/>
                    <w:tr2bl w:val="nil"/>
                  </w:tcBorders>
                  <w:noWrap w:val="0"/>
                  <w:vAlign w:val="center"/>
                </w:tcPr>
                <w:p w14:paraId="41F194DB">
                  <w:pPr>
                    <w:adjustRightInd w:val="0"/>
                    <w:spacing w:line="240" w:lineRule="auto"/>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环境影响途径及危害后果（大气、地表水、地下水等）</w:t>
                  </w:r>
                </w:p>
              </w:tc>
              <w:tc>
                <w:tcPr>
                  <w:tcW w:w="3899" w:type="pct"/>
                  <w:gridSpan w:val="4"/>
                  <w:tcBorders>
                    <w:tl2br w:val="nil"/>
                    <w:tr2bl w:val="nil"/>
                  </w:tcBorders>
                  <w:noWrap w:val="0"/>
                  <w:vAlign w:val="center"/>
                </w:tcPr>
                <w:p w14:paraId="365BD7C9">
                  <w:pPr>
                    <w:adjustRightInd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泄漏可能外泄到土壤和周边环境，造成</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大气、</w:t>
                  </w:r>
                  <w:r>
                    <w:rPr>
                      <w:rFonts w:hint="default" w:ascii="Times New Roman" w:hAnsi="Times New Roman" w:eastAsia="宋体" w:cs="Times New Roman"/>
                      <w:color w:val="000000" w:themeColor="text1"/>
                      <w:sz w:val="21"/>
                      <w:szCs w:val="21"/>
                      <w:highlight w:val="none"/>
                      <w14:textFill>
                        <w14:solidFill>
                          <w14:schemeClr w14:val="tx1"/>
                        </w14:solidFill>
                      </w14:textFill>
                    </w:rPr>
                    <w:t>土壤</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地下水的污染。</w:t>
                  </w:r>
                </w:p>
              </w:tc>
            </w:tr>
            <w:tr w14:paraId="5C1AA9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0" w:type="pct"/>
                  <w:tcBorders>
                    <w:tl2br w:val="nil"/>
                    <w:tr2bl w:val="nil"/>
                  </w:tcBorders>
                  <w:noWrap w:val="0"/>
                  <w:vAlign w:val="center"/>
                </w:tcPr>
                <w:p w14:paraId="297273F6">
                  <w:pPr>
                    <w:adjustRightInd w:val="0"/>
                    <w:spacing w:line="240" w:lineRule="auto"/>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风险防范措施要求</w:t>
                  </w:r>
                </w:p>
              </w:tc>
              <w:tc>
                <w:tcPr>
                  <w:tcW w:w="3899" w:type="pct"/>
                  <w:gridSpan w:val="4"/>
                  <w:tcBorders>
                    <w:tl2br w:val="nil"/>
                    <w:tr2bl w:val="nil"/>
                  </w:tcBorders>
                  <w:noWrap w:val="0"/>
                  <w:vAlign w:val="center"/>
                </w:tcPr>
                <w:p w14:paraId="35290266">
                  <w:pPr>
                    <w:adjustRightInd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落实</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危废贮存库</w:t>
                  </w:r>
                  <w:r>
                    <w:rPr>
                      <w:rFonts w:hint="eastAsia" w:cs="Times New Roman"/>
                      <w:color w:val="000000" w:themeColor="text1"/>
                      <w:sz w:val="21"/>
                      <w:szCs w:val="21"/>
                      <w:highlight w:val="none"/>
                      <w:lang w:val="en-US" w:eastAsia="zh-CN"/>
                      <w14:textFill>
                        <w14:solidFill>
                          <w14:schemeClr w14:val="tx1"/>
                        </w14:solidFill>
                      </w14:textFill>
                    </w:rPr>
                    <w:t>及</w:t>
                  </w:r>
                  <w:r>
                    <w:rPr>
                      <w:rFonts w:hint="eastAsia" w:cs="Times New Roman"/>
                      <w:snapToGrid/>
                      <w:color w:val="000000" w:themeColor="text1"/>
                      <w:kern w:val="2"/>
                      <w:sz w:val="21"/>
                      <w:szCs w:val="21"/>
                      <w:highlight w:val="none"/>
                      <w:lang w:val="en-US" w:eastAsia="zh-CN" w:bidi="ar-SA"/>
                      <w14:textFill>
                        <w14:solidFill>
                          <w14:schemeClr w14:val="tx1"/>
                        </w14:solidFill>
                      </w14:textFill>
                    </w:rPr>
                    <w:t>不锈钢中转储罐</w:t>
                  </w:r>
                  <w:r>
                    <w:rPr>
                      <w:rFonts w:hint="eastAsia"/>
                      <w:color w:val="000000" w:themeColor="text1"/>
                      <w:spacing w:val="9"/>
                      <w:highlight w:val="none"/>
                      <w:lang w:val="en-US" w:eastAsia="zh-CN"/>
                      <w14:textFill>
                        <w14:solidFill>
                          <w14:schemeClr w14:val="tx1"/>
                        </w14:solidFill>
                      </w14:textFill>
                    </w:rPr>
                    <w:t>、液体肥车间</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重点防渗</w:t>
                  </w:r>
                  <w:r>
                    <w:rPr>
                      <w:rFonts w:hint="default" w:ascii="Times New Roman" w:hAnsi="Times New Roman" w:eastAsia="宋体" w:cs="Times New Roman"/>
                      <w:color w:val="000000" w:themeColor="text1"/>
                      <w:sz w:val="21"/>
                      <w:szCs w:val="21"/>
                      <w:highlight w:val="none"/>
                      <w14:textFill>
                        <w14:solidFill>
                          <w14:schemeClr w14:val="tx1"/>
                        </w14:solidFill>
                      </w14:textFill>
                    </w:rPr>
                    <w:t>，加强场区巡查和环境管理</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编制环境应急预案。</w:t>
                  </w:r>
                </w:p>
              </w:tc>
            </w:tr>
            <w:tr w14:paraId="7B46A7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0" w:type="pct"/>
                  <w:tcBorders>
                    <w:tl2br w:val="nil"/>
                    <w:tr2bl w:val="nil"/>
                  </w:tcBorders>
                  <w:noWrap w:val="0"/>
                  <w:vAlign w:val="center"/>
                </w:tcPr>
                <w:p w14:paraId="527531FE">
                  <w:pPr>
                    <w:adjustRightInd w:val="0"/>
                    <w:spacing w:line="240" w:lineRule="auto"/>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填表说明</w:t>
                  </w:r>
                </w:p>
              </w:tc>
              <w:tc>
                <w:tcPr>
                  <w:tcW w:w="3899" w:type="pct"/>
                  <w:gridSpan w:val="4"/>
                  <w:tcBorders>
                    <w:tl2br w:val="nil"/>
                    <w:tr2bl w:val="nil"/>
                  </w:tcBorders>
                  <w:noWrap w:val="0"/>
                  <w:vAlign w:val="center"/>
                </w:tcPr>
                <w:p w14:paraId="050ECC58">
                  <w:pPr>
                    <w:adjustRightInd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无</w:t>
                  </w:r>
                </w:p>
              </w:tc>
            </w:tr>
          </w:tbl>
          <w:p w14:paraId="294DA869">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42" w:firstLineChars="200"/>
              <w:jc w:val="both"/>
              <w:textAlignment w:val="auto"/>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pPr>
            <w:r>
              <w:rPr>
                <w:rFonts w:hint="eastAsia"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7.7</w:t>
            </w: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风险评价结论</w:t>
            </w:r>
          </w:p>
          <w:p w14:paraId="6C2DC0D6">
            <w:pPr>
              <w:spacing w:line="360" w:lineRule="auto"/>
              <w:ind w:firstLine="480" w:firstLineChars="200"/>
              <w:rPr>
                <w:rFonts w:hint="default" w:ascii="Times New Roman" w:hAnsi="Times New Roman" w:eastAsia="宋体" w:cs="Times New Roman"/>
                <w:color w:val="000000" w:themeColor="text1"/>
                <w:sz w:val="24"/>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1"/>
                <w:highlight w:val="none"/>
                <w:lang w:val="en-US" w:eastAsia="zh-CN"/>
                <w14:textFill>
                  <w14:solidFill>
                    <w14:schemeClr w14:val="tx1"/>
                  </w14:solidFill>
                </w14:textFill>
              </w:rPr>
              <w:t>项目生产过程中无重大危险源，当事故出现时，要采取紧急的工程应急措施，如必要采取社会应急措施，以减少事故对环境造成的危害；针对不同环节的事故风险，应从运输、贮存、生产全过程及末端治理进行全面的风险管理和防范；要备足、备全应急救援物资和设备。</w:t>
            </w:r>
          </w:p>
          <w:p w14:paraId="04164A52">
            <w:pPr>
              <w:keepNext w:val="0"/>
              <w:keepLines w:val="0"/>
              <w:widowControl w:val="0"/>
              <w:numPr>
                <w:ilvl w:val="0"/>
                <w:numId w:val="0"/>
              </w:numPr>
              <w:suppressLineNumbers w:val="0"/>
              <w:kinsoku/>
              <w:autoSpaceDE/>
              <w:autoSpaceDN/>
              <w:adjustRightInd/>
              <w:snapToGrid/>
              <w:spacing w:before="0" w:beforeAutospacing="0" w:after="0" w:afterAutospacing="0" w:line="360" w:lineRule="auto"/>
              <w:ind w:right="0" w:rightChars="0" w:firstLine="482" w:firstLineChars="200"/>
              <w:jc w:val="both"/>
              <w:textAlignment w:val="auto"/>
              <w:rPr>
                <w:rFonts w:hint="default" w:ascii="Times New Roman" w:hAnsi="Times New Roman" w:eastAsia="宋体" w:cs="Times New Roman"/>
                <w:b/>
                <w:snapToGrid/>
                <w:color w:val="000000" w:themeColor="text1"/>
                <w:kern w:val="2"/>
                <w:sz w:val="24"/>
                <w:szCs w:val="24"/>
                <w:highlight w:val="none"/>
                <w:lang w:val="en-US" w:eastAsia="zh-CN" w:bidi="ar"/>
                <w14:textFill>
                  <w14:solidFill>
                    <w14:schemeClr w14:val="tx1"/>
                  </w14:solidFill>
                </w14:textFill>
              </w:rPr>
            </w:pPr>
            <w:r>
              <w:rPr>
                <w:rFonts w:hint="eastAsia" w:ascii="Times New Roman" w:hAnsi="Times New Roman" w:eastAsia="宋体" w:cs="Times New Roman"/>
                <w:b/>
                <w:snapToGrid/>
                <w:color w:val="000000" w:themeColor="text1"/>
                <w:kern w:val="2"/>
                <w:sz w:val="24"/>
                <w:szCs w:val="24"/>
                <w:highlight w:val="none"/>
                <w:lang w:val="en-US" w:eastAsia="zh-CN" w:bidi="ar"/>
                <w14:textFill>
                  <w14:solidFill>
                    <w14:schemeClr w14:val="tx1"/>
                  </w14:solidFill>
                </w14:textFill>
              </w:rPr>
              <w:t>8</w:t>
            </w:r>
            <w:r>
              <w:rPr>
                <w:rFonts w:hint="default" w:ascii="Times New Roman" w:hAnsi="Times New Roman" w:eastAsia="宋体" w:cs="Times New Roman"/>
                <w:b/>
                <w:snapToGrid/>
                <w:color w:val="000000" w:themeColor="text1"/>
                <w:kern w:val="2"/>
                <w:sz w:val="24"/>
                <w:szCs w:val="24"/>
                <w:highlight w:val="none"/>
                <w:lang w:val="en-US" w:eastAsia="zh-CN" w:bidi="ar"/>
                <w14:textFill>
                  <w14:solidFill>
                    <w14:schemeClr w14:val="tx1"/>
                  </w14:solidFill>
                </w14:textFill>
              </w:rPr>
              <w:t>、环境管理</w:t>
            </w:r>
          </w:p>
          <w:p w14:paraId="5B4D34D5">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1</w:t>
            </w: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）环境管理</w:t>
            </w:r>
          </w:p>
          <w:p w14:paraId="6991BF1C">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环境管理是环境保护工作的重要内容之一，也是企业管理的重要组成部分，它利用行政、经济、技术、法律、教育等手段，对企业生产、经营发展、环境保护的关系进行协调，将其列入企业的议事日程，对生产过程中产生的或可能发生的环境问题进行深入细致的研究，制定合理的污染治理方案，以达到既发展生产、增加经济效益，又保护环境的目的。</w:t>
            </w:r>
          </w:p>
          <w:p w14:paraId="2B0D538B">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2</w:t>
            </w: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）机构设置</w:t>
            </w:r>
          </w:p>
          <w:p w14:paraId="123E17E3">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根据运营实际情况，配</w:t>
            </w: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置</w:t>
            </w:r>
            <w:r>
              <w:rPr>
                <w:rFonts w:hint="eastAsia"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1</w:t>
            </w: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名</w:t>
            </w: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环保兼职人员负责项目区的环境管理工作，要定期向总经理汇报环境情况及信息，提出存在的主要问题及有关建议，针对本项目实际情况建立相应的环保规章制度，有效地落实环保措施，其主要职能应包括：</w:t>
            </w:r>
          </w:p>
          <w:p w14:paraId="62F8BEB5">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①</w:t>
            </w: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贯彻执行国家、地方和上级主管部门制定的各项环境保护方针、政策、法令和法规。</w:t>
            </w:r>
          </w:p>
          <w:p w14:paraId="5A56051C">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②</w:t>
            </w: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负责全公司环境保护工作计划的制定和实施。</w:t>
            </w:r>
          </w:p>
          <w:p w14:paraId="2A15F00B">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③</w:t>
            </w: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监督环保设施的运行及污染源控制，并负责对污染事故的调查及处理。</w:t>
            </w:r>
          </w:p>
          <w:p w14:paraId="4AC55420">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napToGrid/>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④</w:t>
            </w:r>
            <w:r>
              <w:rPr>
                <w:rFonts w:hint="eastAsia" w:ascii="宋体" w:hAnsi="宋体" w:eastAsia="宋体" w:cs="宋体"/>
                <w:snapToGrid/>
                <w:color w:val="000000" w:themeColor="text1"/>
                <w:kern w:val="0"/>
                <w:sz w:val="24"/>
                <w:szCs w:val="24"/>
                <w:highlight w:val="none"/>
                <w:lang w:val="en-US" w:eastAsia="zh-CN" w:bidi="ar"/>
                <w14:textFill>
                  <w14:solidFill>
                    <w14:schemeClr w14:val="tx1"/>
                  </w14:solidFill>
                </w14:textFill>
              </w:rPr>
              <w:t>组织落实以环境保护为主要内容的技术措施、方案，监督“三同时”执行情况。</w:t>
            </w:r>
          </w:p>
          <w:p w14:paraId="40EFBF65">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（3）环境管理制度制定</w:t>
            </w:r>
          </w:p>
          <w:p w14:paraId="14B867CE">
            <w:pPr>
              <w:keepNext w:val="0"/>
              <w:keepLines w:val="0"/>
              <w:widowControl w:val="0"/>
              <w:suppressLineNumbers w:val="0"/>
              <w:kinsoku/>
              <w:autoSpaceDE/>
              <w:autoSpaceDN/>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snapToGrid/>
                <w:color w:val="000000" w:themeColor="text1"/>
                <w:kern w:val="0"/>
                <w:sz w:val="24"/>
                <w:szCs w:val="24"/>
                <w:highlight w:val="none"/>
                <w:lang w:val="en-US" w:eastAsia="zh-CN" w:bidi="ar"/>
                <w14:textFill>
                  <w14:solidFill>
                    <w14:schemeClr w14:val="tx1"/>
                  </w14:solidFill>
                </w14:textFill>
              </w:rPr>
              <w:t>制定相应的企业环境保护制度，并建立环保设施的技术档案，使环境管理工作有法可依，有章可循，并逐步纳入法治化、标准化轨道。</w:t>
            </w:r>
          </w:p>
          <w:p w14:paraId="67E968BE">
            <w:pPr>
              <w:keepNext w:val="0"/>
              <w:keepLines w:val="0"/>
              <w:pageBreakBefore w:val="0"/>
              <w:widowControl w:val="0"/>
              <w:tabs>
                <w:tab w:val="left" w:pos="430"/>
              </w:tabs>
              <w:kinsoku/>
              <w:wordWrap/>
              <w:overflowPunct/>
              <w:topLinePunct w:val="0"/>
              <w:autoSpaceDE/>
              <w:autoSpaceDN/>
              <w:bidi w:val="0"/>
              <w:adjustRightInd w:val="0"/>
              <w:snapToGrid w:val="0"/>
              <w:spacing w:line="360" w:lineRule="auto"/>
              <w:ind w:firstLine="482" w:firstLineChars="200"/>
              <w:jc w:val="left"/>
              <w:textAlignment w:val="auto"/>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9、</w:t>
            </w:r>
            <w:r>
              <w:rPr>
                <w:b/>
                <w:bCs/>
                <w:color w:val="000000" w:themeColor="text1"/>
                <w:sz w:val="24"/>
                <w:szCs w:val="24"/>
                <w:highlight w:val="none"/>
                <w14:textFill>
                  <w14:solidFill>
                    <w14:schemeClr w14:val="tx1"/>
                  </w14:solidFill>
                </w14:textFill>
              </w:rPr>
              <w:t>环保投资估算</w:t>
            </w:r>
          </w:p>
          <w:p w14:paraId="69C067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本项目总投资</w:t>
            </w:r>
            <w:r>
              <w:rPr>
                <w:rFonts w:hint="eastAsia" w:cs="Times New Roman"/>
                <w:color w:val="000000" w:themeColor="text1"/>
                <w:kern w:val="0"/>
                <w:sz w:val="24"/>
                <w:szCs w:val="24"/>
                <w:highlight w:val="none"/>
                <w:lang w:val="en-US" w:eastAsia="zh-CN" w:bidi="ar"/>
                <w14:textFill>
                  <w14:solidFill>
                    <w14:schemeClr w14:val="tx1"/>
                  </w14:solidFill>
                </w14:textFill>
              </w:rPr>
              <w:t>8000.0</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万元，环保投资</w:t>
            </w:r>
            <w:r>
              <w:rPr>
                <w:rFonts w:hint="eastAsia" w:cs="Times New Roman"/>
                <w:color w:val="000000" w:themeColor="text1"/>
                <w:kern w:val="0"/>
                <w:sz w:val="24"/>
                <w:szCs w:val="24"/>
                <w:highlight w:val="none"/>
                <w:lang w:val="en-US" w:eastAsia="zh-CN" w:bidi="ar"/>
                <w14:textFill>
                  <w14:solidFill>
                    <w14:schemeClr w14:val="tx1"/>
                  </w14:solidFill>
                </w14:textFill>
              </w:rPr>
              <w:t>128.0</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万元，占项目总投资的</w:t>
            </w:r>
            <w:r>
              <w:rPr>
                <w:rFonts w:hint="eastAsia" w:cs="Times New Roman"/>
                <w:color w:val="000000" w:themeColor="text1"/>
                <w:kern w:val="0"/>
                <w:sz w:val="24"/>
                <w:szCs w:val="24"/>
                <w:highlight w:val="none"/>
                <w:lang w:val="en-US" w:eastAsia="zh-CN" w:bidi="ar"/>
                <w14:textFill>
                  <w14:solidFill>
                    <w14:schemeClr w14:val="tx1"/>
                  </w14:solidFill>
                </w14:textFill>
              </w:rPr>
              <w:t>1.6</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。具体投资情况见表4-</w:t>
            </w:r>
            <w:r>
              <w:rPr>
                <w:rFonts w:hint="eastAsia" w:cs="Times New Roman"/>
                <w:color w:val="000000" w:themeColor="text1"/>
                <w:kern w:val="0"/>
                <w:sz w:val="24"/>
                <w:szCs w:val="24"/>
                <w:highlight w:val="none"/>
                <w:lang w:val="en-US" w:eastAsia="zh-CN" w:bidi="ar"/>
                <w14:textFill>
                  <w14:solidFill>
                    <w14:schemeClr w14:val="tx1"/>
                  </w14:solidFill>
                </w14:textFill>
              </w:rPr>
              <w:t>33</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292B1FCE">
            <w:pPr>
              <w:spacing w:line="240" w:lineRule="auto"/>
              <w:ind w:firstLine="422"/>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表</w:t>
            </w:r>
            <w:r>
              <w:rPr>
                <w:rFonts w:hint="eastAsia"/>
                <w:b/>
                <w:bCs/>
                <w:color w:val="000000" w:themeColor="text1"/>
                <w:szCs w:val="21"/>
                <w:highlight w:val="none"/>
                <w:lang w:val="en-US" w:eastAsia="zh-CN"/>
                <w14:textFill>
                  <w14:solidFill>
                    <w14:schemeClr w14:val="tx1"/>
                  </w14:solidFill>
                </w14:textFill>
              </w:rPr>
              <w:t xml:space="preserve">4-33   </w:t>
            </w:r>
            <w:r>
              <w:rPr>
                <w:b/>
                <w:bCs/>
                <w:color w:val="000000" w:themeColor="text1"/>
                <w:szCs w:val="21"/>
                <w:highlight w:val="none"/>
                <w14:textFill>
                  <w14:solidFill>
                    <w14:schemeClr w14:val="tx1"/>
                  </w14:solidFill>
                </w14:textFill>
              </w:rPr>
              <w:t>环保投资估算表</w:t>
            </w:r>
          </w:p>
          <w:tbl>
            <w:tblPr>
              <w:tblStyle w:val="66"/>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754"/>
              <w:gridCol w:w="2916"/>
              <w:gridCol w:w="1073"/>
              <w:gridCol w:w="909"/>
              <w:gridCol w:w="1158"/>
              <w:gridCol w:w="1193"/>
              <w:gridCol w:w="8"/>
            </w:tblGrid>
            <w:tr w14:paraId="585845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340" w:hRule="atLeast"/>
                <w:jc w:val="center"/>
              </w:trPr>
              <w:tc>
                <w:tcPr>
                  <w:tcW w:w="470" w:type="pct"/>
                  <w:tcBorders>
                    <w:tl2br w:val="nil"/>
                    <w:tr2bl w:val="nil"/>
                  </w:tcBorders>
                  <w:noWrap w:val="0"/>
                  <w:vAlign w:val="center"/>
                </w:tcPr>
                <w:p w14:paraId="19EEB8AF">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5"/>
                      <w:sz w:val="21"/>
                      <w:szCs w:val="21"/>
                      <w:highlight w:val="none"/>
                      <w14:textFill>
                        <w14:solidFill>
                          <w14:schemeClr w14:val="tx1"/>
                        </w14:solidFill>
                      </w14:textFill>
                    </w:rPr>
                    <w:t>序号</w:t>
                  </w:r>
                </w:p>
              </w:tc>
              <w:tc>
                <w:tcPr>
                  <w:tcW w:w="1819" w:type="pct"/>
                  <w:tcBorders>
                    <w:tl2br w:val="nil"/>
                    <w:tr2bl w:val="nil"/>
                  </w:tcBorders>
                  <w:noWrap w:val="0"/>
                  <w:vAlign w:val="center"/>
                </w:tcPr>
                <w:p w14:paraId="334198CC">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8"/>
                      <w:sz w:val="21"/>
                      <w:szCs w:val="21"/>
                      <w:highlight w:val="none"/>
                      <w14:textFill>
                        <w14:solidFill>
                          <w14:schemeClr w14:val="tx1"/>
                        </w14:solidFill>
                      </w14:textFill>
                    </w:rPr>
                    <w:t>工程或费用名称</w:t>
                  </w:r>
                </w:p>
              </w:tc>
              <w:tc>
                <w:tcPr>
                  <w:tcW w:w="669" w:type="pct"/>
                  <w:tcBorders>
                    <w:tl2br w:val="nil"/>
                    <w:tr2bl w:val="nil"/>
                  </w:tcBorders>
                  <w:noWrap w:val="0"/>
                  <w:vAlign w:val="center"/>
                </w:tcPr>
                <w:p w14:paraId="70D4BCB1">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3"/>
                      <w:sz w:val="21"/>
                      <w:szCs w:val="21"/>
                      <w:highlight w:val="none"/>
                      <w14:textFill>
                        <w14:solidFill>
                          <w14:schemeClr w14:val="tx1"/>
                        </w14:solidFill>
                      </w14:textFill>
                    </w:rPr>
                    <w:t>单位</w:t>
                  </w:r>
                </w:p>
              </w:tc>
              <w:tc>
                <w:tcPr>
                  <w:tcW w:w="567" w:type="pct"/>
                  <w:tcBorders>
                    <w:tl2br w:val="nil"/>
                    <w:tr2bl w:val="nil"/>
                  </w:tcBorders>
                  <w:noWrap w:val="0"/>
                  <w:vAlign w:val="center"/>
                </w:tcPr>
                <w:p w14:paraId="05B18043">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3"/>
                      <w:sz w:val="21"/>
                      <w:szCs w:val="21"/>
                      <w:highlight w:val="none"/>
                      <w14:textFill>
                        <w14:solidFill>
                          <w14:schemeClr w14:val="tx1"/>
                        </w14:solidFill>
                      </w14:textFill>
                    </w:rPr>
                    <w:t>数量</w:t>
                  </w:r>
                </w:p>
              </w:tc>
              <w:tc>
                <w:tcPr>
                  <w:tcW w:w="722" w:type="pct"/>
                  <w:tcBorders>
                    <w:tl2br w:val="nil"/>
                    <w:tr2bl w:val="nil"/>
                  </w:tcBorders>
                  <w:noWrap w:val="0"/>
                  <w:vAlign w:val="center"/>
                </w:tcPr>
                <w:p w14:paraId="0786D71D">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pacing w:val="5"/>
                      <w:sz w:val="21"/>
                      <w:szCs w:val="21"/>
                      <w:highlight w:val="none"/>
                      <w14:textFill>
                        <w14:solidFill>
                          <w14:schemeClr w14:val="tx1"/>
                        </w14:solidFill>
                      </w14:textFill>
                    </w:rPr>
                  </w:pPr>
                  <w:r>
                    <w:rPr>
                      <w:rFonts w:hint="default" w:ascii="Times New Roman" w:hAnsi="Times New Roman" w:cs="Times New Roman"/>
                      <w:b/>
                      <w:bCs/>
                      <w:color w:val="000000" w:themeColor="text1"/>
                      <w:spacing w:val="5"/>
                      <w:sz w:val="21"/>
                      <w:szCs w:val="21"/>
                      <w:highlight w:val="none"/>
                      <w14:textFill>
                        <w14:solidFill>
                          <w14:schemeClr w14:val="tx1"/>
                        </w14:solidFill>
                      </w14:textFill>
                    </w:rPr>
                    <w:t>单价</w:t>
                  </w:r>
                </w:p>
                <w:p w14:paraId="6B3D3440">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5"/>
                      <w:sz w:val="21"/>
                      <w:szCs w:val="21"/>
                      <w:highlight w:val="none"/>
                      <w14:textFill>
                        <w14:solidFill>
                          <w14:schemeClr w14:val="tx1"/>
                        </w14:solidFill>
                      </w14:textFill>
                    </w:rPr>
                    <w:t>（万</w:t>
                  </w:r>
                  <w:r>
                    <w:rPr>
                      <w:rFonts w:hint="default" w:ascii="Times New Roman" w:hAnsi="Times New Roman" w:cs="Times New Roman"/>
                      <w:b/>
                      <w:bCs/>
                      <w:color w:val="000000" w:themeColor="text1"/>
                      <w:spacing w:val="-1"/>
                      <w:sz w:val="21"/>
                      <w:szCs w:val="21"/>
                      <w:highlight w:val="none"/>
                      <w14:textFill>
                        <w14:solidFill>
                          <w14:schemeClr w14:val="tx1"/>
                        </w14:solidFill>
                      </w14:textFill>
                    </w:rPr>
                    <w:t>元）</w:t>
                  </w:r>
                </w:p>
              </w:tc>
              <w:tc>
                <w:tcPr>
                  <w:tcW w:w="749" w:type="pct"/>
                  <w:gridSpan w:val="2"/>
                  <w:tcBorders>
                    <w:tl2br w:val="nil"/>
                    <w:tr2bl w:val="nil"/>
                  </w:tcBorders>
                  <w:noWrap w:val="0"/>
                  <w:vAlign w:val="center"/>
                </w:tcPr>
                <w:p w14:paraId="2A70B71C">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pacing w:val="-8"/>
                      <w:sz w:val="21"/>
                      <w:szCs w:val="21"/>
                      <w:highlight w:val="none"/>
                      <w14:textFill>
                        <w14:solidFill>
                          <w14:schemeClr w14:val="tx1"/>
                        </w14:solidFill>
                      </w14:textFill>
                    </w:rPr>
                  </w:pPr>
                  <w:r>
                    <w:rPr>
                      <w:rFonts w:hint="default" w:ascii="Times New Roman" w:hAnsi="Times New Roman" w:cs="Times New Roman"/>
                      <w:b/>
                      <w:bCs/>
                      <w:color w:val="000000" w:themeColor="text1"/>
                      <w:spacing w:val="-8"/>
                      <w:sz w:val="21"/>
                      <w:szCs w:val="21"/>
                      <w:highlight w:val="none"/>
                      <w14:textFill>
                        <w14:solidFill>
                          <w14:schemeClr w14:val="tx1"/>
                        </w14:solidFill>
                      </w14:textFill>
                    </w:rPr>
                    <w:t>投资</w:t>
                  </w:r>
                </w:p>
                <w:p w14:paraId="642837D4">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8"/>
                      <w:sz w:val="21"/>
                      <w:szCs w:val="21"/>
                      <w:highlight w:val="none"/>
                      <w14:textFill>
                        <w14:solidFill>
                          <w14:schemeClr w14:val="tx1"/>
                        </w14:solidFill>
                      </w14:textFill>
                    </w:rPr>
                    <w:t>（万</w:t>
                  </w:r>
                  <w:r>
                    <w:rPr>
                      <w:rFonts w:hint="default" w:ascii="Times New Roman" w:hAnsi="Times New Roman" w:cs="Times New Roman"/>
                      <w:b/>
                      <w:bCs/>
                      <w:color w:val="000000" w:themeColor="text1"/>
                      <w:spacing w:val="-1"/>
                      <w:sz w:val="21"/>
                      <w:szCs w:val="21"/>
                      <w:highlight w:val="none"/>
                      <w14:textFill>
                        <w14:solidFill>
                          <w14:schemeClr w14:val="tx1"/>
                        </w14:solidFill>
                      </w14:textFill>
                    </w:rPr>
                    <w:t>元）</w:t>
                  </w:r>
                </w:p>
              </w:tc>
            </w:tr>
            <w:tr w14:paraId="61ECC5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250" w:type="pct"/>
                  <w:gridSpan w:val="5"/>
                  <w:tcBorders>
                    <w:tl2br w:val="nil"/>
                    <w:tr2bl w:val="nil"/>
                  </w:tcBorders>
                  <w:noWrap w:val="0"/>
                  <w:vAlign w:val="center"/>
                </w:tcPr>
                <w:p w14:paraId="19F67B40">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7"/>
                      <w:sz w:val="21"/>
                      <w:szCs w:val="21"/>
                      <w:highlight w:val="none"/>
                      <w14:textFill>
                        <w14:solidFill>
                          <w14:schemeClr w14:val="tx1"/>
                        </w14:solidFill>
                      </w14:textFill>
                    </w:rPr>
                    <w:t>第一部分环境监测措施</w:t>
                  </w:r>
                </w:p>
              </w:tc>
              <w:tc>
                <w:tcPr>
                  <w:tcW w:w="749" w:type="pct"/>
                  <w:gridSpan w:val="2"/>
                  <w:tcBorders>
                    <w:tl2br w:val="nil"/>
                    <w:tr2bl w:val="nil"/>
                  </w:tcBorders>
                  <w:noWrap w:val="0"/>
                  <w:vAlign w:val="center"/>
                </w:tcPr>
                <w:p w14:paraId="134ADE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15.0</w:t>
                  </w:r>
                </w:p>
              </w:tc>
            </w:tr>
            <w:tr w14:paraId="69BF8E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1B2440DD">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w:t>
                  </w:r>
                  <w:r>
                    <w:rPr>
                      <w:rFonts w:hint="eastAsia" w:ascii="Times New Roman" w:hAnsi="Times New Roman" w:cs="Times New Roman"/>
                      <w:color w:val="000000" w:themeColor="text1"/>
                      <w:spacing w:val="-1"/>
                      <w:sz w:val="21"/>
                      <w:szCs w:val="21"/>
                      <w:highlight w:val="none"/>
                      <w:lang w:val="en-US" w:eastAsia="zh-CN"/>
                      <w14:textFill>
                        <w14:solidFill>
                          <w14:schemeClr w14:val="tx1"/>
                        </w14:solidFill>
                      </w14:textFill>
                    </w:rPr>
                    <w:t>一</w:t>
                  </w:r>
                  <w:r>
                    <w:rPr>
                      <w:rFonts w:hint="default" w:ascii="Times New Roman" w:hAnsi="Times New Roman" w:cs="Times New Roman"/>
                      <w:color w:val="000000" w:themeColor="text1"/>
                      <w:spacing w:val="-1"/>
                      <w:sz w:val="21"/>
                      <w:szCs w:val="21"/>
                      <w:highlight w:val="none"/>
                      <w14:textFill>
                        <w14:solidFill>
                          <w14:schemeClr w14:val="tx1"/>
                        </w14:solidFill>
                      </w14:textFill>
                    </w:rPr>
                    <w:t>）</w:t>
                  </w:r>
                </w:p>
              </w:tc>
              <w:tc>
                <w:tcPr>
                  <w:tcW w:w="1819" w:type="pct"/>
                  <w:tcBorders>
                    <w:tl2br w:val="nil"/>
                    <w:tr2bl w:val="nil"/>
                  </w:tcBorders>
                  <w:noWrap w:val="0"/>
                  <w:vAlign w:val="center"/>
                </w:tcPr>
                <w:p w14:paraId="5AD66D70">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pacing w:val="7"/>
                      <w:sz w:val="21"/>
                      <w:szCs w:val="21"/>
                      <w:highlight w:val="none"/>
                      <w:lang w:val="en-US" w:eastAsia="zh-CN"/>
                      <w14:textFill>
                        <w14:solidFill>
                          <w14:schemeClr w14:val="tx1"/>
                        </w14:solidFill>
                      </w14:textFill>
                    </w:rPr>
                    <w:t>运营期例行</w:t>
                  </w:r>
                  <w:r>
                    <w:rPr>
                      <w:rFonts w:hint="default" w:ascii="Times New Roman" w:hAnsi="Times New Roman" w:cs="Times New Roman"/>
                      <w:color w:val="000000" w:themeColor="text1"/>
                      <w:spacing w:val="7"/>
                      <w:sz w:val="21"/>
                      <w:szCs w:val="21"/>
                      <w:highlight w:val="none"/>
                      <w14:textFill>
                        <w14:solidFill>
                          <w14:schemeClr w14:val="tx1"/>
                        </w14:solidFill>
                      </w14:textFill>
                    </w:rPr>
                    <w:t>监测费</w:t>
                  </w:r>
                </w:p>
              </w:tc>
              <w:tc>
                <w:tcPr>
                  <w:tcW w:w="669" w:type="pct"/>
                  <w:tcBorders>
                    <w:tl2br w:val="nil"/>
                    <w:tr2bl w:val="nil"/>
                  </w:tcBorders>
                  <w:noWrap w:val="0"/>
                  <w:vAlign w:val="center"/>
                </w:tcPr>
                <w:p w14:paraId="0DA360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7F588B0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2CB3F8C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9" w:type="pct"/>
                  <w:gridSpan w:val="2"/>
                  <w:tcBorders>
                    <w:tl2br w:val="nil"/>
                    <w:tr2bl w:val="nil"/>
                  </w:tcBorders>
                  <w:noWrap w:val="0"/>
                  <w:vAlign w:val="center"/>
                </w:tcPr>
                <w:p w14:paraId="72B59A8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101827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3F7C4CE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1819" w:type="pct"/>
                  <w:tcBorders>
                    <w:tl2br w:val="nil"/>
                    <w:tr2bl w:val="nil"/>
                  </w:tcBorders>
                  <w:noWrap w:val="0"/>
                  <w:vAlign w:val="center"/>
                </w:tcPr>
                <w:p w14:paraId="045C50E1">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大气</w:t>
                  </w:r>
                  <w:r>
                    <w:rPr>
                      <w:rFonts w:hint="eastAsia" w:ascii="Times New Roman" w:hAnsi="Times New Roman" w:cs="Times New Roman"/>
                      <w:color w:val="000000" w:themeColor="text1"/>
                      <w:spacing w:val="8"/>
                      <w:sz w:val="21"/>
                      <w:szCs w:val="21"/>
                      <w:highlight w:val="none"/>
                      <w:lang w:eastAsia="zh-CN"/>
                      <w14:textFill>
                        <w14:solidFill>
                          <w14:schemeClr w14:val="tx1"/>
                        </w14:solidFill>
                      </w14:textFill>
                    </w:rPr>
                    <w:t>、</w:t>
                  </w:r>
                  <w:r>
                    <w:rPr>
                      <w:rFonts w:hint="eastAsia" w:ascii="Times New Roman" w:hAnsi="Times New Roman" w:cs="Times New Roman"/>
                      <w:color w:val="000000" w:themeColor="text1"/>
                      <w:spacing w:val="8"/>
                      <w:sz w:val="21"/>
                      <w:szCs w:val="21"/>
                      <w:highlight w:val="none"/>
                      <w:lang w:val="en-US" w:eastAsia="zh-CN"/>
                      <w14:textFill>
                        <w14:solidFill>
                          <w14:schemeClr w14:val="tx1"/>
                        </w14:solidFill>
                      </w14:textFill>
                    </w:rPr>
                    <w:t>噪声等</w:t>
                  </w:r>
                  <w:r>
                    <w:rPr>
                      <w:rFonts w:hint="default" w:ascii="Times New Roman" w:hAnsi="Times New Roman" w:cs="Times New Roman"/>
                      <w:color w:val="000000" w:themeColor="text1"/>
                      <w:spacing w:val="8"/>
                      <w:sz w:val="21"/>
                      <w:szCs w:val="21"/>
                      <w:highlight w:val="none"/>
                      <w14:textFill>
                        <w14:solidFill>
                          <w14:schemeClr w14:val="tx1"/>
                        </w14:solidFill>
                      </w14:textFill>
                    </w:rPr>
                    <w:t>监测</w:t>
                  </w:r>
                </w:p>
              </w:tc>
              <w:tc>
                <w:tcPr>
                  <w:tcW w:w="669" w:type="pct"/>
                  <w:tcBorders>
                    <w:tl2br w:val="nil"/>
                    <w:tr2bl w:val="nil"/>
                  </w:tcBorders>
                  <w:noWrap w:val="0"/>
                  <w:vAlign w:val="center"/>
                </w:tcPr>
                <w:p w14:paraId="38D370B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w:t>
                  </w:r>
                </w:p>
              </w:tc>
              <w:tc>
                <w:tcPr>
                  <w:tcW w:w="567" w:type="pct"/>
                  <w:tcBorders>
                    <w:tl2br w:val="nil"/>
                    <w:tr2bl w:val="nil"/>
                  </w:tcBorders>
                  <w:noWrap w:val="0"/>
                  <w:vAlign w:val="center"/>
                </w:tcPr>
                <w:p w14:paraId="3920D01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722" w:type="pct"/>
                  <w:tcBorders>
                    <w:tl2br w:val="nil"/>
                    <w:tr2bl w:val="nil"/>
                  </w:tcBorders>
                  <w:noWrap w:val="0"/>
                  <w:vAlign w:val="center"/>
                </w:tcPr>
                <w:p w14:paraId="5BAEE35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c>
                <w:tcPr>
                  <w:tcW w:w="749" w:type="pct"/>
                  <w:gridSpan w:val="2"/>
                  <w:tcBorders>
                    <w:tl2br w:val="nil"/>
                    <w:tr2bl w:val="nil"/>
                  </w:tcBorders>
                  <w:noWrap w:val="0"/>
                  <w:vAlign w:val="center"/>
                </w:tcPr>
                <w:p w14:paraId="46D8A79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15.0</w:t>
                  </w:r>
                </w:p>
              </w:tc>
            </w:tr>
            <w:tr w14:paraId="5D67FA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250" w:type="pct"/>
                  <w:gridSpan w:val="5"/>
                  <w:tcBorders>
                    <w:tl2br w:val="nil"/>
                    <w:tr2bl w:val="nil"/>
                  </w:tcBorders>
                  <w:noWrap w:val="0"/>
                  <w:vAlign w:val="center"/>
                </w:tcPr>
                <w:p w14:paraId="01AAAE83">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7"/>
                      <w:sz w:val="21"/>
                      <w:szCs w:val="21"/>
                      <w:highlight w:val="none"/>
                      <w14:textFill>
                        <w14:solidFill>
                          <w14:schemeClr w14:val="tx1"/>
                        </w14:solidFill>
                      </w14:textFill>
                    </w:rPr>
                    <w:t>第</w:t>
                  </w:r>
                  <w:r>
                    <w:rPr>
                      <w:rFonts w:hint="eastAsia" w:ascii="Times New Roman" w:hAnsi="Times New Roman" w:cs="Times New Roman"/>
                      <w:b/>
                      <w:bCs/>
                      <w:color w:val="000000" w:themeColor="text1"/>
                      <w:spacing w:val="7"/>
                      <w:sz w:val="21"/>
                      <w:szCs w:val="21"/>
                      <w:highlight w:val="none"/>
                      <w:lang w:val="en-US" w:eastAsia="zh-CN"/>
                      <w14:textFill>
                        <w14:solidFill>
                          <w14:schemeClr w14:val="tx1"/>
                        </w14:solidFill>
                      </w14:textFill>
                    </w:rPr>
                    <w:t>二</w:t>
                  </w:r>
                  <w:r>
                    <w:rPr>
                      <w:rFonts w:hint="default" w:ascii="Times New Roman" w:hAnsi="Times New Roman" w:cs="Times New Roman"/>
                      <w:b/>
                      <w:bCs/>
                      <w:color w:val="000000" w:themeColor="text1"/>
                      <w:spacing w:val="7"/>
                      <w:sz w:val="21"/>
                      <w:szCs w:val="21"/>
                      <w:highlight w:val="none"/>
                      <w14:textFill>
                        <w14:solidFill>
                          <w14:schemeClr w14:val="tx1"/>
                        </w14:solidFill>
                      </w14:textFill>
                    </w:rPr>
                    <w:t>部分环境保护临时措施</w:t>
                  </w:r>
                </w:p>
              </w:tc>
              <w:tc>
                <w:tcPr>
                  <w:tcW w:w="749" w:type="pct"/>
                  <w:gridSpan w:val="2"/>
                  <w:tcBorders>
                    <w:tl2br w:val="nil"/>
                    <w:tr2bl w:val="nil"/>
                  </w:tcBorders>
                  <w:noWrap w:val="0"/>
                  <w:vAlign w:val="center"/>
                </w:tcPr>
                <w:p w14:paraId="4F01A4B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102.0</w:t>
                  </w:r>
                </w:p>
              </w:tc>
            </w:tr>
            <w:tr w14:paraId="51A1A0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219E38FF">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（一）</w:t>
                  </w:r>
                </w:p>
              </w:tc>
              <w:tc>
                <w:tcPr>
                  <w:tcW w:w="1819" w:type="pct"/>
                  <w:tcBorders>
                    <w:tl2br w:val="nil"/>
                    <w:tr2bl w:val="nil"/>
                  </w:tcBorders>
                  <w:noWrap w:val="0"/>
                  <w:vAlign w:val="center"/>
                </w:tcPr>
                <w:p w14:paraId="3FF4937F">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污水处理</w:t>
                  </w:r>
                </w:p>
              </w:tc>
              <w:tc>
                <w:tcPr>
                  <w:tcW w:w="669" w:type="pct"/>
                  <w:tcBorders>
                    <w:tl2br w:val="nil"/>
                    <w:tr2bl w:val="nil"/>
                  </w:tcBorders>
                  <w:noWrap w:val="0"/>
                  <w:vAlign w:val="center"/>
                </w:tcPr>
                <w:p w14:paraId="771E8E5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027AD6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0F3F848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9" w:type="pct"/>
                  <w:gridSpan w:val="2"/>
                  <w:tcBorders>
                    <w:tl2br w:val="nil"/>
                    <w:tr2bl w:val="nil"/>
                  </w:tcBorders>
                  <w:noWrap w:val="0"/>
                  <w:vAlign w:val="center"/>
                </w:tcPr>
                <w:p w14:paraId="620D98B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0C2B4F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1B79DF2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pacing w:val="-4"/>
                      <w:sz w:val="21"/>
                      <w:szCs w:val="21"/>
                      <w:highlight w:val="none"/>
                      <w14:textFill>
                        <w14:solidFill>
                          <w14:schemeClr w14:val="tx1"/>
                        </w14:solidFill>
                      </w14:textFill>
                    </w:rPr>
                    <w:t>1.</w:t>
                  </w:r>
                  <w:r>
                    <w:rPr>
                      <w:rFonts w:hint="eastAsia" w:ascii="Times New Roman" w:hAnsi="Times New Roman" w:eastAsia="宋体" w:cs="Times New Roman"/>
                      <w:color w:val="000000" w:themeColor="text1"/>
                      <w:spacing w:val="-4"/>
                      <w:sz w:val="21"/>
                      <w:szCs w:val="21"/>
                      <w:highlight w:val="none"/>
                      <w:lang w:val="en-US" w:eastAsia="zh-CN"/>
                      <w14:textFill>
                        <w14:solidFill>
                          <w14:schemeClr w14:val="tx1"/>
                        </w14:solidFill>
                      </w14:textFill>
                    </w:rPr>
                    <w:t>1</w:t>
                  </w:r>
                </w:p>
              </w:tc>
              <w:tc>
                <w:tcPr>
                  <w:tcW w:w="1819" w:type="pct"/>
                  <w:tcBorders>
                    <w:tl2br w:val="nil"/>
                    <w:tr2bl w:val="nil"/>
                  </w:tcBorders>
                  <w:noWrap w:val="0"/>
                  <w:vAlign w:val="center"/>
                </w:tcPr>
                <w:p w14:paraId="7B068944">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防渗化粪池</w:t>
                  </w:r>
                  <w:r>
                    <w:rPr>
                      <w:rFonts w:hint="eastAsia" w:ascii="Times New Roman" w:hAnsi="Times New Roman" w:cs="Times New Roman"/>
                      <w:snapToGrid w:val="0"/>
                      <w:color w:val="000000" w:themeColor="text1"/>
                      <w:sz w:val="21"/>
                      <w:szCs w:val="21"/>
                      <w:highlight w:val="none"/>
                      <w:lang w:val="en-US" w:eastAsia="zh-CN"/>
                      <w14:textFill>
                        <w14:solidFill>
                          <w14:schemeClr w14:val="tx1"/>
                        </w14:solidFill>
                      </w14:textFill>
                    </w:rPr>
                    <w:t>（20m</w:t>
                  </w:r>
                  <w:r>
                    <w:rPr>
                      <w:rFonts w:hint="eastAsia" w:ascii="Times New Roman" w:hAnsi="Times New Roman" w:cs="Times New Roman"/>
                      <w:snapToGrid w:val="0"/>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cs="Times New Roman"/>
                      <w:snapToGrid w:val="0"/>
                      <w:color w:val="000000" w:themeColor="text1"/>
                      <w:sz w:val="21"/>
                      <w:szCs w:val="21"/>
                      <w:highlight w:val="none"/>
                      <w:lang w:val="en-US" w:eastAsia="zh-CN"/>
                      <w14:textFill>
                        <w14:solidFill>
                          <w14:schemeClr w14:val="tx1"/>
                        </w14:solidFill>
                      </w14:textFill>
                    </w:rPr>
                    <w:t>）及拉运处置</w:t>
                  </w:r>
                </w:p>
              </w:tc>
              <w:tc>
                <w:tcPr>
                  <w:tcW w:w="669" w:type="pct"/>
                  <w:tcBorders>
                    <w:tl2br w:val="nil"/>
                    <w:tr2bl w:val="nil"/>
                  </w:tcBorders>
                  <w:noWrap w:val="0"/>
                  <w:vAlign w:val="center"/>
                </w:tcPr>
                <w:p w14:paraId="056FABC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座</w:t>
                  </w:r>
                </w:p>
              </w:tc>
              <w:tc>
                <w:tcPr>
                  <w:tcW w:w="567" w:type="pct"/>
                  <w:tcBorders>
                    <w:tl2br w:val="nil"/>
                    <w:tr2bl w:val="nil"/>
                  </w:tcBorders>
                  <w:noWrap w:val="0"/>
                  <w:vAlign w:val="center"/>
                </w:tcPr>
                <w:p w14:paraId="3459088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c>
                <w:tcPr>
                  <w:tcW w:w="722" w:type="pct"/>
                  <w:tcBorders>
                    <w:tl2br w:val="nil"/>
                    <w:tr2bl w:val="nil"/>
                  </w:tcBorders>
                  <w:noWrap w:val="0"/>
                  <w:vAlign w:val="center"/>
                </w:tcPr>
                <w:p w14:paraId="3F5075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749" w:type="pct"/>
                  <w:gridSpan w:val="2"/>
                  <w:tcBorders>
                    <w:tl2br w:val="nil"/>
                    <w:tr2bl w:val="nil"/>
                  </w:tcBorders>
                  <w:noWrap w:val="0"/>
                  <w:vAlign w:val="center"/>
                </w:tcPr>
                <w:p w14:paraId="1372D09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10.0</w:t>
                  </w:r>
                </w:p>
              </w:tc>
            </w:tr>
            <w:tr w14:paraId="4C761F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253E687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（二）</w:t>
                  </w:r>
                </w:p>
              </w:tc>
              <w:tc>
                <w:tcPr>
                  <w:tcW w:w="1819" w:type="pct"/>
                  <w:tcBorders>
                    <w:tl2br w:val="nil"/>
                    <w:tr2bl w:val="nil"/>
                  </w:tcBorders>
                  <w:noWrap w:val="0"/>
                  <w:vAlign w:val="center"/>
                </w:tcPr>
                <w:p w14:paraId="65AEC6B0">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pacing w:val="7"/>
                      <w:sz w:val="21"/>
                      <w:szCs w:val="21"/>
                      <w:highlight w:val="none"/>
                      <w:lang w:val="en-US" w:eastAsia="zh-CN"/>
                      <w14:textFill>
                        <w14:solidFill>
                          <w14:schemeClr w14:val="tx1"/>
                        </w14:solidFill>
                      </w14:textFill>
                    </w:rPr>
                    <w:t>大气</w:t>
                  </w:r>
                  <w:r>
                    <w:rPr>
                      <w:rFonts w:hint="default" w:ascii="Times New Roman" w:hAnsi="Times New Roman" w:cs="Times New Roman"/>
                      <w:color w:val="000000" w:themeColor="text1"/>
                      <w:spacing w:val="7"/>
                      <w:sz w:val="21"/>
                      <w:szCs w:val="21"/>
                      <w:highlight w:val="none"/>
                      <w14:textFill>
                        <w14:solidFill>
                          <w14:schemeClr w14:val="tx1"/>
                        </w14:solidFill>
                      </w14:textFill>
                    </w:rPr>
                    <w:t>防治</w:t>
                  </w:r>
                </w:p>
              </w:tc>
              <w:tc>
                <w:tcPr>
                  <w:tcW w:w="669" w:type="pct"/>
                  <w:tcBorders>
                    <w:tl2br w:val="nil"/>
                    <w:tr2bl w:val="nil"/>
                  </w:tcBorders>
                  <w:noWrap w:val="0"/>
                  <w:vAlign w:val="center"/>
                </w:tcPr>
                <w:p w14:paraId="3BC5A24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3698FB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3C6BC6E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9" w:type="pct"/>
                  <w:gridSpan w:val="2"/>
                  <w:tcBorders>
                    <w:tl2br w:val="nil"/>
                    <w:tr2bl w:val="nil"/>
                  </w:tcBorders>
                  <w:noWrap w:val="0"/>
                  <w:vAlign w:val="center"/>
                </w:tcPr>
                <w:p w14:paraId="5E11B29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16B85DB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5BDCBFD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pacing w:val="1"/>
                      <w:sz w:val="21"/>
                      <w:szCs w:val="21"/>
                      <w:highlight w:val="none"/>
                      <w14:textFill>
                        <w14:solidFill>
                          <w14:schemeClr w14:val="tx1"/>
                        </w14:solidFill>
                      </w14:textFill>
                    </w:rPr>
                    <w:t>2.1</w:t>
                  </w:r>
                </w:p>
              </w:tc>
              <w:tc>
                <w:tcPr>
                  <w:tcW w:w="1819" w:type="pct"/>
                  <w:tcBorders>
                    <w:tl2br w:val="nil"/>
                    <w:tr2bl w:val="nil"/>
                  </w:tcBorders>
                  <w:noWrap w:val="0"/>
                  <w:vAlign w:val="center"/>
                </w:tcPr>
                <w:p w14:paraId="6AB3B913">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6"/>
                      <w:sz w:val="21"/>
                      <w:szCs w:val="21"/>
                      <w:highlight w:val="none"/>
                      <w14:textFill>
                        <w14:solidFill>
                          <w14:schemeClr w14:val="tx1"/>
                        </w14:solidFill>
                      </w14:textFill>
                    </w:rPr>
                    <w:t>洒水车</w:t>
                  </w:r>
                </w:p>
              </w:tc>
              <w:tc>
                <w:tcPr>
                  <w:tcW w:w="669" w:type="pct"/>
                  <w:tcBorders>
                    <w:tl2br w:val="nil"/>
                    <w:tr2bl w:val="nil"/>
                  </w:tcBorders>
                  <w:noWrap w:val="0"/>
                  <w:vAlign w:val="center"/>
                </w:tcPr>
                <w:p w14:paraId="08D1EDEB">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辆</w:t>
                  </w:r>
                </w:p>
              </w:tc>
              <w:tc>
                <w:tcPr>
                  <w:tcW w:w="567" w:type="pct"/>
                  <w:tcBorders>
                    <w:tl2br w:val="nil"/>
                    <w:tr2bl w:val="nil"/>
                  </w:tcBorders>
                  <w:noWrap w:val="0"/>
                  <w:vAlign w:val="center"/>
                </w:tcPr>
                <w:p w14:paraId="0B38D1A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1</w:t>
                  </w:r>
                </w:p>
              </w:tc>
              <w:tc>
                <w:tcPr>
                  <w:tcW w:w="722" w:type="pct"/>
                  <w:tcBorders>
                    <w:tl2br w:val="nil"/>
                    <w:tr2bl w:val="nil"/>
                  </w:tcBorders>
                  <w:noWrap w:val="0"/>
                  <w:vAlign w:val="center"/>
                </w:tcPr>
                <w:p w14:paraId="1B2576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749" w:type="pct"/>
                  <w:gridSpan w:val="2"/>
                  <w:tcBorders>
                    <w:tl2br w:val="nil"/>
                    <w:tr2bl w:val="nil"/>
                  </w:tcBorders>
                  <w:noWrap w:val="0"/>
                  <w:vAlign w:val="center"/>
                </w:tcPr>
                <w:p w14:paraId="3B0A2CC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3"/>
                      <w:sz w:val="21"/>
                      <w:szCs w:val="21"/>
                      <w:highlight w:val="none"/>
                      <w:lang w:val="en-US" w:eastAsia="zh-CN"/>
                      <w14:textFill>
                        <w14:solidFill>
                          <w14:schemeClr w14:val="tx1"/>
                        </w14:solidFill>
                      </w14:textFill>
                    </w:rPr>
                    <w:t>10.0</w:t>
                  </w:r>
                </w:p>
              </w:tc>
            </w:tr>
            <w:tr w14:paraId="7FC112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7F8C694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pacing w:val="2"/>
                      <w:sz w:val="21"/>
                      <w:szCs w:val="21"/>
                      <w:highlight w:val="none"/>
                      <w14:textFill>
                        <w14:solidFill>
                          <w14:schemeClr w14:val="tx1"/>
                        </w14:solidFill>
                      </w14:textFill>
                    </w:rPr>
                    <w:t>2.2</w:t>
                  </w:r>
                </w:p>
              </w:tc>
              <w:tc>
                <w:tcPr>
                  <w:tcW w:w="1819" w:type="pct"/>
                  <w:tcBorders>
                    <w:tl2br w:val="nil"/>
                    <w:tr2bl w:val="nil"/>
                  </w:tcBorders>
                  <w:noWrap w:val="0"/>
                  <w:vAlign w:val="center"/>
                </w:tcPr>
                <w:p w14:paraId="0147F7DF">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除尘器（含集气罩）</w:t>
                  </w:r>
                </w:p>
              </w:tc>
              <w:tc>
                <w:tcPr>
                  <w:tcW w:w="669" w:type="pct"/>
                  <w:tcBorders>
                    <w:tl2br w:val="nil"/>
                    <w:tr2bl w:val="nil"/>
                  </w:tcBorders>
                  <w:noWrap w:val="0"/>
                  <w:vAlign w:val="center"/>
                </w:tcPr>
                <w:p w14:paraId="7E75B0F7">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个</w:t>
                  </w:r>
                </w:p>
              </w:tc>
              <w:tc>
                <w:tcPr>
                  <w:tcW w:w="567" w:type="pct"/>
                  <w:tcBorders>
                    <w:tl2br w:val="nil"/>
                    <w:tr2bl w:val="nil"/>
                  </w:tcBorders>
                  <w:noWrap w:val="0"/>
                  <w:vAlign w:val="center"/>
                </w:tcPr>
                <w:p w14:paraId="1CD607C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4</w:t>
                  </w:r>
                </w:p>
              </w:tc>
              <w:tc>
                <w:tcPr>
                  <w:tcW w:w="722" w:type="pct"/>
                  <w:tcBorders>
                    <w:tl2br w:val="nil"/>
                    <w:tr2bl w:val="nil"/>
                  </w:tcBorders>
                  <w:noWrap w:val="0"/>
                  <w:vAlign w:val="center"/>
                </w:tcPr>
                <w:p w14:paraId="5821270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6</w:t>
                  </w:r>
                </w:p>
              </w:tc>
              <w:tc>
                <w:tcPr>
                  <w:tcW w:w="749" w:type="pct"/>
                  <w:gridSpan w:val="2"/>
                  <w:tcBorders>
                    <w:tl2br w:val="nil"/>
                    <w:tr2bl w:val="nil"/>
                  </w:tcBorders>
                  <w:noWrap w:val="0"/>
                  <w:vAlign w:val="center"/>
                </w:tcPr>
                <w:p w14:paraId="4332911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24.0</w:t>
                  </w:r>
                </w:p>
              </w:tc>
            </w:tr>
            <w:tr w14:paraId="251564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3AD01B3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t>2.</w:t>
                  </w:r>
                  <w:r>
                    <w:rPr>
                      <w:rFonts w:hint="eastAsia" w:cs="Times New Roman"/>
                      <w:color w:val="000000" w:themeColor="text1"/>
                      <w:spacing w:val="2"/>
                      <w:sz w:val="21"/>
                      <w:szCs w:val="21"/>
                      <w:highlight w:val="none"/>
                      <w:lang w:val="en-US" w:eastAsia="zh-CN"/>
                      <w14:textFill>
                        <w14:solidFill>
                          <w14:schemeClr w14:val="tx1"/>
                        </w14:solidFill>
                      </w14:textFill>
                    </w:rPr>
                    <w:t>3</w:t>
                  </w:r>
                </w:p>
              </w:tc>
              <w:tc>
                <w:tcPr>
                  <w:tcW w:w="1819" w:type="pct"/>
                  <w:tcBorders>
                    <w:tl2br w:val="nil"/>
                    <w:tr2bl w:val="nil"/>
                  </w:tcBorders>
                  <w:noWrap w:val="0"/>
                  <w:vAlign w:val="center"/>
                </w:tcPr>
                <w:p w14:paraId="1CDF481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pacing w:val="3"/>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3"/>
                      <w:sz w:val="21"/>
                      <w:szCs w:val="21"/>
                      <w:highlight w:val="none"/>
                      <w:lang w:val="en-US" w:eastAsia="zh-CN"/>
                      <w14:textFill>
                        <w14:solidFill>
                          <w14:schemeClr w14:val="tx1"/>
                        </w14:solidFill>
                      </w14:textFill>
                    </w:rPr>
                    <w:t>排气筒</w:t>
                  </w:r>
                </w:p>
              </w:tc>
              <w:tc>
                <w:tcPr>
                  <w:tcW w:w="669" w:type="pct"/>
                  <w:tcBorders>
                    <w:tl2br w:val="nil"/>
                    <w:tr2bl w:val="nil"/>
                  </w:tcBorders>
                  <w:noWrap w:val="0"/>
                  <w:vAlign w:val="center"/>
                </w:tcPr>
                <w:p w14:paraId="25A89B99">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000000" w:themeColor="text1"/>
                      <w:spacing w:val="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个</w:t>
                  </w:r>
                </w:p>
              </w:tc>
              <w:tc>
                <w:tcPr>
                  <w:tcW w:w="567" w:type="pct"/>
                  <w:tcBorders>
                    <w:tl2br w:val="nil"/>
                    <w:tr2bl w:val="nil"/>
                  </w:tcBorders>
                  <w:noWrap w:val="0"/>
                  <w:vAlign w:val="center"/>
                </w:tcPr>
                <w:p w14:paraId="5583932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宋体" w:cs="Times New Roman"/>
                      <w:color w:val="000000" w:themeColor="text1"/>
                      <w:spacing w:val="3"/>
                      <w:sz w:val="21"/>
                      <w:szCs w:val="21"/>
                      <w:highlight w:val="none"/>
                      <w:lang w:val="en-US" w:eastAsia="zh-CN"/>
                      <w14:textFill>
                        <w14:solidFill>
                          <w14:schemeClr w14:val="tx1"/>
                        </w14:solidFill>
                      </w14:textFill>
                    </w:rPr>
                  </w:pPr>
                  <w:r>
                    <w:rPr>
                      <w:rFonts w:hint="eastAsia" w:eastAsia="宋体" w:cs="Times New Roman"/>
                      <w:color w:val="000000" w:themeColor="text1"/>
                      <w:spacing w:val="3"/>
                      <w:sz w:val="21"/>
                      <w:szCs w:val="21"/>
                      <w:highlight w:val="none"/>
                      <w:lang w:val="en-US" w:eastAsia="zh-CN"/>
                      <w14:textFill>
                        <w14:solidFill>
                          <w14:schemeClr w14:val="tx1"/>
                        </w14:solidFill>
                      </w14:textFill>
                    </w:rPr>
                    <w:t>5</w:t>
                  </w:r>
                </w:p>
              </w:tc>
              <w:tc>
                <w:tcPr>
                  <w:tcW w:w="722" w:type="pct"/>
                  <w:tcBorders>
                    <w:tl2br w:val="nil"/>
                    <w:tr2bl w:val="nil"/>
                  </w:tcBorders>
                  <w:noWrap w:val="0"/>
                  <w:vAlign w:val="center"/>
                </w:tcPr>
                <w:p w14:paraId="227BDA3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000000" w:themeColor="text1"/>
                      <w:spacing w:val="3"/>
                      <w:sz w:val="21"/>
                      <w:szCs w:val="21"/>
                      <w:highlight w:val="none"/>
                      <w:lang w:val="en-US" w:eastAsia="zh-CN"/>
                      <w14:textFill>
                        <w14:solidFill>
                          <w14:schemeClr w14:val="tx1"/>
                        </w14:solidFill>
                      </w14:textFill>
                    </w:rPr>
                  </w:pPr>
                  <w:r>
                    <w:rPr>
                      <w:rFonts w:hint="eastAsia" w:eastAsia="宋体" w:cs="Times New Roman"/>
                      <w:color w:val="000000" w:themeColor="text1"/>
                      <w:spacing w:val="3"/>
                      <w:sz w:val="21"/>
                      <w:szCs w:val="21"/>
                      <w:highlight w:val="none"/>
                      <w:lang w:val="en-US" w:eastAsia="zh-CN"/>
                      <w14:textFill>
                        <w14:solidFill>
                          <w14:schemeClr w14:val="tx1"/>
                        </w14:solidFill>
                      </w14:textFill>
                    </w:rPr>
                    <w:t>1</w:t>
                  </w:r>
                </w:p>
              </w:tc>
              <w:tc>
                <w:tcPr>
                  <w:tcW w:w="749" w:type="pct"/>
                  <w:gridSpan w:val="2"/>
                  <w:tcBorders>
                    <w:tl2br w:val="nil"/>
                    <w:tr2bl w:val="nil"/>
                  </w:tcBorders>
                  <w:noWrap w:val="0"/>
                  <w:vAlign w:val="center"/>
                </w:tcPr>
                <w:p w14:paraId="21D3F57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r>
            <w:tr w14:paraId="72CF06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7876178F">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（三）</w:t>
                  </w:r>
                </w:p>
              </w:tc>
              <w:tc>
                <w:tcPr>
                  <w:tcW w:w="1819" w:type="pct"/>
                  <w:tcBorders>
                    <w:tl2br w:val="nil"/>
                    <w:tr2bl w:val="nil"/>
                  </w:tcBorders>
                  <w:noWrap w:val="0"/>
                  <w:vAlign w:val="center"/>
                </w:tcPr>
                <w:p w14:paraId="392B4794">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4"/>
                      <w:sz w:val="21"/>
                      <w:szCs w:val="21"/>
                      <w:highlight w:val="none"/>
                      <w14:textFill>
                        <w14:solidFill>
                          <w14:schemeClr w14:val="tx1"/>
                        </w14:solidFill>
                      </w14:textFill>
                    </w:rPr>
                    <w:t>噪声防治</w:t>
                  </w:r>
                </w:p>
              </w:tc>
              <w:tc>
                <w:tcPr>
                  <w:tcW w:w="669" w:type="pct"/>
                  <w:tcBorders>
                    <w:tl2br w:val="nil"/>
                    <w:tr2bl w:val="nil"/>
                  </w:tcBorders>
                  <w:noWrap w:val="0"/>
                  <w:vAlign w:val="center"/>
                </w:tcPr>
                <w:p w14:paraId="1DEA16C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054DE32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1AB9092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9" w:type="pct"/>
                  <w:gridSpan w:val="2"/>
                  <w:tcBorders>
                    <w:tl2br w:val="nil"/>
                    <w:tr2bl w:val="nil"/>
                  </w:tcBorders>
                  <w:noWrap w:val="0"/>
                  <w:vAlign w:val="center"/>
                </w:tcPr>
                <w:p w14:paraId="7EA4690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491EE3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049190F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3.1</w:t>
                  </w:r>
                </w:p>
              </w:tc>
              <w:tc>
                <w:tcPr>
                  <w:tcW w:w="1819" w:type="pct"/>
                  <w:tcBorders>
                    <w:tl2br w:val="nil"/>
                    <w:tr2bl w:val="nil"/>
                  </w:tcBorders>
                  <w:noWrap w:val="0"/>
                  <w:vAlign w:val="center"/>
                </w:tcPr>
                <w:p w14:paraId="5B4FB661">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pacing w:val="4"/>
                      <w:sz w:val="21"/>
                      <w:szCs w:val="21"/>
                      <w:highlight w:val="none"/>
                      <w14:textFill>
                        <w14:solidFill>
                          <w14:schemeClr w14:val="tx1"/>
                        </w14:solidFill>
                      </w14:textFill>
                    </w:rPr>
                    <w:t>防噪用具</w:t>
                  </w:r>
                  <w:r>
                    <w:rPr>
                      <w:rFonts w:hint="eastAsia" w:ascii="Times New Roman" w:hAnsi="Times New Roman" w:cs="Times New Roman"/>
                      <w:color w:val="000000" w:themeColor="text1"/>
                      <w:spacing w:val="4"/>
                      <w:sz w:val="21"/>
                      <w:szCs w:val="21"/>
                      <w:highlight w:val="none"/>
                      <w:lang w:eastAsia="zh-CN"/>
                      <w14:textFill>
                        <w14:solidFill>
                          <w14:schemeClr w14:val="tx1"/>
                        </w14:solidFill>
                      </w14:textFill>
                    </w:rPr>
                    <w:t>（</w:t>
                  </w:r>
                  <w:r>
                    <w:rPr>
                      <w:rFonts w:hint="eastAsia" w:ascii="Times New Roman" w:hAnsi="Times New Roman" w:cs="Times New Roman"/>
                      <w:color w:val="000000" w:themeColor="text1"/>
                      <w:spacing w:val="4"/>
                      <w:sz w:val="21"/>
                      <w:szCs w:val="21"/>
                      <w:highlight w:val="none"/>
                      <w:lang w:val="en-US" w:eastAsia="zh-CN"/>
                      <w14:textFill>
                        <w14:solidFill>
                          <w14:schemeClr w14:val="tx1"/>
                        </w14:solidFill>
                      </w14:textFill>
                    </w:rPr>
                    <w:t>减震片等</w:t>
                  </w:r>
                  <w:r>
                    <w:rPr>
                      <w:rFonts w:hint="eastAsia" w:ascii="Times New Roman" w:hAnsi="Times New Roman" w:cs="Times New Roman"/>
                      <w:color w:val="000000" w:themeColor="text1"/>
                      <w:spacing w:val="4"/>
                      <w:sz w:val="21"/>
                      <w:szCs w:val="21"/>
                      <w:highlight w:val="none"/>
                      <w:lang w:eastAsia="zh-CN"/>
                      <w14:textFill>
                        <w14:solidFill>
                          <w14:schemeClr w14:val="tx1"/>
                        </w14:solidFill>
                      </w14:textFill>
                    </w:rPr>
                    <w:t>）</w:t>
                  </w:r>
                </w:p>
              </w:tc>
              <w:tc>
                <w:tcPr>
                  <w:tcW w:w="669" w:type="pct"/>
                  <w:tcBorders>
                    <w:tl2br w:val="nil"/>
                    <w:tr2bl w:val="nil"/>
                  </w:tcBorders>
                  <w:noWrap w:val="0"/>
                  <w:vAlign w:val="center"/>
                </w:tcPr>
                <w:p w14:paraId="415D24E0">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405D2E6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3CF9E1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49" w:type="pct"/>
                  <w:gridSpan w:val="2"/>
                  <w:tcBorders>
                    <w:tl2br w:val="nil"/>
                    <w:tr2bl w:val="nil"/>
                  </w:tcBorders>
                  <w:noWrap w:val="0"/>
                  <w:vAlign w:val="center"/>
                </w:tcPr>
                <w:p w14:paraId="0882421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r>
            <w:tr w14:paraId="4F1B74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078942FC">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（四）</w:t>
                  </w:r>
                </w:p>
              </w:tc>
              <w:tc>
                <w:tcPr>
                  <w:tcW w:w="1819" w:type="pct"/>
                  <w:tcBorders>
                    <w:tl2br w:val="nil"/>
                    <w:tr2bl w:val="nil"/>
                  </w:tcBorders>
                  <w:noWrap w:val="0"/>
                  <w:vAlign w:val="center"/>
                </w:tcPr>
                <w:p w14:paraId="17D39FD4">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6"/>
                      <w:sz w:val="21"/>
                      <w:szCs w:val="21"/>
                      <w:highlight w:val="none"/>
                      <w14:textFill>
                        <w14:solidFill>
                          <w14:schemeClr w14:val="tx1"/>
                        </w14:solidFill>
                      </w14:textFill>
                    </w:rPr>
                    <w:t>固体废弃物处理</w:t>
                  </w:r>
                </w:p>
              </w:tc>
              <w:tc>
                <w:tcPr>
                  <w:tcW w:w="669" w:type="pct"/>
                  <w:tcBorders>
                    <w:tl2br w:val="nil"/>
                    <w:tr2bl w:val="nil"/>
                  </w:tcBorders>
                  <w:noWrap w:val="0"/>
                  <w:vAlign w:val="center"/>
                </w:tcPr>
                <w:p w14:paraId="45BEB74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391D248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11B4866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9" w:type="pct"/>
                  <w:gridSpan w:val="2"/>
                  <w:tcBorders>
                    <w:tl2br w:val="nil"/>
                    <w:tr2bl w:val="nil"/>
                  </w:tcBorders>
                  <w:noWrap w:val="0"/>
                  <w:vAlign w:val="center"/>
                </w:tcPr>
                <w:p w14:paraId="4C1EC65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650544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29A40BA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4.1</w:t>
                  </w:r>
                </w:p>
              </w:tc>
              <w:tc>
                <w:tcPr>
                  <w:tcW w:w="1819" w:type="pct"/>
                  <w:tcBorders>
                    <w:tl2br w:val="nil"/>
                    <w:tr2bl w:val="nil"/>
                  </w:tcBorders>
                  <w:noWrap w:val="0"/>
                  <w:vAlign w:val="center"/>
                </w:tcPr>
                <w:p w14:paraId="072F8FBF">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7"/>
                      <w:sz w:val="21"/>
                      <w:szCs w:val="21"/>
                      <w:highlight w:val="none"/>
                      <w14:textFill>
                        <w14:solidFill>
                          <w14:schemeClr w14:val="tx1"/>
                        </w14:solidFill>
                      </w14:textFill>
                    </w:rPr>
                    <w:t>生活垃圾</w:t>
                  </w:r>
                  <w:r>
                    <w:rPr>
                      <w:rFonts w:hint="eastAsia" w:ascii="Times New Roman" w:hAnsi="Times New Roman" w:cs="Times New Roman"/>
                      <w:color w:val="000000" w:themeColor="text1"/>
                      <w:spacing w:val="7"/>
                      <w:sz w:val="21"/>
                      <w:szCs w:val="21"/>
                      <w:highlight w:val="none"/>
                      <w:lang w:val="en-US" w:eastAsia="zh-CN"/>
                      <w14:textFill>
                        <w14:solidFill>
                          <w14:schemeClr w14:val="tx1"/>
                        </w14:solidFill>
                      </w14:textFill>
                    </w:rPr>
                    <w:t>等收集设施及</w:t>
                  </w:r>
                  <w:r>
                    <w:rPr>
                      <w:rFonts w:hint="default" w:ascii="Times New Roman" w:hAnsi="Times New Roman" w:cs="Times New Roman"/>
                      <w:color w:val="000000" w:themeColor="text1"/>
                      <w:spacing w:val="7"/>
                      <w:sz w:val="21"/>
                      <w:szCs w:val="21"/>
                      <w:highlight w:val="none"/>
                      <w14:textFill>
                        <w14:solidFill>
                          <w14:schemeClr w14:val="tx1"/>
                        </w14:solidFill>
                      </w14:textFill>
                    </w:rPr>
                    <w:t>清运</w:t>
                  </w:r>
                </w:p>
              </w:tc>
              <w:tc>
                <w:tcPr>
                  <w:tcW w:w="669" w:type="pct"/>
                  <w:tcBorders>
                    <w:tl2br w:val="nil"/>
                    <w:tr2bl w:val="nil"/>
                  </w:tcBorders>
                  <w:noWrap w:val="0"/>
                  <w:vAlign w:val="center"/>
                </w:tcPr>
                <w:p w14:paraId="07054240">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w:t>
                  </w:r>
                </w:p>
              </w:tc>
              <w:tc>
                <w:tcPr>
                  <w:tcW w:w="567" w:type="pct"/>
                  <w:tcBorders>
                    <w:tl2br w:val="nil"/>
                    <w:tr2bl w:val="nil"/>
                  </w:tcBorders>
                  <w:noWrap w:val="0"/>
                  <w:vAlign w:val="center"/>
                </w:tcPr>
                <w:p w14:paraId="4D096AD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722" w:type="pct"/>
                  <w:tcBorders>
                    <w:tl2br w:val="nil"/>
                    <w:tr2bl w:val="nil"/>
                  </w:tcBorders>
                  <w:noWrap w:val="0"/>
                  <w:vAlign w:val="center"/>
                </w:tcPr>
                <w:p w14:paraId="38B32AF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749" w:type="pct"/>
                  <w:gridSpan w:val="2"/>
                  <w:tcBorders>
                    <w:tl2br w:val="nil"/>
                    <w:tr2bl w:val="nil"/>
                  </w:tcBorders>
                  <w:noWrap w:val="0"/>
                  <w:vAlign w:val="center"/>
                </w:tcPr>
                <w:p w14:paraId="47923E1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1.0</w:t>
                  </w:r>
                </w:p>
              </w:tc>
            </w:tr>
            <w:tr w14:paraId="37F6E2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70" w:type="pct"/>
                  <w:tcBorders>
                    <w:tl2br w:val="nil"/>
                    <w:tr2bl w:val="nil"/>
                  </w:tcBorders>
                  <w:noWrap w:val="0"/>
                  <w:vAlign w:val="center"/>
                </w:tcPr>
                <w:p w14:paraId="6799836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4.2</w:t>
                  </w:r>
                </w:p>
              </w:tc>
              <w:tc>
                <w:tcPr>
                  <w:tcW w:w="1819" w:type="pct"/>
                  <w:tcBorders>
                    <w:tl2br w:val="nil"/>
                    <w:tr2bl w:val="nil"/>
                  </w:tcBorders>
                  <w:noWrap w:val="0"/>
                  <w:vAlign w:val="center"/>
                </w:tcPr>
                <w:p w14:paraId="2E562B8E">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7"/>
                      <w:sz w:val="21"/>
                      <w:szCs w:val="21"/>
                      <w:highlight w:val="none"/>
                      <w:lang w:val="en-US" w:eastAsia="zh-CN"/>
                      <w14:textFill>
                        <w14:solidFill>
                          <w14:schemeClr w14:val="tx1"/>
                        </w14:solidFill>
                      </w14:textFill>
                    </w:rPr>
                    <w:t>危废贮存库（含处置）</w:t>
                  </w:r>
                </w:p>
              </w:tc>
              <w:tc>
                <w:tcPr>
                  <w:tcW w:w="669" w:type="pct"/>
                  <w:tcBorders>
                    <w:tl2br w:val="nil"/>
                    <w:tr2bl w:val="nil"/>
                  </w:tcBorders>
                  <w:noWrap w:val="0"/>
                  <w:vAlign w:val="center"/>
                </w:tcPr>
                <w:p w14:paraId="3AEBA42C">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座</w:t>
                  </w:r>
                </w:p>
              </w:tc>
              <w:tc>
                <w:tcPr>
                  <w:tcW w:w="567" w:type="pct"/>
                  <w:tcBorders>
                    <w:tl2br w:val="nil"/>
                    <w:tr2bl w:val="nil"/>
                  </w:tcBorders>
                  <w:noWrap w:val="0"/>
                  <w:vAlign w:val="center"/>
                </w:tcPr>
                <w:p w14:paraId="00E81F5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722" w:type="pct"/>
                  <w:tcBorders>
                    <w:tl2br w:val="nil"/>
                    <w:tr2bl w:val="nil"/>
                  </w:tcBorders>
                  <w:noWrap w:val="0"/>
                  <w:vAlign w:val="center"/>
                </w:tcPr>
                <w:p w14:paraId="3FF7618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749" w:type="pct"/>
                  <w:gridSpan w:val="2"/>
                  <w:tcBorders>
                    <w:tl2br w:val="nil"/>
                    <w:tr2bl w:val="nil"/>
                  </w:tcBorders>
                  <w:noWrap w:val="0"/>
                  <w:vAlign w:val="center"/>
                </w:tcPr>
                <w:p w14:paraId="307BDC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cs="Times New Roman"/>
                      <w:color w:val="000000" w:themeColor="text1"/>
                      <w:spacing w:val="1"/>
                      <w:sz w:val="21"/>
                      <w:szCs w:val="21"/>
                      <w:highlight w:val="none"/>
                      <w:lang w:val="en-US" w:eastAsia="zh-CN"/>
                      <w14:textFill>
                        <w14:solidFill>
                          <w14:schemeClr w14:val="tx1"/>
                        </w14:solidFill>
                      </w14:textFill>
                    </w:rPr>
                    <w:t>20.0</w:t>
                  </w:r>
                </w:p>
              </w:tc>
            </w:tr>
            <w:tr w14:paraId="186593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358209EA">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w:t>
                  </w:r>
                  <w:r>
                    <w:rPr>
                      <w:rFonts w:hint="eastAsia" w:ascii="Times New Roman" w:hAnsi="Times New Roman" w:cs="Times New Roman"/>
                      <w:color w:val="000000" w:themeColor="text1"/>
                      <w:spacing w:val="-1"/>
                      <w:sz w:val="21"/>
                      <w:szCs w:val="21"/>
                      <w:highlight w:val="none"/>
                      <w:lang w:val="en-US" w:eastAsia="zh-CN"/>
                      <w14:textFill>
                        <w14:solidFill>
                          <w14:schemeClr w14:val="tx1"/>
                        </w14:solidFill>
                      </w14:textFill>
                    </w:rPr>
                    <w:t>五</w:t>
                  </w:r>
                  <w:r>
                    <w:rPr>
                      <w:rFonts w:hint="default" w:ascii="Times New Roman" w:hAnsi="Times New Roman" w:cs="Times New Roman"/>
                      <w:color w:val="000000" w:themeColor="text1"/>
                      <w:spacing w:val="-1"/>
                      <w:sz w:val="21"/>
                      <w:szCs w:val="21"/>
                      <w:highlight w:val="none"/>
                      <w14:textFill>
                        <w14:solidFill>
                          <w14:schemeClr w14:val="tx1"/>
                        </w14:solidFill>
                      </w14:textFill>
                    </w:rPr>
                    <w:t>）</w:t>
                  </w:r>
                </w:p>
              </w:tc>
              <w:tc>
                <w:tcPr>
                  <w:tcW w:w="1819" w:type="pct"/>
                  <w:tcBorders>
                    <w:tl2br w:val="nil"/>
                    <w:tr2bl w:val="nil"/>
                  </w:tcBorders>
                  <w:noWrap w:val="0"/>
                  <w:vAlign w:val="center"/>
                </w:tcPr>
                <w:p w14:paraId="0BB478A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环境保护宣传</w:t>
                  </w:r>
                </w:p>
              </w:tc>
              <w:tc>
                <w:tcPr>
                  <w:tcW w:w="669" w:type="pct"/>
                  <w:tcBorders>
                    <w:tl2br w:val="nil"/>
                    <w:tr2bl w:val="nil"/>
                  </w:tcBorders>
                  <w:noWrap w:val="0"/>
                  <w:vAlign w:val="center"/>
                </w:tcPr>
                <w:p w14:paraId="1398D7D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2FA1833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7E79A20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1222C45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04F995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272A8F2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5.1</w:t>
                  </w:r>
                </w:p>
              </w:tc>
              <w:tc>
                <w:tcPr>
                  <w:tcW w:w="1819" w:type="pct"/>
                  <w:tcBorders>
                    <w:tl2br w:val="nil"/>
                    <w:tr2bl w:val="nil"/>
                  </w:tcBorders>
                  <w:noWrap w:val="0"/>
                  <w:vAlign w:val="center"/>
                </w:tcPr>
                <w:p w14:paraId="2F0F097A">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环境保护图形标志</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牌</w:t>
                  </w:r>
                </w:p>
              </w:tc>
              <w:tc>
                <w:tcPr>
                  <w:tcW w:w="669" w:type="pct"/>
                  <w:tcBorders>
                    <w:tl2br w:val="nil"/>
                    <w:tr2bl w:val="nil"/>
                  </w:tcBorders>
                  <w:noWrap w:val="0"/>
                  <w:vAlign w:val="center"/>
                </w:tcPr>
                <w:p w14:paraId="12DD56C4">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块</w:t>
                  </w:r>
                </w:p>
              </w:tc>
              <w:tc>
                <w:tcPr>
                  <w:tcW w:w="567" w:type="pct"/>
                  <w:tcBorders>
                    <w:tl2br w:val="nil"/>
                    <w:tr2bl w:val="nil"/>
                  </w:tcBorders>
                  <w:noWrap w:val="0"/>
                  <w:vAlign w:val="center"/>
                </w:tcPr>
                <w:p w14:paraId="64071FD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c>
                <w:tcPr>
                  <w:tcW w:w="722" w:type="pct"/>
                  <w:tcBorders>
                    <w:tl2br w:val="nil"/>
                    <w:tr2bl w:val="nil"/>
                  </w:tcBorders>
                  <w:noWrap w:val="0"/>
                  <w:vAlign w:val="center"/>
                </w:tcPr>
                <w:p w14:paraId="1D37279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pacing w:val="2"/>
                      <w:sz w:val="21"/>
                      <w:szCs w:val="21"/>
                      <w:highlight w:val="none"/>
                      <w14:textFill>
                        <w14:solidFill>
                          <w14:schemeClr w14:val="tx1"/>
                        </w14:solidFill>
                      </w14:textFill>
                    </w:rPr>
                    <w:t>0.1</w:t>
                  </w:r>
                </w:p>
              </w:tc>
              <w:tc>
                <w:tcPr>
                  <w:tcW w:w="744" w:type="pct"/>
                  <w:tcBorders>
                    <w:tl2br w:val="nil"/>
                    <w:tr2bl w:val="nil"/>
                  </w:tcBorders>
                  <w:noWrap w:val="0"/>
                  <w:vAlign w:val="center"/>
                </w:tcPr>
                <w:p w14:paraId="74B3EA7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r>
            <w:tr w14:paraId="4B64C4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294D8E0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w:t>
                  </w:r>
                  <w:r>
                    <w:rPr>
                      <w:rFonts w:hint="eastAsia" w:cs="Times New Roman"/>
                      <w:color w:val="000000" w:themeColor="text1"/>
                      <w:spacing w:val="-1"/>
                      <w:sz w:val="21"/>
                      <w:szCs w:val="21"/>
                      <w:highlight w:val="none"/>
                      <w:lang w:val="en-US" w:eastAsia="zh-CN"/>
                      <w14:textFill>
                        <w14:solidFill>
                          <w14:schemeClr w14:val="tx1"/>
                        </w14:solidFill>
                      </w14:textFill>
                    </w:rPr>
                    <w:t>六</w:t>
                  </w:r>
                  <w:r>
                    <w:rPr>
                      <w:rFonts w:hint="default" w:ascii="Times New Roman" w:hAnsi="Times New Roman" w:cs="Times New Roman"/>
                      <w:color w:val="000000" w:themeColor="text1"/>
                      <w:spacing w:val="-1"/>
                      <w:sz w:val="21"/>
                      <w:szCs w:val="21"/>
                      <w:highlight w:val="none"/>
                      <w14:textFill>
                        <w14:solidFill>
                          <w14:schemeClr w14:val="tx1"/>
                        </w14:solidFill>
                      </w14:textFill>
                    </w:rPr>
                    <w:t>）</w:t>
                  </w:r>
                </w:p>
              </w:tc>
              <w:tc>
                <w:tcPr>
                  <w:tcW w:w="1819" w:type="pct"/>
                  <w:tcBorders>
                    <w:tl2br w:val="nil"/>
                    <w:tr2bl w:val="nil"/>
                  </w:tcBorders>
                  <w:noWrap w:val="0"/>
                  <w:vAlign w:val="center"/>
                </w:tcPr>
                <w:p w14:paraId="5318D63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8"/>
                      <w:sz w:val="21"/>
                      <w:szCs w:val="21"/>
                      <w:highlight w:val="none"/>
                      <w:lang w:val="en-US" w:eastAsia="zh-CN"/>
                      <w14:textFill>
                        <w14:solidFill>
                          <w14:schemeClr w14:val="tx1"/>
                        </w14:solidFill>
                      </w14:textFill>
                    </w:rPr>
                    <w:t>环境风险</w:t>
                  </w:r>
                </w:p>
              </w:tc>
              <w:tc>
                <w:tcPr>
                  <w:tcW w:w="669" w:type="pct"/>
                  <w:tcBorders>
                    <w:tl2br w:val="nil"/>
                    <w:tr2bl w:val="nil"/>
                  </w:tcBorders>
                  <w:noWrap w:val="0"/>
                  <w:vAlign w:val="center"/>
                </w:tcPr>
                <w:p w14:paraId="6CB02642">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6EF4BB1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6C1417D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Times New Roman" w:cs="Times New Roman"/>
                      <w:color w:val="000000" w:themeColor="text1"/>
                      <w:spacing w:val="2"/>
                      <w:sz w:val="21"/>
                      <w:szCs w:val="21"/>
                      <w:highlight w:val="none"/>
                      <w14:textFill>
                        <w14:solidFill>
                          <w14:schemeClr w14:val="tx1"/>
                        </w14:solidFill>
                      </w14:textFill>
                    </w:rPr>
                  </w:pPr>
                </w:p>
              </w:tc>
              <w:tc>
                <w:tcPr>
                  <w:tcW w:w="744" w:type="pct"/>
                  <w:tcBorders>
                    <w:tl2br w:val="nil"/>
                    <w:tr2bl w:val="nil"/>
                  </w:tcBorders>
                  <w:noWrap w:val="0"/>
                  <w:vAlign w:val="center"/>
                </w:tcPr>
                <w:p w14:paraId="3A51266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宋体" w:cs="Times New Roman"/>
                      <w:color w:val="000000" w:themeColor="text1"/>
                      <w:spacing w:val="-4"/>
                      <w:sz w:val="21"/>
                      <w:szCs w:val="21"/>
                      <w:highlight w:val="none"/>
                      <w:lang w:val="en-US" w:eastAsia="zh-CN"/>
                      <w14:textFill>
                        <w14:solidFill>
                          <w14:schemeClr w14:val="tx1"/>
                        </w14:solidFill>
                      </w14:textFill>
                    </w:rPr>
                  </w:pPr>
                </w:p>
              </w:tc>
            </w:tr>
            <w:tr w14:paraId="147F8D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67D8205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w:t>
                  </w:r>
                </w:p>
              </w:tc>
              <w:tc>
                <w:tcPr>
                  <w:tcW w:w="1819" w:type="pct"/>
                  <w:tcBorders>
                    <w:tl2br w:val="nil"/>
                    <w:tr2bl w:val="nil"/>
                  </w:tcBorders>
                  <w:noWrap w:val="0"/>
                  <w:vAlign w:val="center"/>
                </w:tcPr>
                <w:p w14:paraId="7AFAF10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8"/>
                      <w:sz w:val="21"/>
                      <w:szCs w:val="21"/>
                      <w:highlight w:val="none"/>
                      <w:lang w:val="en-US" w:eastAsia="zh-CN"/>
                      <w14:textFill>
                        <w14:solidFill>
                          <w14:schemeClr w14:val="tx1"/>
                        </w14:solidFill>
                      </w14:textFill>
                    </w:rPr>
                    <w:t>灭火器、防火沙、报警装置、禁火</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牌</w:t>
                  </w:r>
                  <w:r>
                    <w:rPr>
                      <w:rFonts w:hint="eastAsia" w:ascii="Times New Roman" w:hAnsi="Times New Roman" w:cs="Times New Roman"/>
                      <w:color w:val="000000" w:themeColor="text1"/>
                      <w:spacing w:val="8"/>
                      <w:sz w:val="21"/>
                      <w:szCs w:val="21"/>
                      <w:highlight w:val="none"/>
                      <w:lang w:val="en-US" w:eastAsia="zh-CN"/>
                      <w14:textFill>
                        <w14:solidFill>
                          <w14:schemeClr w14:val="tx1"/>
                        </w14:solidFill>
                      </w14:textFill>
                    </w:rPr>
                    <w:t>等</w:t>
                  </w:r>
                </w:p>
              </w:tc>
              <w:tc>
                <w:tcPr>
                  <w:tcW w:w="669" w:type="pct"/>
                  <w:tcBorders>
                    <w:tl2br w:val="nil"/>
                    <w:tr2bl w:val="nil"/>
                  </w:tcBorders>
                  <w:noWrap w:val="0"/>
                  <w:vAlign w:val="center"/>
                </w:tcPr>
                <w:p w14:paraId="0C264E3D">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0BF03BE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7CC64FC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Times New Roman" w:cs="Times New Roman"/>
                      <w:color w:val="000000" w:themeColor="text1"/>
                      <w:spacing w:val="2"/>
                      <w:sz w:val="21"/>
                      <w:szCs w:val="21"/>
                      <w:highlight w:val="none"/>
                      <w14:textFill>
                        <w14:solidFill>
                          <w14:schemeClr w14:val="tx1"/>
                        </w14:solidFill>
                      </w14:textFill>
                    </w:rPr>
                  </w:pPr>
                </w:p>
              </w:tc>
              <w:tc>
                <w:tcPr>
                  <w:tcW w:w="744" w:type="pct"/>
                  <w:tcBorders>
                    <w:tl2br w:val="nil"/>
                    <w:tr2bl w:val="nil"/>
                  </w:tcBorders>
                  <w:noWrap w:val="0"/>
                  <w:vAlign w:val="center"/>
                </w:tcPr>
                <w:p w14:paraId="3F48F16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000000" w:themeColor="text1"/>
                      <w:spacing w:val="-4"/>
                      <w:sz w:val="21"/>
                      <w:szCs w:val="21"/>
                      <w:highlight w:val="none"/>
                      <w:lang w:val="en-US" w:eastAsia="zh-CN"/>
                      <w14:textFill>
                        <w14:solidFill>
                          <w14:schemeClr w14:val="tx1"/>
                        </w14:solidFill>
                      </w14:textFill>
                    </w:rPr>
                  </w:pPr>
                  <w:r>
                    <w:rPr>
                      <w:rFonts w:hint="eastAsia" w:cs="Times New Roman"/>
                      <w:color w:val="000000" w:themeColor="text1"/>
                      <w:spacing w:val="-4"/>
                      <w:sz w:val="21"/>
                      <w:szCs w:val="21"/>
                      <w:highlight w:val="none"/>
                      <w:lang w:val="en-US" w:eastAsia="zh-CN"/>
                      <w14:textFill>
                        <w14:solidFill>
                          <w14:schemeClr w14:val="tx1"/>
                        </w14:solidFill>
                      </w14:textFill>
                    </w:rPr>
                    <w:t>30.0</w:t>
                  </w:r>
                </w:p>
              </w:tc>
            </w:tr>
            <w:tr w14:paraId="05F3DB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250" w:type="pct"/>
                  <w:gridSpan w:val="5"/>
                  <w:tcBorders>
                    <w:tl2br w:val="nil"/>
                    <w:tr2bl w:val="nil"/>
                  </w:tcBorders>
                  <w:noWrap w:val="0"/>
                  <w:vAlign w:val="center"/>
                </w:tcPr>
                <w:p w14:paraId="5A6FC1CE">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pacing w:val="7"/>
                      <w:sz w:val="21"/>
                      <w:szCs w:val="21"/>
                      <w:highlight w:val="none"/>
                      <w14:textFill>
                        <w14:solidFill>
                          <w14:schemeClr w14:val="tx1"/>
                        </w14:solidFill>
                      </w14:textFill>
                    </w:rPr>
                    <w:t>第</w:t>
                  </w:r>
                  <w:r>
                    <w:rPr>
                      <w:rFonts w:hint="eastAsia" w:ascii="Times New Roman" w:hAnsi="Times New Roman" w:cs="Times New Roman"/>
                      <w:b/>
                      <w:bCs/>
                      <w:color w:val="000000" w:themeColor="text1"/>
                      <w:spacing w:val="7"/>
                      <w:sz w:val="21"/>
                      <w:szCs w:val="21"/>
                      <w:highlight w:val="none"/>
                      <w:lang w:val="en-US" w:eastAsia="zh-CN"/>
                      <w14:textFill>
                        <w14:solidFill>
                          <w14:schemeClr w14:val="tx1"/>
                        </w14:solidFill>
                      </w14:textFill>
                    </w:rPr>
                    <w:t>三</w:t>
                  </w:r>
                  <w:r>
                    <w:rPr>
                      <w:rFonts w:hint="default" w:ascii="Times New Roman" w:hAnsi="Times New Roman" w:cs="Times New Roman"/>
                      <w:b/>
                      <w:bCs/>
                      <w:color w:val="000000" w:themeColor="text1"/>
                      <w:spacing w:val="7"/>
                      <w:sz w:val="21"/>
                      <w:szCs w:val="21"/>
                      <w:highlight w:val="none"/>
                      <w14:textFill>
                        <w14:solidFill>
                          <w14:schemeClr w14:val="tx1"/>
                        </w14:solidFill>
                      </w14:textFill>
                    </w:rPr>
                    <w:t>部分环境保护独立费用</w:t>
                  </w:r>
                </w:p>
              </w:tc>
              <w:tc>
                <w:tcPr>
                  <w:tcW w:w="744" w:type="pct"/>
                  <w:tcBorders>
                    <w:tl2br w:val="nil"/>
                    <w:tr2bl w:val="nil"/>
                  </w:tcBorders>
                  <w:noWrap w:val="0"/>
                  <w:vAlign w:val="center"/>
                </w:tcPr>
                <w:p w14:paraId="2B4A98E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11.0</w:t>
                  </w:r>
                </w:p>
              </w:tc>
            </w:tr>
            <w:tr w14:paraId="1D484C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27792737">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w:t>
                  </w:r>
                  <w:r>
                    <w:rPr>
                      <w:rFonts w:hint="eastAsia" w:ascii="Times New Roman" w:hAnsi="Times New Roman" w:cs="Times New Roman"/>
                      <w:color w:val="000000" w:themeColor="text1"/>
                      <w:spacing w:val="-1"/>
                      <w:sz w:val="21"/>
                      <w:szCs w:val="21"/>
                      <w:highlight w:val="none"/>
                      <w:lang w:val="en-US" w:eastAsia="zh-CN"/>
                      <w14:textFill>
                        <w14:solidFill>
                          <w14:schemeClr w14:val="tx1"/>
                        </w14:solidFill>
                      </w14:textFill>
                    </w:rPr>
                    <w:t>一</w:t>
                  </w:r>
                  <w:r>
                    <w:rPr>
                      <w:rFonts w:hint="default" w:ascii="Times New Roman" w:hAnsi="Times New Roman" w:cs="Times New Roman"/>
                      <w:color w:val="000000" w:themeColor="text1"/>
                      <w:spacing w:val="-1"/>
                      <w:sz w:val="21"/>
                      <w:szCs w:val="21"/>
                      <w:highlight w:val="none"/>
                      <w14:textFill>
                        <w14:solidFill>
                          <w14:schemeClr w14:val="tx1"/>
                        </w14:solidFill>
                      </w14:textFill>
                    </w:rPr>
                    <w:t>）</w:t>
                  </w:r>
                </w:p>
              </w:tc>
              <w:tc>
                <w:tcPr>
                  <w:tcW w:w="1819" w:type="pct"/>
                  <w:tcBorders>
                    <w:tl2br w:val="nil"/>
                    <w:tr2bl w:val="nil"/>
                  </w:tcBorders>
                  <w:noWrap w:val="0"/>
                  <w:vAlign w:val="center"/>
                </w:tcPr>
                <w:p w14:paraId="328D9109">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7"/>
                      <w:sz w:val="21"/>
                      <w:szCs w:val="21"/>
                      <w:highlight w:val="none"/>
                      <w14:textFill>
                        <w14:solidFill>
                          <w14:schemeClr w14:val="tx1"/>
                        </w14:solidFill>
                      </w14:textFill>
                    </w:rPr>
                    <w:t>建设管理费</w:t>
                  </w:r>
                </w:p>
              </w:tc>
              <w:tc>
                <w:tcPr>
                  <w:tcW w:w="669" w:type="pct"/>
                  <w:tcBorders>
                    <w:tl2br w:val="nil"/>
                    <w:tr2bl w:val="nil"/>
                  </w:tcBorders>
                  <w:noWrap w:val="0"/>
                  <w:vAlign w:val="center"/>
                </w:tcPr>
                <w:p w14:paraId="6AC7B64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4252E8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4C09188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49632A5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1ED733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2F69F9D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1</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1819" w:type="pct"/>
                  <w:tcBorders>
                    <w:tl2br w:val="nil"/>
                    <w:tr2bl w:val="nil"/>
                  </w:tcBorders>
                  <w:noWrap w:val="0"/>
                  <w:vAlign w:val="center"/>
                </w:tcPr>
                <w:p w14:paraId="30DA79A9">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环境管理费</w:t>
                  </w:r>
                </w:p>
              </w:tc>
              <w:tc>
                <w:tcPr>
                  <w:tcW w:w="669" w:type="pct"/>
                  <w:tcBorders>
                    <w:tl2br w:val="nil"/>
                    <w:tr2bl w:val="nil"/>
                  </w:tcBorders>
                  <w:noWrap w:val="0"/>
                  <w:vAlign w:val="center"/>
                </w:tcPr>
                <w:p w14:paraId="663D167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2C3DF88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5EDCDD8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22580A7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r>
            <w:tr w14:paraId="47ECCB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46ACB13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w:t>
                  </w:r>
                </w:p>
              </w:tc>
              <w:tc>
                <w:tcPr>
                  <w:tcW w:w="1819" w:type="pct"/>
                  <w:tcBorders>
                    <w:tl2br w:val="nil"/>
                    <w:tr2bl w:val="nil"/>
                  </w:tcBorders>
                  <w:noWrap w:val="0"/>
                  <w:vAlign w:val="center"/>
                </w:tcPr>
                <w:p w14:paraId="409B99E7">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9"/>
                      <w:sz w:val="21"/>
                      <w:szCs w:val="21"/>
                      <w:highlight w:val="none"/>
                      <w14:textFill>
                        <w14:solidFill>
                          <w14:schemeClr w14:val="tx1"/>
                        </w14:solidFill>
                      </w14:textFill>
                    </w:rPr>
                    <w:t>环境保护宣传及技术培训费</w:t>
                  </w:r>
                </w:p>
              </w:tc>
              <w:tc>
                <w:tcPr>
                  <w:tcW w:w="669" w:type="pct"/>
                  <w:tcBorders>
                    <w:tl2br w:val="nil"/>
                    <w:tr2bl w:val="nil"/>
                  </w:tcBorders>
                  <w:noWrap w:val="0"/>
                  <w:vAlign w:val="center"/>
                </w:tcPr>
                <w:p w14:paraId="5383A9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71BCE5E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34FD77C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058A7BE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r>
            <w:tr w14:paraId="3BCF1C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2B477066">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1"/>
                      <w:sz w:val="21"/>
                      <w:szCs w:val="21"/>
                      <w:highlight w:val="none"/>
                      <w14:textFill>
                        <w14:solidFill>
                          <w14:schemeClr w14:val="tx1"/>
                        </w14:solidFill>
                      </w14:textFill>
                    </w:rPr>
                    <w:t>（</w:t>
                  </w:r>
                  <w:r>
                    <w:rPr>
                      <w:rFonts w:hint="eastAsia" w:ascii="Times New Roman" w:hAnsi="Times New Roman" w:cs="Times New Roman"/>
                      <w:color w:val="000000" w:themeColor="text1"/>
                      <w:spacing w:val="-1"/>
                      <w:sz w:val="21"/>
                      <w:szCs w:val="21"/>
                      <w:highlight w:val="none"/>
                      <w:lang w:val="en-US" w:eastAsia="zh-CN"/>
                      <w14:textFill>
                        <w14:solidFill>
                          <w14:schemeClr w14:val="tx1"/>
                        </w14:solidFill>
                      </w14:textFill>
                    </w:rPr>
                    <w:t>二</w:t>
                  </w:r>
                  <w:r>
                    <w:rPr>
                      <w:rFonts w:hint="default" w:ascii="Times New Roman" w:hAnsi="Times New Roman" w:cs="Times New Roman"/>
                      <w:color w:val="000000" w:themeColor="text1"/>
                      <w:spacing w:val="-1"/>
                      <w:sz w:val="21"/>
                      <w:szCs w:val="21"/>
                      <w:highlight w:val="none"/>
                      <w14:textFill>
                        <w14:solidFill>
                          <w14:schemeClr w14:val="tx1"/>
                        </w14:solidFill>
                      </w14:textFill>
                    </w:rPr>
                    <w:t>）</w:t>
                  </w:r>
                </w:p>
              </w:tc>
              <w:tc>
                <w:tcPr>
                  <w:tcW w:w="1819" w:type="pct"/>
                  <w:tcBorders>
                    <w:tl2br w:val="nil"/>
                    <w:tr2bl w:val="nil"/>
                  </w:tcBorders>
                  <w:noWrap w:val="0"/>
                  <w:vAlign w:val="center"/>
                </w:tcPr>
                <w:p w14:paraId="10DF96A1">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4"/>
                      <w:sz w:val="21"/>
                      <w:szCs w:val="21"/>
                      <w:highlight w:val="none"/>
                      <w14:textFill>
                        <w14:solidFill>
                          <w14:schemeClr w14:val="tx1"/>
                        </w14:solidFill>
                      </w14:textFill>
                    </w:rPr>
                    <w:t>咨询费</w:t>
                  </w:r>
                </w:p>
              </w:tc>
              <w:tc>
                <w:tcPr>
                  <w:tcW w:w="669" w:type="pct"/>
                  <w:tcBorders>
                    <w:tl2br w:val="nil"/>
                    <w:tr2bl w:val="nil"/>
                  </w:tcBorders>
                  <w:noWrap w:val="0"/>
                  <w:vAlign w:val="center"/>
                </w:tcPr>
                <w:p w14:paraId="5100E26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4228731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290DFDB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3E48C58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r>
            <w:tr w14:paraId="5277EA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0CDAEC5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2.1</w:t>
                  </w:r>
                </w:p>
              </w:tc>
              <w:tc>
                <w:tcPr>
                  <w:tcW w:w="1819" w:type="pct"/>
                  <w:tcBorders>
                    <w:tl2br w:val="nil"/>
                    <w:tr2bl w:val="nil"/>
                  </w:tcBorders>
                  <w:noWrap w:val="0"/>
                  <w:vAlign w:val="center"/>
                </w:tcPr>
                <w:p w14:paraId="5B501D58">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21"/>
                      <w:sz w:val="21"/>
                      <w:szCs w:val="21"/>
                      <w:highlight w:val="none"/>
                      <w14:textFill>
                        <w14:solidFill>
                          <w14:schemeClr w14:val="tx1"/>
                        </w14:solidFill>
                      </w14:textFill>
                    </w:rPr>
                    <w:t>竣工环境保护验收监测报告编</w:t>
                  </w:r>
                  <w:r>
                    <w:rPr>
                      <w:rFonts w:hint="default" w:ascii="Times New Roman" w:hAnsi="Times New Roman" w:cs="Times New Roman"/>
                      <w:color w:val="000000" w:themeColor="text1"/>
                      <w:spacing w:val="4"/>
                      <w:sz w:val="21"/>
                      <w:szCs w:val="21"/>
                      <w:highlight w:val="none"/>
                      <w14:textFill>
                        <w14:solidFill>
                          <w14:schemeClr w14:val="tx1"/>
                        </w14:solidFill>
                      </w14:textFill>
                    </w:rPr>
                    <w:t>制费</w:t>
                  </w:r>
                </w:p>
              </w:tc>
              <w:tc>
                <w:tcPr>
                  <w:tcW w:w="669" w:type="pct"/>
                  <w:tcBorders>
                    <w:tl2br w:val="nil"/>
                    <w:tr2bl w:val="nil"/>
                  </w:tcBorders>
                  <w:noWrap w:val="0"/>
                  <w:vAlign w:val="center"/>
                </w:tcPr>
                <w:p w14:paraId="30A11A0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3BFC3EA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1A379CC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674087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r>
            <w:tr w14:paraId="26E6CA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1CFC0D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2.2</w:t>
                  </w:r>
                </w:p>
              </w:tc>
              <w:tc>
                <w:tcPr>
                  <w:tcW w:w="1819" w:type="pct"/>
                  <w:tcBorders>
                    <w:tl2br w:val="nil"/>
                    <w:tr2bl w:val="nil"/>
                  </w:tcBorders>
                  <w:noWrap w:val="0"/>
                  <w:vAlign w:val="center"/>
                </w:tcPr>
                <w:p w14:paraId="057ABD38">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pacing w:val="2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21"/>
                      <w:sz w:val="21"/>
                      <w:szCs w:val="21"/>
                      <w:highlight w:val="none"/>
                      <w:lang w:val="en-US" w:eastAsia="zh-CN"/>
                      <w14:textFill>
                        <w14:solidFill>
                          <w14:schemeClr w14:val="tx1"/>
                        </w14:solidFill>
                      </w14:textFill>
                    </w:rPr>
                    <w:t>排污许可证申请</w:t>
                  </w:r>
                </w:p>
              </w:tc>
              <w:tc>
                <w:tcPr>
                  <w:tcW w:w="669" w:type="pct"/>
                  <w:tcBorders>
                    <w:tl2br w:val="nil"/>
                    <w:tr2bl w:val="nil"/>
                  </w:tcBorders>
                  <w:noWrap w:val="0"/>
                  <w:vAlign w:val="center"/>
                </w:tcPr>
                <w:p w14:paraId="3DAE02D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2C8F7D8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3F8C988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1E1E2C8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r>
            <w:tr w14:paraId="5C12CA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70" w:type="pct"/>
                  <w:tcBorders>
                    <w:tl2br w:val="nil"/>
                    <w:tr2bl w:val="nil"/>
                  </w:tcBorders>
                  <w:noWrap w:val="0"/>
                  <w:vAlign w:val="center"/>
                </w:tcPr>
                <w:p w14:paraId="494F183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2.3</w:t>
                  </w:r>
                </w:p>
              </w:tc>
              <w:tc>
                <w:tcPr>
                  <w:tcW w:w="1819" w:type="pct"/>
                  <w:tcBorders>
                    <w:tl2br w:val="nil"/>
                    <w:tr2bl w:val="nil"/>
                  </w:tcBorders>
                  <w:noWrap w:val="0"/>
                  <w:vAlign w:val="center"/>
                </w:tcPr>
                <w:p w14:paraId="225A1B13">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pacing w:val="2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21"/>
                      <w:sz w:val="21"/>
                      <w:szCs w:val="21"/>
                      <w:highlight w:val="none"/>
                      <w:lang w:val="en-US" w:eastAsia="zh-CN"/>
                      <w14:textFill>
                        <w14:solidFill>
                          <w14:schemeClr w14:val="tx1"/>
                        </w14:solidFill>
                      </w14:textFill>
                    </w:rPr>
                    <w:t>突发环境事件应急预案编制</w:t>
                  </w:r>
                </w:p>
              </w:tc>
              <w:tc>
                <w:tcPr>
                  <w:tcW w:w="669" w:type="pct"/>
                  <w:tcBorders>
                    <w:tl2br w:val="nil"/>
                    <w:tr2bl w:val="nil"/>
                  </w:tcBorders>
                  <w:noWrap w:val="0"/>
                  <w:vAlign w:val="center"/>
                </w:tcPr>
                <w:p w14:paraId="3F9127C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567" w:type="pct"/>
                  <w:tcBorders>
                    <w:tl2br w:val="nil"/>
                    <w:tr2bl w:val="nil"/>
                  </w:tcBorders>
                  <w:noWrap w:val="0"/>
                  <w:vAlign w:val="center"/>
                </w:tcPr>
                <w:p w14:paraId="2B445A5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22" w:type="pct"/>
                  <w:tcBorders>
                    <w:tl2br w:val="nil"/>
                    <w:tr2bl w:val="nil"/>
                  </w:tcBorders>
                  <w:noWrap w:val="0"/>
                  <w:vAlign w:val="center"/>
                </w:tcPr>
                <w:p w14:paraId="1B4BE8B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744" w:type="pct"/>
                  <w:tcBorders>
                    <w:tl2br w:val="nil"/>
                    <w:tr2bl w:val="nil"/>
                  </w:tcBorders>
                  <w:noWrap w:val="0"/>
                  <w:vAlign w:val="center"/>
                </w:tcPr>
                <w:p w14:paraId="588241E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w:t>
                  </w:r>
                </w:p>
              </w:tc>
            </w:tr>
            <w:tr w14:paraId="27A8F7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250" w:type="pct"/>
                  <w:gridSpan w:val="5"/>
                  <w:tcBorders>
                    <w:tl2br w:val="nil"/>
                    <w:tr2bl w:val="nil"/>
                  </w:tcBorders>
                  <w:noWrap w:val="0"/>
                  <w:vAlign w:val="center"/>
                </w:tcPr>
                <w:p w14:paraId="067CEFAD">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环保总投资</w:t>
                  </w:r>
                </w:p>
              </w:tc>
              <w:tc>
                <w:tcPr>
                  <w:tcW w:w="744" w:type="pct"/>
                  <w:tcBorders>
                    <w:tl2br w:val="nil"/>
                    <w:tr2bl w:val="nil"/>
                  </w:tcBorders>
                  <w:noWrap w:val="0"/>
                  <w:vAlign w:val="center"/>
                </w:tcPr>
                <w:p w14:paraId="7EEEC78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128.0</w:t>
                  </w:r>
                </w:p>
              </w:tc>
            </w:tr>
            <w:tr w14:paraId="34D91A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250" w:type="pct"/>
                  <w:gridSpan w:val="5"/>
                  <w:tcBorders>
                    <w:tl2br w:val="nil"/>
                    <w:tr2bl w:val="nil"/>
                  </w:tcBorders>
                  <w:noWrap w:val="0"/>
                  <w:vAlign w:val="center"/>
                </w:tcPr>
                <w:p w14:paraId="5512AE4F">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000000" w:themeColor="text1"/>
                      <w:spacing w:val="8"/>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8"/>
                      <w:sz w:val="21"/>
                      <w:szCs w:val="21"/>
                      <w:highlight w:val="none"/>
                      <w:lang w:val="en-US" w:eastAsia="zh-CN"/>
                      <w14:textFill>
                        <w14:solidFill>
                          <w14:schemeClr w14:val="tx1"/>
                        </w14:solidFill>
                      </w14:textFill>
                    </w:rPr>
                    <w:t>项目总投资</w:t>
                  </w:r>
                </w:p>
              </w:tc>
              <w:tc>
                <w:tcPr>
                  <w:tcW w:w="744" w:type="pct"/>
                  <w:tcBorders>
                    <w:tl2br w:val="nil"/>
                    <w:tr2bl w:val="nil"/>
                  </w:tcBorders>
                  <w:noWrap w:val="0"/>
                  <w:vAlign w:val="center"/>
                </w:tcPr>
                <w:p w14:paraId="73D25F9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8000.0</w:t>
                  </w:r>
                </w:p>
              </w:tc>
            </w:tr>
            <w:tr w14:paraId="420162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gridAfter w:val="1"/>
                <w:wAfter w:w="4" w:type="pct"/>
                <w:trHeight w:val="340" w:hRule="atLeast"/>
                <w:jc w:val="center"/>
              </w:trPr>
              <w:tc>
                <w:tcPr>
                  <w:tcW w:w="4250" w:type="pct"/>
                  <w:gridSpan w:val="5"/>
                  <w:tcBorders>
                    <w:tl2br w:val="nil"/>
                    <w:tr2bl w:val="nil"/>
                  </w:tcBorders>
                  <w:noWrap w:val="0"/>
                  <w:vAlign w:val="center"/>
                </w:tcPr>
                <w:p w14:paraId="6A72AEB9">
                  <w:pPr>
                    <w:pStyle w:val="64"/>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000000" w:themeColor="text1"/>
                      <w:spacing w:val="8"/>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t>占总投资比例（%）</w:t>
                  </w:r>
                </w:p>
              </w:tc>
              <w:tc>
                <w:tcPr>
                  <w:tcW w:w="744" w:type="pct"/>
                  <w:tcBorders>
                    <w:tl2br w:val="nil"/>
                    <w:tr2bl w:val="nil"/>
                  </w:tcBorders>
                  <w:noWrap w:val="0"/>
                  <w:vAlign w:val="center"/>
                </w:tcPr>
                <w:p w14:paraId="79841D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1.6</w:t>
                  </w:r>
                </w:p>
              </w:tc>
            </w:tr>
          </w:tbl>
          <w:p w14:paraId="782903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6A4E97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r>
    </w:tbl>
    <w:p w14:paraId="67ABE627">
      <w:pPr>
        <w:adjustRightInd w:val="0"/>
        <w:snapToGrid w:val="0"/>
        <w:spacing w:line="360" w:lineRule="auto"/>
        <w:rPr>
          <w:rFonts w:hint="default" w:ascii="Times New Roman" w:hAnsi="Times New Roman" w:eastAsia="宋体" w:cs="Times New Roman"/>
          <w:b/>
          <w:color w:val="000000" w:themeColor="text1"/>
          <w:kern w:val="0"/>
          <w:sz w:val="28"/>
          <w:szCs w:val="28"/>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39DD9216">
      <w:pPr>
        <w:pStyle w:val="27"/>
        <w:jc w:val="center"/>
        <w:outlineLvl w:val="0"/>
        <w:rPr>
          <w:rFonts w:hint="default" w:ascii="Times New Roman" w:hAnsi="Times New Roman" w:eastAsia="宋体" w:cs="Times New Roman"/>
          <w:b/>
          <w:bCs/>
          <w:snapToGrid w:val="0"/>
          <w:color w:val="000000" w:themeColor="text1"/>
          <w:sz w:val="30"/>
          <w:szCs w:val="30"/>
          <w14:textFill>
            <w14:solidFill>
              <w14:schemeClr w14:val="tx1"/>
            </w14:solidFill>
          </w14:textFill>
        </w:rPr>
      </w:pPr>
      <w:bookmarkStart w:id="16" w:name="_Toc21246"/>
      <w:r>
        <w:rPr>
          <w:rFonts w:hint="default" w:ascii="Times New Roman" w:hAnsi="Times New Roman" w:eastAsia="宋体" w:cs="Times New Roman"/>
          <w:b/>
          <w:bCs/>
          <w:snapToGrid w:val="0"/>
          <w:color w:val="000000" w:themeColor="text1"/>
          <w:sz w:val="30"/>
          <w:szCs w:val="30"/>
          <w14:textFill>
            <w14:solidFill>
              <w14:schemeClr w14:val="tx1"/>
            </w14:solidFill>
          </w14:textFill>
        </w:rPr>
        <w:t>五、</w:t>
      </w:r>
      <w:bookmarkStart w:id="17" w:name="_Hlk54167917"/>
      <w:r>
        <w:rPr>
          <w:rFonts w:hint="default" w:ascii="Times New Roman" w:hAnsi="Times New Roman" w:eastAsia="宋体" w:cs="Times New Roman"/>
          <w:b/>
          <w:bCs/>
          <w:snapToGrid w:val="0"/>
          <w:color w:val="000000" w:themeColor="text1"/>
          <w:sz w:val="30"/>
          <w:szCs w:val="30"/>
          <w14:textFill>
            <w14:solidFill>
              <w14:schemeClr w14:val="tx1"/>
            </w14:solidFill>
          </w14:textFill>
        </w:rPr>
        <w:t>环境保护措施监督检查清单</w:t>
      </w:r>
      <w:bookmarkEnd w:id="16"/>
      <w:bookmarkEnd w:id="17"/>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877"/>
        <w:gridCol w:w="1200"/>
        <w:gridCol w:w="1984"/>
        <w:gridCol w:w="2180"/>
      </w:tblGrid>
      <w:tr w14:paraId="05F433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9" w:type="dxa"/>
            <w:tcBorders>
              <w:tl2br w:val="single" w:color="auto" w:sz="4" w:space="0"/>
            </w:tcBorders>
            <w:noWrap w:val="0"/>
            <w:vAlign w:val="top"/>
          </w:tcPr>
          <w:p w14:paraId="128B8E45">
            <w:pPr>
              <w:adjustRightInd w:val="0"/>
              <w:snapToGrid w:val="0"/>
              <w:ind w:firstLine="84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内容</w:t>
            </w:r>
          </w:p>
          <w:p w14:paraId="17B6475E">
            <w:pPr>
              <w:adjustRightInd w:val="0"/>
              <w:snapToGrid w:val="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要素</w:t>
            </w:r>
          </w:p>
        </w:tc>
        <w:tc>
          <w:tcPr>
            <w:tcW w:w="1877" w:type="dxa"/>
            <w:noWrap w:val="0"/>
            <w:vAlign w:val="center"/>
          </w:tcPr>
          <w:p w14:paraId="2B5999A3">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排放口</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编号、</w:t>
            </w:r>
          </w:p>
          <w:p w14:paraId="4A0E8DC0">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名称</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/污染源</w:t>
            </w:r>
          </w:p>
        </w:tc>
        <w:tc>
          <w:tcPr>
            <w:tcW w:w="1200" w:type="dxa"/>
            <w:noWrap w:val="0"/>
            <w:vAlign w:val="center"/>
          </w:tcPr>
          <w:p w14:paraId="59B3F968">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污染物</w:t>
            </w:r>
          </w:p>
          <w:p w14:paraId="76F3AA8C">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w:t>
            </w:r>
          </w:p>
        </w:tc>
        <w:tc>
          <w:tcPr>
            <w:tcW w:w="1984" w:type="dxa"/>
            <w:noWrap w:val="0"/>
            <w:vAlign w:val="center"/>
          </w:tcPr>
          <w:p w14:paraId="7DBD59C7">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环境保护措施</w:t>
            </w:r>
          </w:p>
        </w:tc>
        <w:tc>
          <w:tcPr>
            <w:tcW w:w="2180" w:type="dxa"/>
            <w:noWrap w:val="0"/>
            <w:vAlign w:val="center"/>
          </w:tcPr>
          <w:p w14:paraId="4EDD0D90">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执行标准</w:t>
            </w:r>
          </w:p>
        </w:tc>
      </w:tr>
      <w:tr w14:paraId="5B08E8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1559" w:type="dxa"/>
            <w:vMerge w:val="restart"/>
            <w:noWrap w:val="0"/>
            <w:vAlign w:val="center"/>
          </w:tcPr>
          <w:p w14:paraId="70DF1C57">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大气环境</w:t>
            </w:r>
          </w:p>
        </w:tc>
        <w:tc>
          <w:tcPr>
            <w:tcW w:w="1877" w:type="dxa"/>
            <w:noWrap w:val="0"/>
            <w:vAlign w:val="center"/>
          </w:tcPr>
          <w:p w14:paraId="1B816277">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农林秸秆废弃物破碎</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工序排气筒（DA001）</w:t>
            </w:r>
          </w:p>
        </w:tc>
        <w:tc>
          <w:tcPr>
            <w:tcW w:w="1200" w:type="dxa"/>
            <w:noWrap w:val="0"/>
            <w:vAlign w:val="center"/>
          </w:tcPr>
          <w:p w14:paraId="7502CBDB">
            <w:pPr>
              <w:adjustRightInd w:val="0"/>
              <w:snapToGrid w:val="0"/>
              <w:jc w:val="cente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颗粒物</w:t>
            </w:r>
          </w:p>
        </w:tc>
        <w:tc>
          <w:tcPr>
            <w:tcW w:w="1984" w:type="dxa"/>
            <w:noWrap w:val="0"/>
            <w:vAlign w:val="center"/>
          </w:tcPr>
          <w:p w14:paraId="722652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集气罩+布袋除尘器</w:t>
            </w:r>
            <w:r>
              <w:rPr>
                <w:rFonts w:hint="eastAsia" w:cs="Times New Roman"/>
                <w:color w:val="000000" w:themeColor="text1"/>
                <w:sz w:val="24"/>
                <w:szCs w:val="24"/>
                <w:highlight w:val="none"/>
                <w:lang w:val="en-US" w:eastAsia="zh-CN"/>
                <w14:textFill>
                  <w14:solidFill>
                    <w14:schemeClr w14:val="tx1"/>
                  </w14:solidFill>
                </w14:textFill>
              </w:rPr>
              <w:t>+15m高排气筒高空排放</w:t>
            </w:r>
          </w:p>
        </w:tc>
        <w:tc>
          <w:tcPr>
            <w:tcW w:w="2180" w:type="dxa"/>
            <w:vMerge w:val="restart"/>
            <w:noWrap w:val="0"/>
            <w:vAlign w:val="center"/>
          </w:tcPr>
          <w:p w14:paraId="1A01FF4D">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《大气污染物综合排放标准》（GB16297-1996）表2二级标准限值</w:t>
            </w:r>
          </w:p>
        </w:tc>
      </w:tr>
      <w:tr w14:paraId="759434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1559" w:type="dxa"/>
            <w:vMerge w:val="continue"/>
            <w:noWrap w:val="0"/>
            <w:vAlign w:val="center"/>
          </w:tcPr>
          <w:p w14:paraId="1161440F">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4EB6A139">
            <w:pPr>
              <w:pStyle w:val="72"/>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炭块粉碎、有机肥（筛分、造粒、灌装）</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工序排气筒（DA00</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p>
        </w:tc>
        <w:tc>
          <w:tcPr>
            <w:tcW w:w="1200" w:type="dxa"/>
            <w:noWrap w:val="0"/>
            <w:vAlign w:val="center"/>
          </w:tcPr>
          <w:p w14:paraId="6BD5C064">
            <w:pPr>
              <w:adjustRightInd w:val="0"/>
              <w:snapToGrid w:val="0"/>
              <w:jc w:val="cente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颗粒物</w:t>
            </w:r>
          </w:p>
        </w:tc>
        <w:tc>
          <w:tcPr>
            <w:tcW w:w="1984" w:type="dxa"/>
            <w:noWrap w:val="0"/>
            <w:vAlign w:val="center"/>
          </w:tcPr>
          <w:p w14:paraId="28E387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集气罩+布袋除尘器</w:t>
            </w:r>
            <w:r>
              <w:rPr>
                <w:rFonts w:hint="eastAsia" w:cs="Times New Roman"/>
                <w:color w:val="000000" w:themeColor="text1"/>
                <w:sz w:val="24"/>
                <w:szCs w:val="24"/>
                <w:highlight w:val="none"/>
                <w:lang w:val="en-US" w:eastAsia="zh-CN"/>
                <w14:textFill>
                  <w14:solidFill>
                    <w14:schemeClr w14:val="tx1"/>
                  </w14:solidFill>
                </w14:textFill>
              </w:rPr>
              <w:t>+15m高排气筒高空排放</w:t>
            </w:r>
          </w:p>
        </w:tc>
        <w:tc>
          <w:tcPr>
            <w:tcW w:w="2180" w:type="dxa"/>
            <w:vMerge w:val="continue"/>
            <w:noWrap w:val="0"/>
            <w:vAlign w:val="center"/>
          </w:tcPr>
          <w:p w14:paraId="435BA245">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p>
        </w:tc>
      </w:tr>
      <w:tr w14:paraId="624455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1559" w:type="dxa"/>
            <w:vMerge w:val="continue"/>
            <w:noWrap w:val="0"/>
            <w:vAlign w:val="center"/>
          </w:tcPr>
          <w:p w14:paraId="1B90CDBF">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332180C3">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炭化炉秸秆下料工序排气筒（DA00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c>
          <w:tcPr>
            <w:tcW w:w="1200" w:type="dxa"/>
            <w:noWrap w:val="0"/>
            <w:vAlign w:val="center"/>
          </w:tcPr>
          <w:p w14:paraId="51494F2F">
            <w:pPr>
              <w:adjustRightInd w:val="0"/>
              <w:snapToGrid w:val="0"/>
              <w:jc w:val="cente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颗粒物</w:t>
            </w:r>
          </w:p>
        </w:tc>
        <w:tc>
          <w:tcPr>
            <w:tcW w:w="1984" w:type="dxa"/>
            <w:noWrap w:val="0"/>
            <w:vAlign w:val="center"/>
          </w:tcPr>
          <w:p w14:paraId="253F1E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集气罩+布袋除尘器</w:t>
            </w:r>
            <w:r>
              <w:rPr>
                <w:rFonts w:hint="eastAsia" w:cs="Times New Roman"/>
                <w:color w:val="000000" w:themeColor="text1"/>
                <w:sz w:val="24"/>
                <w:szCs w:val="24"/>
                <w:highlight w:val="none"/>
                <w:lang w:val="en-US" w:eastAsia="zh-CN"/>
                <w14:textFill>
                  <w14:solidFill>
                    <w14:schemeClr w14:val="tx1"/>
                  </w14:solidFill>
                </w14:textFill>
              </w:rPr>
              <w:t>+15m高排气筒高空排放</w:t>
            </w:r>
          </w:p>
        </w:tc>
        <w:tc>
          <w:tcPr>
            <w:tcW w:w="2180" w:type="dxa"/>
            <w:vMerge w:val="continue"/>
            <w:noWrap w:val="0"/>
            <w:vAlign w:val="center"/>
          </w:tcPr>
          <w:p w14:paraId="1B2287AB">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p>
        </w:tc>
      </w:tr>
      <w:tr w14:paraId="2D9FBA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1559" w:type="dxa"/>
            <w:vMerge w:val="continue"/>
            <w:noWrap w:val="0"/>
            <w:vAlign w:val="center"/>
          </w:tcPr>
          <w:p w14:paraId="03A4EE85">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0EFD7D53">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热风炉</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燃烧工序</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（DA00</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p>
        </w:tc>
        <w:tc>
          <w:tcPr>
            <w:tcW w:w="1200" w:type="dxa"/>
            <w:noWrap w:val="0"/>
            <w:vAlign w:val="center"/>
          </w:tcPr>
          <w:p w14:paraId="748DB01C">
            <w:pPr>
              <w:keepNext w:val="0"/>
              <w:keepLines w:val="0"/>
              <w:widowControl/>
              <w:suppressLineNumbers w:val="0"/>
              <w:wordWrap/>
              <w:jc w:val="center"/>
              <w:textAlignment w:val="cente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t>颗粒物</w:t>
            </w:r>
            <w:r>
              <w:rPr>
                <w:rFonts w:hint="eastAsia"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t>二氧化硫</w:t>
            </w:r>
            <w:r>
              <w:rPr>
                <w:rFonts w:hint="eastAsia"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t>氮氧化物</w:t>
            </w:r>
          </w:p>
        </w:tc>
        <w:tc>
          <w:tcPr>
            <w:tcW w:w="1984" w:type="dxa"/>
            <w:noWrap w:val="0"/>
            <w:vAlign w:val="center"/>
          </w:tcPr>
          <w:p w14:paraId="21F3BCD6">
            <w:pPr>
              <w:adjustRightInd w:val="0"/>
              <w:snapToGrid w:val="0"/>
              <w:jc w:val="cente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静电</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除尘器</w:t>
            </w:r>
            <w:r>
              <w:rPr>
                <w:rFonts w:hint="eastAsia" w:cs="Times New Roman"/>
                <w:color w:val="000000" w:themeColor="text1"/>
                <w:sz w:val="24"/>
                <w:szCs w:val="24"/>
                <w:highlight w:val="none"/>
                <w:lang w:val="en-US" w:eastAsia="zh-CN"/>
                <w14:textFill>
                  <w14:solidFill>
                    <w14:schemeClr w14:val="tx1"/>
                  </w14:solidFill>
                </w14:textFill>
              </w:rPr>
              <w:t>+15m高排气筒高空排放</w:t>
            </w:r>
          </w:p>
        </w:tc>
        <w:tc>
          <w:tcPr>
            <w:tcW w:w="2180" w:type="dxa"/>
            <w:noWrap w:val="0"/>
            <w:vAlign w:val="center"/>
          </w:tcPr>
          <w:p w14:paraId="75DF6A5A">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《新疆维吾尔自治区工业炉窑大气污染综合治理实施方案》（新大气发〔2019〕127号）中重点区域工业炉窑大气排放浓度限值</w:t>
            </w:r>
          </w:p>
        </w:tc>
      </w:tr>
      <w:tr w14:paraId="043105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1559" w:type="dxa"/>
            <w:vMerge w:val="continue"/>
            <w:noWrap w:val="0"/>
            <w:vAlign w:val="center"/>
          </w:tcPr>
          <w:p w14:paraId="42016D81">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64F04D54">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厂内无</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组织</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废气</w:t>
            </w:r>
          </w:p>
        </w:tc>
        <w:tc>
          <w:tcPr>
            <w:tcW w:w="1200" w:type="dxa"/>
            <w:noWrap w:val="0"/>
            <w:vAlign w:val="center"/>
          </w:tcPr>
          <w:p w14:paraId="2FDF61DD">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VOCs（非甲烷总烃计）</w:t>
            </w:r>
          </w:p>
        </w:tc>
        <w:tc>
          <w:tcPr>
            <w:tcW w:w="1984" w:type="dxa"/>
            <w:vMerge w:val="restart"/>
            <w:noWrap w:val="0"/>
            <w:vAlign w:val="center"/>
          </w:tcPr>
          <w:p w14:paraId="32F43F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①</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强化废气有组织收集，削减粉尘无组织逸散</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6F7E41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②保持炭化炉至储气柜负压，定期维保实现密闭输气</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5821A8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③储气柜大小呼吸废气分别引至热风炉焚烧处理</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17AEDF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④储气柜密闭配套调压放散，巡检+气体报警控制检修、故障微量逸散</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500F9C6A">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⑤加强厂区内绿化</w:t>
            </w:r>
          </w:p>
        </w:tc>
        <w:tc>
          <w:tcPr>
            <w:tcW w:w="2180" w:type="dxa"/>
            <w:noWrap w:val="0"/>
            <w:vAlign w:val="center"/>
          </w:tcPr>
          <w:p w14:paraId="25CBAD11">
            <w:pPr>
              <w:pStyle w:val="13"/>
              <w:keepNext w:val="0"/>
              <w:keepLines w:val="0"/>
              <w:pageBreakBefore w:val="0"/>
              <w:kinsoku/>
              <w:wordWrap/>
              <w:overflowPunct/>
              <w:topLinePunct w:val="0"/>
              <w:autoSpaceDE/>
              <w:autoSpaceDN/>
              <w:bidi w:val="0"/>
              <w:adjustRightInd w:val="0"/>
              <w:snapToGrid w:val="0"/>
              <w:spacing w:before="0" w:beforeLines="0" w:after="0" w:afterLines="0" w:line="240" w:lineRule="auto"/>
              <w:ind w:left="0" w:leftChars="0" w:firstLine="0" w:firstLineChars="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《挥发性有机物无组织排放控制标准》（GB37822-2019）表A.1厂区内VOCs无组织排放限值</w:t>
            </w:r>
          </w:p>
        </w:tc>
      </w:tr>
      <w:tr w14:paraId="4CE578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59" w:type="dxa"/>
            <w:vMerge w:val="continue"/>
            <w:noWrap w:val="0"/>
            <w:vAlign w:val="center"/>
          </w:tcPr>
          <w:p w14:paraId="2C7C91A0">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c>
          <w:tcPr>
            <w:tcW w:w="1877" w:type="dxa"/>
            <w:noWrap w:val="0"/>
            <w:vAlign w:val="center"/>
          </w:tcPr>
          <w:p w14:paraId="1090DB09">
            <w:pPr>
              <w:adjustRightInd w:val="0"/>
              <w:snapToGrid w:val="0"/>
              <w:jc w:val="cente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厂界无</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组织</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废气</w:t>
            </w:r>
          </w:p>
        </w:tc>
        <w:tc>
          <w:tcPr>
            <w:tcW w:w="1200" w:type="dxa"/>
            <w:noWrap w:val="0"/>
            <w:vAlign w:val="center"/>
          </w:tcPr>
          <w:p w14:paraId="13932DA6">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jc w:val="center"/>
              <w:textAlignment w:val="auto"/>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VOCs</w:t>
            </w:r>
          </w:p>
          <w:p w14:paraId="30516994">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（非甲烷总烃计）</w:t>
            </w:r>
            <w:r>
              <w:rPr>
                <w:rFonts w:hint="eastAsia" w:cs="Times New Roman"/>
                <w:snapToGrid w:val="0"/>
                <w:color w:val="000000" w:themeColor="text1"/>
                <w:kern w:val="21"/>
                <w:sz w:val="24"/>
                <w:szCs w:val="24"/>
                <w:highlight w:val="none"/>
                <w:lang w:val="en-US" w:eastAsia="zh-CN"/>
                <w14:textFill>
                  <w14:solidFill>
                    <w14:schemeClr w14:val="tx1"/>
                  </w14:solidFill>
                </w14:textFill>
              </w:rPr>
              <w:t>、TSP</w:t>
            </w:r>
          </w:p>
        </w:tc>
        <w:tc>
          <w:tcPr>
            <w:tcW w:w="1984" w:type="dxa"/>
            <w:vMerge w:val="continue"/>
            <w:noWrap w:val="0"/>
            <w:vAlign w:val="center"/>
          </w:tcPr>
          <w:p w14:paraId="54A89BF5">
            <w:pPr>
              <w:adjustRightInd w:val="0"/>
              <w:snapToGrid w:val="0"/>
              <w:jc w:val="cente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p>
        </w:tc>
        <w:tc>
          <w:tcPr>
            <w:tcW w:w="2180" w:type="dxa"/>
            <w:noWrap w:val="0"/>
            <w:vAlign w:val="center"/>
          </w:tcPr>
          <w:p w14:paraId="2D7F39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《大气污染物综合排放标准》（GB16297-1996）中表2二级标准排放限值</w:t>
            </w:r>
          </w:p>
        </w:tc>
      </w:tr>
      <w:tr w14:paraId="37CA30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61" w:hRule="atLeast"/>
          <w:jc w:val="center"/>
        </w:trPr>
        <w:tc>
          <w:tcPr>
            <w:tcW w:w="1559" w:type="dxa"/>
            <w:noWrap w:val="0"/>
            <w:vAlign w:val="center"/>
          </w:tcPr>
          <w:p w14:paraId="23744245">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地表水环境</w:t>
            </w:r>
          </w:p>
        </w:tc>
        <w:tc>
          <w:tcPr>
            <w:tcW w:w="1877" w:type="dxa"/>
            <w:noWrap w:val="0"/>
            <w:vAlign w:val="center"/>
          </w:tcPr>
          <w:p w14:paraId="09AB36FF">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生活污水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（DW001）</w:t>
            </w:r>
          </w:p>
        </w:tc>
        <w:tc>
          <w:tcPr>
            <w:tcW w:w="1200" w:type="dxa"/>
            <w:noWrap w:val="0"/>
            <w:vAlign w:val="center"/>
          </w:tcPr>
          <w:p w14:paraId="7C479F5F">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pH、SS、</w:t>
            </w:r>
          </w:p>
          <w:p w14:paraId="55CA71F9">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COD</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cr</w:t>
            </w:r>
            <w:r>
              <w:rPr>
                <w:rFonts w:hint="default" w:ascii="Times New Roman" w:hAnsi="Times New Roman" w:eastAsia="宋体" w:cs="Times New Roman"/>
                <w:color w:val="000000" w:themeColor="text1"/>
                <w:sz w:val="24"/>
                <w:szCs w:val="24"/>
                <w:highlight w:val="none"/>
                <w14:textFill>
                  <w14:solidFill>
                    <w14:schemeClr w14:val="tx1"/>
                  </w14:solidFill>
                </w14:textFill>
              </w:rPr>
              <w:t>、BOD</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、NH</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-N</w:t>
            </w:r>
          </w:p>
        </w:tc>
        <w:tc>
          <w:tcPr>
            <w:tcW w:w="1984" w:type="dxa"/>
            <w:noWrap w:val="0"/>
            <w:vAlign w:val="center"/>
          </w:tcPr>
          <w:p w14:paraId="1CAF0399">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生活污水排入厂区防渗化粪池，定期由吸污车上门清运至</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呼图壁县工业园区化工园污水处理厂</w:t>
            </w:r>
          </w:p>
        </w:tc>
        <w:tc>
          <w:tcPr>
            <w:tcW w:w="2180" w:type="dxa"/>
            <w:noWrap w:val="0"/>
            <w:vAlign w:val="center"/>
          </w:tcPr>
          <w:p w14:paraId="3A83BBF3">
            <w:pPr>
              <w:adjustRightInd w:val="0"/>
              <w:snapToGrid w:val="0"/>
              <w:jc w:val="cente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《污水综合排放标准》（GB8978-1996）表4中三级标准</w:t>
            </w:r>
          </w:p>
        </w:tc>
      </w:tr>
      <w:tr w14:paraId="3187D9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9" w:type="dxa"/>
            <w:noWrap w:val="0"/>
            <w:vAlign w:val="center"/>
          </w:tcPr>
          <w:p w14:paraId="37CF2943">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声环境</w:t>
            </w:r>
          </w:p>
        </w:tc>
        <w:tc>
          <w:tcPr>
            <w:tcW w:w="1877" w:type="dxa"/>
            <w:noWrap w:val="0"/>
            <w:vAlign w:val="center"/>
          </w:tcPr>
          <w:p w14:paraId="0E0D1DF3">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破碎机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设备</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等</w:t>
            </w:r>
          </w:p>
        </w:tc>
        <w:tc>
          <w:tcPr>
            <w:tcW w:w="1200" w:type="dxa"/>
            <w:noWrap w:val="0"/>
            <w:vAlign w:val="center"/>
          </w:tcPr>
          <w:p w14:paraId="37BED39E">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等效连续A声级</w:t>
            </w:r>
          </w:p>
        </w:tc>
        <w:tc>
          <w:tcPr>
            <w:tcW w:w="1984" w:type="dxa"/>
            <w:noWrap w:val="0"/>
            <w:vAlign w:val="center"/>
          </w:tcPr>
          <w:p w14:paraId="0806143E">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产噪设备置于室内，基础减震、</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墙体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隔声</w:t>
            </w:r>
          </w:p>
        </w:tc>
        <w:tc>
          <w:tcPr>
            <w:tcW w:w="2180" w:type="dxa"/>
            <w:noWrap w:val="0"/>
            <w:vAlign w:val="center"/>
          </w:tcPr>
          <w:p w14:paraId="776F40B1">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《工业企业厂界环境噪声排放标准》</w:t>
            </w:r>
          </w:p>
          <w:p w14:paraId="3D10BDD4">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（GB12348-2008）</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类</w:t>
            </w:r>
          </w:p>
        </w:tc>
      </w:tr>
      <w:tr w14:paraId="381649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59" w:type="dxa"/>
            <w:noWrap w:val="0"/>
            <w:vAlign w:val="center"/>
          </w:tcPr>
          <w:p w14:paraId="515C4A80">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电磁辐射</w:t>
            </w:r>
          </w:p>
        </w:tc>
        <w:tc>
          <w:tcPr>
            <w:tcW w:w="1877" w:type="dxa"/>
            <w:noWrap w:val="0"/>
            <w:vAlign w:val="center"/>
          </w:tcPr>
          <w:p w14:paraId="4564D39F">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c>
          <w:tcPr>
            <w:tcW w:w="1200" w:type="dxa"/>
            <w:noWrap w:val="0"/>
            <w:vAlign w:val="center"/>
          </w:tcPr>
          <w:p w14:paraId="1373687A">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c>
          <w:tcPr>
            <w:tcW w:w="1984" w:type="dxa"/>
            <w:noWrap w:val="0"/>
            <w:vAlign w:val="center"/>
          </w:tcPr>
          <w:p w14:paraId="44F4F8F3">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c>
          <w:tcPr>
            <w:tcW w:w="2180" w:type="dxa"/>
            <w:noWrap w:val="0"/>
            <w:vAlign w:val="center"/>
          </w:tcPr>
          <w:p w14:paraId="0A1577FE">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r>
      <w:tr w14:paraId="37FA0A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59" w:type="dxa"/>
            <w:noWrap w:val="0"/>
            <w:vAlign w:val="center"/>
          </w:tcPr>
          <w:p w14:paraId="27D7345F">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固体废物</w:t>
            </w:r>
          </w:p>
        </w:tc>
        <w:tc>
          <w:tcPr>
            <w:tcW w:w="7241" w:type="dxa"/>
            <w:gridSpan w:val="4"/>
            <w:noWrap w:val="0"/>
            <w:vAlign w:val="center"/>
          </w:tcPr>
          <w:p w14:paraId="66CF774B">
            <w:pPr>
              <w:adjustRightInd w:val="0"/>
              <w:snapToGrid w:val="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①</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危险废物：废润滑油</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废润滑油桶</w:t>
            </w:r>
            <w:r>
              <w:rPr>
                <w:rFonts w:hint="eastAsia" w:cs="Times New Roman"/>
                <w:color w:val="000000" w:themeColor="text1"/>
                <w:sz w:val="24"/>
                <w:szCs w:val="24"/>
                <w:highlight w:val="none"/>
                <w:lang w:val="en-US" w:eastAsia="zh-CN"/>
                <w14:textFill>
                  <w14:solidFill>
                    <w14:schemeClr w14:val="tx1"/>
                  </w14:solidFill>
                </w14:textFill>
              </w:rPr>
              <w:t>及含油废抹布分类集中收集后</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暂存于危废贮存库，定期委托有危废处理资质的单位清运处置；</w:t>
            </w:r>
          </w:p>
          <w:p w14:paraId="4A068D72">
            <w:pPr>
              <w:adjustRightInd w:val="0"/>
              <w:snapToGrid w:val="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②一般</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工业</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固废：土块及石子：统一移交农户，运至低洼地块进行填埋处理；除尘灰：全部回用于生产线；废包装物：外售；</w:t>
            </w:r>
          </w:p>
          <w:p w14:paraId="63C560BC">
            <w:pPr>
              <w:adjustRightInd w:val="0"/>
              <w:snapToGrid w:val="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③</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生活垃圾：集中收集后委托环卫部门处理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r>
      <w:tr w14:paraId="13B342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559" w:type="dxa"/>
            <w:noWrap w:val="0"/>
            <w:vAlign w:val="center"/>
          </w:tcPr>
          <w:p w14:paraId="67DCD31C">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土壤及地下水污染防治措施</w:t>
            </w:r>
          </w:p>
        </w:tc>
        <w:tc>
          <w:tcPr>
            <w:tcW w:w="7241" w:type="dxa"/>
            <w:gridSpan w:val="4"/>
            <w:noWrap w:val="0"/>
            <w:vAlign w:val="center"/>
          </w:tcPr>
          <w:p w14:paraId="38C7619B">
            <w:pPr>
              <w:adjustRightInd w:val="0"/>
              <w:snapToGrid w:val="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采取分区防渗</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：重点防渗区：危废贮存库、液体肥车间、不锈钢中转储罐</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事故池</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；一般防渗区：碳化车间、固体肥车间、热储能车间、</w:t>
            </w:r>
            <w:r>
              <w:rPr>
                <w:rFonts w:hint="eastAsia" w:cs="Times New Roman"/>
                <w:color w:val="000000" w:themeColor="text1"/>
                <w:sz w:val="24"/>
                <w:szCs w:val="24"/>
                <w:highlight w:val="none"/>
                <w:lang w:val="en-US" w:eastAsia="zh-CN"/>
                <w14:textFill>
                  <w14:solidFill>
                    <w14:schemeClr w14:val="tx1"/>
                  </w14:solidFill>
                </w14:textFill>
              </w:rPr>
              <w:t>成品车间、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化粪池、库房、办公楼；简单防渗区：厂区运输道路。</w:t>
            </w:r>
          </w:p>
        </w:tc>
      </w:tr>
      <w:tr w14:paraId="4F8948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559" w:type="dxa"/>
            <w:noWrap w:val="0"/>
            <w:vAlign w:val="center"/>
          </w:tcPr>
          <w:p w14:paraId="6A42EA93">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生态保护措施</w:t>
            </w:r>
          </w:p>
        </w:tc>
        <w:tc>
          <w:tcPr>
            <w:tcW w:w="7241" w:type="dxa"/>
            <w:gridSpan w:val="4"/>
            <w:noWrap w:val="0"/>
            <w:vAlign w:val="center"/>
          </w:tcPr>
          <w:p w14:paraId="7BA477B6">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r>
      <w:tr w14:paraId="637FA0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25" w:hRule="atLeast"/>
          <w:jc w:val="center"/>
        </w:trPr>
        <w:tc>
          <w:tcPr>
            <w:tcW w:w="1559" w:type="dxa"/>
            <w:noWrap w:val="0"/>
            <w:vAlign w:val="center"/>
          </w:tcPr>
          <w:p w14:paraId="38A1B427">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环境风险</w:t>
            </w:r>
          </w:p>
          <w:p w14:paraId="17DE4DDF">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防范措施</w:t>
            </w:r>
          </w:p>
        </w:tc>
        <w:tc>
          <w:tcPr>
            <w:tcW w:w="7241" w:type="dxa"/>
            <w:gridSpan w:val="4"/>
            <w:noWrap w:val="0"/>
            <w:vAlign w:val="center"/>
          </w:tcPr>
          <w:p w14:paraId="384CD7E7">
            <w:pPr>
              <w:adjustRightInd w:val="0"/>
              <w:snapToGrid w:val="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①危废贮存库、液体肥车间、不锈钢中转储罐</w:t>
            </w:r>
            <w:r>
              <w:rPr>
                <w:rFonts w:hint="eastAsia" w:cs="Times New Roman"/>
                <w:color w:val="000000" w:themeColor="text1"/>
                <w:sz w:val="24"/>
                <w:szCs w:val="24"/>
                <w:highlight w:val="none"/>
                <w:lang w:val="en-US" w:eastAsia="zh-CN"/>
                <w14:textFill>
                  <w14:solidFill>
                    <w14:schemeClr w14:val="tx1"/>
                  </w14:solidFill>
                </w14:textFill>
              </w:rPr>
              <w:t>及事故池，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按要求进行重点防渗，人员定期巡查</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规范危险废物管理流程</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3A221DE5">
            <w:pPr>
              <w:adjustRightInd w:val="0"/>
              <w:snapToGrid w:val="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②农林秸秆废弃物破碎车间、碳化车间、固体肥车间、液体肥车间、热储能车间、危废贮存库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内配备相应数量的灭火器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及灭火沙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，并定期对灭火器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及灭火沙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的质量进行检查</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02DB0B4F">
            <w:pPr>
              <w:adjustRightInd w:val="0"/>
              <w:snapToGrid w:val="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③加强员工的整体消防安全意识，提高其处理突发事件的能力</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30FBB07E">
            <w:pPr>
              <w:adjustRightInd w:val="0"/>
              <w:snapToGrid w:val="0"/>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④</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项目区内严禁吸烟和使用明火</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2A878956">
            <w:pPr>
              <w:adjustRightInd w:val="0"/>
              <w:snapToGrid w:val="0"/>
              <w:jc w:val="left"/>
              <w:rPr>
                <w:rFonts w:hint="default"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⑤编制</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环境</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应急预案</w:t>
            </w: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并定期演练。</w:t>
            </w:r>
          </w:p>
        </w:tc>
      </w:tr>
      <w:tr w14:paraId="6A06A5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6" w:hRule="atLeast"/>
          <w:jc w:val="center"/>
        </w:trPr>
        <w:tc>
          <w:tcPr>
            <w:tcW w:w="1559" w:type="dxa"/>
            <w:noWrap w:val="0"/>
            <w:vAlign w:val="center"/>
          </w:tcPr>
          <w:p w14:paraId="3A7902D2">
            <w:pPr>
              <w:adjustRightInd w:val="0"/>
              <w:snapToGrid w:val="0"/>
              <w:jc w:val="center"/>
              <w:rPr>
                <w:rFonts w:hint="default" w:ascii="Times New Roman" w:hAnsi="Times New Roman" w:eastAsia="宋体" w:cs="Times New Roman"/>
                <w:color w:val="000000" w:themeColor="text1"/>
                <w:spacing w:val="-8"/>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8"/>
                <w:sz w:val="24"/>
                <w:szCs w:val="24"/>
                <w:highlight w:val="none"/>
                <w14:textFill>
                  <w14:solidFill>
                    <w14:schemeClr w14:val="tx1"/>
                  </w14:solidFill>
                </w14:textFill>
              </w:rPr>
              <w:t>其他环境</w:t>
            </w:r>
          </w:p>
          <w:p w14:paraId="6E7C6BE6">
            <w:pPr>
              <w:adjustRightInd w:val="0"/>
              <w:snapToGrid w:val="0"/>
              <w:jc w:val="center"/>
              <w:rPr>
                <w:rFonts w:hint="default" w:ascii="Times New Roman" w:hAnsi="Times New Roman" w:eastAsia="宋体" w:cs="Times New Roman"/>
                <w:color w:val="000000" w:themeColor="text1"/>
                <w:spacing w:val="-8"/>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8"/>
                <w:sz w:val="24"/>
                <w:szCs w:val="24"/>
                <w:highlight w:val="none"/>
                <w14:textFill>
                  <w14:solidFill>
                    <w14:schemeClr w14:val="tx1"/>
                  </w14:solidFill>
                </w14:textFill>
              </w:rPr>
              <w:t>管理要求</w:t>
            </w:r>
          </w:p>
        </w:tc>
        <w:tc>
          <w:tcPr>
            <w:tcW w:w="7241" w:type="dxa"/>
            <w:gridSpan w:val="4"/>
            <w:noWrap w:val="0"/>
            <w:vAlign w:val="center"/>
          </w:tcPr>
          <w:p w14:paraId="15AEC8B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1、排污许可证</w:t>
            </w:r>
          </w:p>
          <w:p w14:paraId="49FD5953">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根据《固定污染源排污许可分类管理名录</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2019年版</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项目属</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“二十一、化学原料和化学制品制造业26—单纯混合、分装或者分选的氮肥制造2621；除单纯混合、分装或者分选以外的钾肥制造2623、有机肥料及微生物肥料制造2625、其他肥料制造2629”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，属</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简化</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管理。因此项目运营期实行排污许可</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简化</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管理，应当在启动生产设施或者发生实际排污之前申请取得排污许可证。</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取得排污许可证后，严格按照自行监测方案定期开展监测，确保污染物稳定达标，并及时提交排污许可证执行报告。</w:t>
            </w:r>
          </w:p>
          <w:p w14:paraId="27F3E5A9">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根据《排污许可管理条例》，申请时需提交以下材料：</w:t>
            </w:r>
          </w:p>
          <w:p w14:paraId="14592922">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（1）排污许可证申请表</w:t>
            </w:r>
          </w:p>
          <w:p w14:paraId="0EAA76F8">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需通过全国排污许可证管理信息平台下载并填写，包含单位基本信息、排放口位置、污染物种类及浓度等核心内容。</w:t>
            </w:r>
          </w:p>
          <w:p w14:paraId="3C9D49DC">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（2）自行监测方案</w:t>
            </w:r>
          </w:p>
          <w:p w14:paraId="5D8DCEF5">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明确监测点位、指标、频次及设备清单，确保符合国家自行监测规范要求。</w:t>
            </w:r>
          </w:p>
          <w:p w14:paraId="6BDB91C1">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（3）法定代表人或主要负责人签字盖章的承诺书</w:t>
            </w:r>
          </w:p>
          <w:p w14:paraId="348EDCDD">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承诺遵守排污许可规定，对材料真实性及合规排污责任负责。</w:t>
            </w:r>
          </w:p>
          <w:p w14:paraId="07BF61C3">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（4）排污口规范化情况说明</w:t>
            </w:r>
          </w:p>
          <w:p w14:paraId="7F34B844">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详细描述排污口设置位置、数量及排放去向，附厂区平面图标注。</w:t>
            </w:r>
          </w:p>
          <w:p w14:paraId="4C4DEF37">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（5）建设项目环境影响评价文件及批复</w:t>
            </w:r>
          </w:p>
          <w:p w14:paraId="0A377A02">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提供环评报告书（表）批准文件。</w:t>
            </w:r>
          </w:p>
          <w:p w14:paraId="1749F6E2">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建设单位应当建立环境管理台账制度，落实环境管理台账记录的责任部门和责任人，明确工作职责，包括台账的记录、整理、维护和管理等，并对台账的真实性、完整性和规范性负责。</w:t>
            </w:r>
          </w:p>
          <w:p w14:paraId="32CB8CE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、排污口规范化管理</w:t>
            </w:r>
          </w:p>
          <w:p w14:paraId="730998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本项目废气、废水排放口、噪声排放源、一般固体废物贮存场、危险废物贮存设施图形标志设置严格执行《环境保护图形标志</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排放口（源）》（GB15562.1</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1995）、《环境保护图形标志</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固体废物贮存（处置）场》（GB15562.2</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1995）及其修改单，危险废物识别标志执行《危险废物识别标志设置技术规范》（HJ 1276</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2022），排放口二维码标识执行《排污单位污染物排放口二维码标识技术规范》（HJ 1297</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2023），具体管理要求如下：</w:t>
            </w:r>
          </w:p>
          <w:p w14:paraId="66E66B5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（1）排放口立标与图形标志设置</w:t>
            </w:r>
          </w:p>
          <w:p w14:paraId="100DB6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①各污染物排放口及固废贮存场所，分别设置提示图形符号、警告图形符号环保标志牌；标志牌设置于靠近采样点、醒目位置，标志牌上边缘距离地面约2m；重点排放</w:t>
            </w:r>
            <w:bookmarkStart w:id="21" w:name="_GoBack"/>
            <w:bookmarkEnd w:id="21"/>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口优先采用立式标志牌，其余排放口可根据现场选用立式或平面固定式标志牌</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p>
          <w:p w14:paraId="1D3DD8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②污水排放口、废气排放口、噪声排放源、一般固体废物贮存场设置对应GB15562系列标准的提示、警告图形标牌；危险废物贮存设施按照HJ1276</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2022规范设置危险废物贮存设施标识标签，包含设施标识牌、危险废物标签，明确废物类别、危害信息</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p>
          <w:p w14:paraId="017384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③按照HJ 1297</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2023要求，在各主要污染物排放口标志牌上增设排污二维码标识，二维码包含排污单位基础信息、排放口编号、污染物种类、监测信息等内容，二维码标识规格、材质、粘贴位置符合规范要求，保证二维码清晰完整、可扫码识别。</w:t>
            </w:r>
          </w:p>
          <w:p w14:paraId="624A7B9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（2）排放口硬件设施要求</w:t>
            </w:r>
          </w:p>
          <w:p w14:paraId="4541E2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①向环境排放污染物的排放口必须规范化建设，废气排气装置配套设置便于采样、监测的采样孔、采样平台，采样平台、采样孔建设满足《污染源监测技术规范》要求，保障监测人员安全及采样操作</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p>
          <w:p w14:paraId="1DC549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②列入总量控制的污染物排放源作为管理重点，废水、废气排放口位置不得随意改动，确需改动应履行变更手续。</w:t>
            </w:r>
          </w:p>
          <w:p w14:paraId="23E8C1C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（3）排放口档案申报管理</w:t>
            </w:r>
          </w:p>
          <w:p w14:paraId="5DDA91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①如实向生态环境主管部门申报排污口数量、位置，以及所排放的主要污染物种类、数量、浓度、排放去向等信息</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p>
          <w:p w14:paraId="702E0E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②使用国家生态环境部门统一印制的《中华人民共和国规范化排污口标志登记证》，完整填写登记相关内容</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p>
          <w:p w14:paraId="05F8B8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③项目建成投产后，建立排放源管理档案，将主要污染物种类、数量、浓度、排放去向、立标情况、设施运行情况、二维码信息维护记录整理归档留存。</w:t>
            </w:r>
          </w:p>
          <w:p w14:paraId="659A27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（4）日常运维管理要求</w:t>
            </w:r>
          </w:p>
          <w:p w14:paraId="1F98A5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①定期检查环保图形标志牌、危险废物标识、排污二维码标牌完好情况，出现破损、褪色、丢失时及时修复更换，保证标识清晰可见，二维码可正常识别</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p>
          <w:p w14:paraId="2936B3A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②严禁私自拆除、挪动、涂改排放口标志牌及二维码标识；排放口、固废贮存场不得随意改动位置</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w:t>
            </w:r>
          </w:p>
          <w:p w14:paraId="16A48C1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③将排放口、标识标牌、二维码维护纳入厂区环境管理制度，落实岗位责任人，建立巡检维护台账。</w:t>
            </w:r>
          </w:p>
          <w:p w14:paraId="4F65C5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（5）固体废物贮存场标识专项要求</w:t>
            </w:r>
          </w:p>
          <w:p w14:paraId="5985BC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一般工业固体废物贮存场执行GB15562.2</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1995，设置一般固废提示、警告标识；危险废物贮存区域严格落实HJ1276</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noBreakHyphen/>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2022，设施标识牌、包装物标签完整，区分不同危险废物类别，标注危险特性；同步配套排污二维码，实现固废贮存设施信息可查询。</w:t>
            </w:r>
          </w:p>
          <w:p w14:paraId="75ECBE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部分相关环境保护图形标志见下表：</w:t>
            </w:r>
          </w:p>
          <w:p w14:paraId="711DE8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宋体"/>
                <w:b/>
                <w:snapToGrid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宋体"/>
                <w:b/>
                <w:snapToGrid w:val="0"/>
                <w:color w:val="000000" w:themeColor="text1"/>
                <w:kern w:val="0"/>
                <w:sz w:val="21"/>
                <w:szCs w:val="21"/>
                <w:highlight w:val="none"/>
                <w:lang w:val="en-US" w:eastAsia="zh-CN" w:bidi="ar-SA"/>
                <w14:textFill>
                  <w14:solidFill>
                    <w14:schemeClr w14:val="tx1"/>
                  </w14:solidFill>
                </w14:textFill>
              </w:rPr>
              <w:t>表5-1  环境保护图形标志一览表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
            <w:tblGrid>
              <w:gridCol w:w="2121"/>
              <w:gridCol w:w="2483"/>
              <w:gridCol w:w="2420"/>
            </w:tblGrid>
            <w:tr w14:paraId="761A426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blHeader/>
                <w:jc w:val="center"/>
              </w:trPr>
              <w:tc>
                <w:tcPr>
                  <w:tcW w:w="1510" w:type="pct"/>
                  <w:tcBorders>
                    <w:tl2br w:val="nil"/>
                    <w:tr2bl w:val="nil"/>
                  </w:tcBorders>
                  <w:noWrap w:val="0"/>
                  <w:vAlign w:val="center"/>
                </w:tcPr>
                <w:p w14:paraId="2876F6B0">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名称</w:t>
                  </w:r>
                </w:p>
              </w:tc>
              <w:tc>
                <w:tcPr>
                  <w:tcW w:w="1767" w:type="pct"/>
                  <w:tcBorders>
                    <w:tl2br w:val="nil"/>
                    <w:tr2bl w:val="nil"/>
                  </w:tcBorders>
                  <w:noWrap w:val="0"/>
                  <w:vAlign w:val="center"/>
                </w:tcPr>
                <w:p w14:paraId="1179C72B">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提示图形符号</w:t>
                  </w:r>
                </w:p>
              </w:tc>
              <w:tc>
                <w:tcPr>
                  <w:tcW w:w="1723" w:type="pct"/>
                  <w:tcBorders>
                    <w:tl2br w:val="nil"/>
                    <w:tr2bl w:val="nil"/>
                  </w:tcBorders>
                  <w:noWrap w:val="0"/>
                  <w:vAlign w:val="center"/>
                </w:tcPr>
                <w:p w14:paraId="038B25D0">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警告图形符号</w:t>
                  </w:r>
                </w:p>
              </w:tc>
            </w:tr>
            <w:tr w14:paraId="2C7796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510" w:type="pct"/>
                  <w:tcBorders>
                    <w:tl2br w:val="nil"/>
                    <w:tr2bl w:val="nil"/>
                  </w:tcBorders>
                  <w:noWrap w:val="0"/>
                  <w:vAlign w:val="center"/>
                </w:tcPr>
                <w:p w14:paraId="5343EC5C">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污水排放口</w:t>
                  </w:r>
                </w:p>
              </w:tc>
              <w:tc>
                <w:tcPr>
                  <w:tcW w:w="1767" w:type="pct"/>
                  <w:tcBorders>
                    <w:tl2br w:val="nil"/>
                    <w:tr2bl w:val="nil"/>
                  </w:tcBorders>
                  <w:noWrap w:val="0"/>
                  <w:vAlign w:val="center"/>
                </w:tcPr>
                <w:p w14:paraId="08A635A4">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908050" cy="933450"/>
                        <wp:effectExtent l="0" t="0" r="6350" b="0"/>
                        <wp:docPr id="2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
                                <pic:cNvPicPr>
                                  <a:picLocks noChangeAspect="1"/>
                                </pic:cNvPicPr>
                              </pic:nvPicPr>
                              <pic:blipFill>
                                <a:blip r:embed="rId19"/>
                                <a:stretch>
                                  <a:fillRect/>
                                </a:stretch>
                              </pic:blipFill>
                              <pic:spPr>
                                <a:xfrm>
                                  <a:off x="0" y="0"/>
                                  <a:ext cx="908050" cy="933450"/>
                                </a:xfrm>
                                <a:prstGeom prst="rect">
                                  <a:avLst/>
                                </a:prstGeom>
                                <a:noFill/>
                                <a:ln>
                                  <a:noFill/>
                                </a:ln>
                              </pic:spPr>
                            </pic:pic>
                          </a:graphicData>
                        </a:graphic>
                      </wp:inline>
                    </w:drawing>
                  </w:r>
                </w:p>
              </w:tc>
              <w:tc>
                <w:tcPr>
                  <w:tcW w:w="1723" w:type="pct"/>
                  <w:tcBorders>
                    <w:tl2br w:val="nil"/>
                    <w:tr2bl w:val="nil"/>
                  </w:tcBorders>
                  <w:noWrap w:val="0"/>
                  <w:vAlign w:val="center"/>
                </w:tcPr>
                <w:p w14:paraId="65D59D08">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918845" cy="927100"/>
                        <wp:effectExtent l="0" t="0" r="14605" b="635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pic:cNvPicPr>
                              </pic:nvPicPr>
                              <pic:blipFill>
                                <a:blip r:embed="rId20"/>
                                <a:stretch>
                                  <a:fillRect/>
                                </a:stretch>
                              </pic:blipFill>
                              <pic:spPr>
                                <a:xfrm>
                                  <a:off x="0" y="0"/>
                                  <a:ext cx="918845" cy="927100"/>
                                </a:xfrm>
                                <a:prstGeom prst="rect">
                                  <a:avLst/>
                                </a:prstGeom>
                                <a:noFill/>
                                <a:ln>
                                  <a:noFill/>
                                </a:ln>
                              </pic:spPr>
                            </pic:pic>
                          </a:graphicData>
                        </a:graphic>
                      </wp:inline>
                    </w:drawing>
                  </w:r>
                </w:p>
              </w:tc>
            </w:tr>
            <w:tr w14:paraId="54931E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510" w:type="pct"/>
                  <w:tcBorders>
                    <w:tl2br w:val="nil"/>
                    <w:tr2bl w:val="nil"/>
                  </w:tcBorders>
                  <w:noWrap w:val="0"/>
                  <w:vAlign w:val="center"/>
                </w:tcPr>
                <w:p w14:paraId="2CF77715">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废气排放口</w:t>
                  </w:r>
                </w:p>
              </w:tc>
              <w:tc>
                <w:tcPr>
                  <w:tcW w:w="1767" w:type="pct"/>
                  <w:tcBorders>
                    <w:tl2br w:val="nil"/>
                    <w:tr2bl w:val="nil"/>
                  </w:tcBorders>
                  <w:noWrap w:val="0"/>
                  <w:vAlign w:val="center"/>
                </w:tcPr>
                <w:p w14:paraId="63A081D9">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934085" cy="934085"/>
                        <wp:effectExtent l="0" t="0" r="18415" b="18415"/>
                        <wp:docPr id="2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3"/>
                                <pic:cNvPicPr>
                                  <a:picLocks noChangeAspect="1"/>
                                </pic:cNvPicPr>
                              </pic:nvPicPr>
                              <pic:blipFill>
                                <a:blip r:embed="rId21"/>
                                <a:stretch>
                                  <a:fillRect/>
                                </a:stretch>
                              </pic:blipFill>
                              <pic:spPr>
                                <a:xfrm>
                                  <a:off x="0" y="0"/>
                                  <a:ext cx="934085" cy="934085"/>
                                </a:xfrm>
                                <a:prstGeom prst="rect">
                                  <a:avLst/>
                                </a:prstGeom>
                                <a:noFill/>
                                <a:ln>
                                  <a:noFill/>
                                </a:ln>
                              </pic:spPr>
                            </pic:pic>
                          </a:graphicData>
                        </a:graphic>
                      </wp:inline>
                    </w:drawing>
                  </w:r>
                </w:p>
              </w:tc>
              <w:tc>
                <w:tcPr>
                  <w:tcW w:w="1723" w:type="pct"/>
                  <w:tcBorders>
                    <w:tl2br w:val="nil"/>
                    <w:tr2bl w:val="nil"/>
                  </w:tcBorders>
                  <w:noWrap w:val="0"/>
                  <w:vAlign w:val="center"/>
                </w:tcPr>
                <w:p w14:paraId="1897BB91">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988695" cy="988695"/>
                        <wp:effectExtent l="0" t="0" r="1905" b="1905"/>
                        <wp:docPr id="5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4"/>
                                <pic:cNvPicPr>
                                  <a:picLocks noChangeAspect="1"/>
                                </pic:cNvPicPr>
                              </pic:nvPicPr>
                              <pic:blipFill>
                                <a:blip r:embed="rId22"/>
                                <a:stretch>
                                  <a:fillRect/>
                                </a:stretch>
                              </pic:blipFill>
                              <pic:spPr>
                                <a:xfrm>
                                  <a:off x="0" y="0"/>
                                  <a:ext cx="988695" cy="988695"/>
                                </a:xfrm>
                                <a:prstGeom prst="rect">
                                  <a:avLst/>
                                </a:prstGeom>
                                <a:noFill/>
                                <a:ln>
                                  <a:noFill/>
                                </a:ln>
                              </pic:spPr>
                            </pic:pic>
                          </a:graphicData>
                        </a:graphic>
                      </wp:inline>
                    </w:drawing>
                  </w:r>
                </w:p>
              </w:tc>
            </w:tr>
            <w:tr w14:paraId="4C051C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510" w:type="pct"/>
                  <w:tcBorders>
                    <w:tl2br w:val="nil"/>
                    <w:tr2bl w:val="nil"/>
                  </w:tcBorders>
                  <w:noWrap w:val="0"/>
                  <w:vAlign w:val="center"/>
                </w:tcPr>
                <w:p w14:paraId="3BA6941F">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噪声排放源</w:t>
                  </w:r>
                </w:p>
              </w:tc>
              <w:tc>
                <w:tcPr>
                  <w:tcW w:w="1767" w:type="pct"/>
                  <w:tcBorders>
                    <w:tl2br w:val="nil"/>
                    <w:tr2bl w:val="nil"/>
                  </w:tcBorders>
                  <w:noWrap w:val="0"/>
                  <w:vAlign w:val="center"/>
                </w:tcPr>
                <w:p w14:paraId="5F872EE7">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927100" cy="927100"/>
                        <wp:effectExtent l="0" t="0" r="6350" b="6350"/>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5"/>
                                <pic:cNvPicPr>
                                  <a:picLocks noChangeAspect="1"/>
                                </pic:cNvPicPr>
                              </pic:nvPicPr>
                              <pic:blipFill>
                                <a:blip r:embed="rId23"/>
                                <a:stretch>
                                  <a:fillRect/>
                                </a:stretch>
                              </pic:blipFill>
                              <pic:spPr>
                                <a:xfrm>
                                  <a:off x="0" y="0"/>
                                  <a:ext cx="927100" cy="927100"/>
                                </a:xfrm>
                                <a:prstGeom prst="rect">
                                  <a:avLst/>
                                </a:prstGeom>
                                <a:noFill/>
                                <a:ln>
                                  <a:noFill/>
                                </a:ln>
                              </pic:spPr>
                            </pic:pic>
                          </a:graphicData>
                        </a:graphic>
                      </wp:inline>
                    </w:drawing>
                  </w:r>
                </w:p>
              </w:tc>
              <w:tc>
                <w:tcPr>
                  <w:tcW w:w="1723" w:type="pct"/>
                  <w:tcBorders>
                    <w:tl2br w:val="nil"/>
                    <w:tr2bl w:val="nil"/>
                  </w:tcBorders>
                  <w:noWrap w:val="0"/>
                  <w:vAlign w:val="center"/>
                </w:tcPr>
                <w:p w14:paraId="43FB445C">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1006475" cy="879475"/>
                        <wp:effectExtent l="0" t="0" r="3175" b="15875"/>
                        <wp:docPr id="2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pic:cNvPicPr>
                                  <a:picLocks noChangeAspect="1"/>
                                </pic:cNvPicPr>
                              </pic:nvPicPr>
                              <pic:blipFill>
                                <a:blip r:embed="rId24"/>
                                <a:stretch>
                                  <a:fillRect/>
                                </a:stretch>
                              </pic:blipFill>
                              <pic:spPr>
                                <a:xfrm>
                                  <a:off x="0" y="0"/>
                                  <a:ext cx="1006475" cy="879475"/>
                                </a:xfrm>
                                <a:prstGeom prst="rect">
                                  <a:avLst/>
                                </a:prstGeom>
                                <a:noFill/>
                                <a:ln>
                                  <a:noFill/>
                                </a:ln>
                              </pic:spPr>
                            </pic:pic>
                          </a:graphicData>
                        </a:graphic>
                      </wp:inline>
                    </w:drawing>
                  </w:r>
                </w:p>
              </w:tc>
            </w:tr>
            <w:tr w14:paraId="77CBFF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510" w:type="pct"/>
                  <w:tcBorders>
                    <w:tl2br w:val="nil"/>
                    <w:tr2bl w:val="nil"/>
                  </w:tcBorders>
                  <w:noWrap w:val="0"/>
                  <w:vAlign w:val="center"/>
                </w:tcPr>
                <w:p w14:paraId="5E65B481">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一般固体废物</w:t>
                  </w:r>
                </w:p>
              </w:tc>
              <w:tc>
                <w:tcPr>
                  <w:tcW w:w="1767" w:type="pct"/>
                  <w:vMerge w:val="restart"/>
                  <w:tcBorders>
                    <w:tl2br w:val="nil"/>
                    <w:tr2bl w:val="nil"/>
                  </w:tcBorders>
                  <w:noWrap w:val="0"/>
                  <w:vAlign w:val="center"/>
                </w:tcPr>
                <w:p w14:paraId="346D3DF9">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1097280" cy="1114425"/>
                        <wp:effectExtent l="0" t="0" r="7620" b="9525"/>
                        <wp:docPr id="6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7"/>
                                <pic:cNvPicPr>
                                  <a:picLocks noChangeAspect="1"/>
                                </pic:cNvPicPr>
                              </pic:nvPicPr>
                              <pic:blipFill>
                                <a:blip r:embed="rId25"/>
                                <a:stretch>
                                  <a:fillRect/>
                                </a:stretch>
                              </pic:blipFill>
                              <pic:spPr>
                                <a:xfrm>
                                  <a:off x="0" y="0"/>
                                  <a:ext cx="1097280" cy="1114425"/>
                                </a:xfrm>
                                <a:prstGeom prst="rect">
                                  <a:avLst/>
                                </a:prstGeom>
                                <a:noFill/>
                                <a:ln>
                                  <a:noFill/>
                                </a:ln>
                              </pic:spPr>
                            </pic:pic>
                          </a:graphicData>
                        </a:graphic>
                      </wp:inline>
                    </w:drawing>
                  </w:r>
                </w:p>
              </w:tc>
              <w:tc>
                <w:tcPr>
                  <w:tcW w:w="1723" w:type="pct"/>
                  <w:tcBorders>
                    <w:tl2br w:val="nil"/>
                    <w:tr2bl w:val="nil"/>
                  </w:tcBorders>
                  <w:noWrap w:val="0"/>
                  <w:vAlign w:val="center"/>
                </w:tcPr>
                <w:p w14:paraId="0061503A">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1049020" cy="977265"/>
                        <wp:effectExtent l="0" t="0" r="17780" b="13335"/>
                        <wp:docPr id="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8"/>
                                <pic:cNvPicPr>
                                  <a:picLocks noChangeAspect="1"/>
                                </pic:cNvPicPr>
                              </pic:nvPicPr>
                              <pic:blipFill>
                                <a:blip r:embed="rId26"/>
                                <a:stretch>
                                  <a:fillRect/>
                                </a:stretch>
                              </pic:blipFill>
                              <pic:spPr>
                                <a:xfrm>
                                  <a:off x="0" y="0"/>
                                  <a:ext cx="1049020" cy="977265"/>
                                </a:xfrm>
                                <a:prstGeom prst="rect">
                                  <a:avLst/>
                                </a:prstGeom>
                                <a:noFill/>
                                <a:ln>
                                  <a:noFill/>
                                </a:ln>
                              </pic:spPr>
                            </pic:pic>
                          </a:graphicData>
                        </a:graphic>
                      </wp:inline>
                    </w:drawing>
                  </w:r>
                </w:p>
              </w:tc>
            </w:tr>
            <w:tr w14:paraId="1EBC0E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510" w:type="pct"/>
                  <w:tcBorders>
                    <w:tl2br w:val="nil"/>
                    <w:tr2bl w:val="nil"/>
                  </w:tcBorders>
                  <w:noWrap w:val="0"/>
                  <w:vAlign w:val="center"/>
                </w:tcPr>
                <w:p w14:paraId="0F57B5F3">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危险废物</w:t>
                  </w:r>
                </w:p>
              </w:tc>
              <w:tc>
                <w:tcPr>
                  <w:tcW w:w="1767" w:type="pct"/>
                  <w:vMerge w:val="continue"/>
                  <w:tcBorders>
                    <w:tl2br w:val="nil"/>
                    <w:tr2bl w:val="nil"/>
                  </w:tcBorders>
                  <w:noWrap w:val="0"/>
                  <w:vAlign w:val="center"/>
                </w:tcPr>
                <w:p w14:paraId="47A50B77">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23" w:type="pct"/>
                  <w:tcBorders>
                    <w:tl2br w:val="nil"/>
                    <w:tr2bl w:val="nil"/>
                  </w:tcBorders>
                  <w:noWrap w:val="0"/>
                  <w:vAlign w:val="center"/>
                </w:tcPr>
                <w:p w14:paraId="3C40879A">
                  <w:pPr>
                    <w:pStyle w:val="86"/>
                    <w:keepNext w:val="0"/>
                    <w:keepLines w:val="0"/>
                    <w:widowControl/>
                    <w:suppressLineNumbers w:val="0"/>
                    <w:bidi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1376045" cy="868045"/>
                        <wp:effectExtent l="0" t="0" r="14605" b="8255"/>
                        <wp:docPr id="6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9"/>
                                <pic:cNvPicPr>
                                  <a:picLocks noChangeAspect="1"/>
                                </pic:cNvPicPr>
                              </pic:nvPicPr>
                              <pic:blipFill>
                                <a:blip r:embed="rId27"/>
                                <a:stretch>
                                  <a:fillRect/>
                                </a:stretch>
                              </pic:blipFill>
                              <pic:spPr>
                                <a:xfrm>
                                  <a:off x="0" y="0"/>
                                  <a:ext cx="1376045" cy="868045"/>
                                </a:xfrm>
                                <a:prstGeom prst="rect">
                                  <a:avLst/>
                                </a:prstGeom>
                                <a:noFill/>
                                <a:ln>
                                  <a:noFill/>
                                </a:ln>
                              </pic:spPr>
                            </pic:pic>
                          </a:graphicData>
                        </a:graphic>
                      </wp:inline>
                    </w:drawing>
                  </w:r>
                </w:p>
              </w:tc>
            </w:tr>
          </w:tbl>
          <w:p w14:paraId="3191084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6FD6482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143075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7A7447D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69A788A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52ADDD8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4D3216F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0D1E13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487C9DF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CA3D26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0FC2A5F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0536D11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6DBC052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27A14A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63A456B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204F3D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8A35E5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16D6363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6DD7448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681A31C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9C8900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F8CAE0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59C15C7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E5B625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5530770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8A01BE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432A393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p w14:paraId="297E758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tc>
      </w:tr>
    </w:tbl>
    <w:p w14:paraId="0532CC92">
      <w:pPr>
        <w:pStyle w:val="27"/>
        <w:jc w:val="center"/>
        <w:outlineLvl w:val="0"/>
        <w:rPr>
          <w:rFonts w:hint="default" w:ascii="Times New Roman" w:hAnsi="Times New Roman" w:eastAsia="宋体" w:cs="Times New Roman"/>
          <w:snapToGrid w:val="0"/>
          <w:color w:val="000000" w:themeColor="text1"/>
          <w:sz w:val="30"/>
          <w:szCs w:val="30"/>
          <w14:textFill>
            <w14:solidFill>
              <w14:schemeClr w14:val="tx1"/>
            </w14:solidFill>
          </w14:textFill>
        </w:rPr>
      </w:pPr>
      <w:r>
        <w:rPr>
          <w:rFonts w:hint="default" w:ascii="Times New Roman" w:hAnsi="Times New Roman" w:eastAsia="宋体" w:cs="Times New Roman"/>
          <w:snapToGrid w:val="0"/>
          <w:color w:val="000000" w:themeColor="text1"/>
          <w14:textFill>
            <w14:solidFill>
              <w14:schemeClr w14:val="tx1"/>
            </w14:solidFill>
          </w14:textFill>
        </w:rPr>
        <w:br w:type="page"/>
      </w:r>
      <w:bookmarkStart w:id="18" w:name="_Toc6159"/>
      <w:r>
        <w:rPr>
          <w:rFonts w:hint="default" w:ascii="Times New Roman" w:hAnsi="Times New Roman" w:eastAsia="宋体" w:cs="Times New Roman"/>
          <w:b/>
          <w:bCs/>
          <w:snapToGrid w:val="0"/>
          <w:color w:val="000000" w:themeColor="text1"/>
          <w:sz w:val="30"/>
          <w:szCs w:val="30"/>
          <w14:textFill>
            <w14:solidFill>
              <w14:schemeClr w14:val="tx1"/>
            </w14:solidFill>
          </w14:textFill>
        </w:rPr>
        <w:t>六、结论</w:t>
      </w:r>
      <w:bookmarkEnd w:id="18"/>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2AAA7A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5FD6228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综上所述，项目建设符合相关产业政策，运营期产生的废气、废水以及固体废物等污染物，在采取评价提出的措施后能够达到污染物排放要求，对环境影响较小。在落实评价提出的各项环保治理措施、风险防范措施和应急措施后，可以将污染物排放和风险事故对环境的影响降到可控范围内，评价认为从环保角度分析本项目建设可行。</w:t>
            </w:r>
          </w:p>
        </w:tc>
      </w:tr>
    </w:tbl>
    <w:p w14:paraId="383BFA43">
      <w:pPr>
        <w:rPr>
          <w:rFonts w:hint="default" w:ascii="Times New Roman" w:hAnsi="Times New Roman" w:eastAsia="宋体" w:cs="Times New Roman"/>
          <w:color w:val="000000" w:themeColor="text1"/>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7AE333E">
      <w:pPr>
        <w:pStyle w:val="27"/>
        <w:adjustRightInd w:val="0"/>
        <w:snapToGrid w:val="0"/>
        <w:spacing w:before="0" w:beforeAutospacing="0" w:after="0" w:afterAutospacing="0" w:line="648" w:lineRule="auto"/>
        <w:outlineLvl w:val="0"/>
        <w:rPr>
          <w:rFonts w:hint="default" w:ascii="Times New Roman" w:hAnsi="Times New Roman" w:eastAsia="宋体" w:cs="Times New Roman"/>
          <w:snapToGrid w:val="0"/>
          <w:color w:val="000000" w:themeColor="text1"/>
          <w:sz w:val="32"/>
          <w:szCs w:val="32"/>
          <w14:textFill>
            <w14:solidFill>
              <w14:schemeClr w14:val="tx1"/>
            </w14:solidFill>
          </w14:textFill>
        </w:rPr>
      </w:pPr>
      <w:bookmarkStart w:id="19" w:name="_Toc29325"/>
      <w:r>
        <w:rPr>
          <w:rFonts w:hint="default" w:ascii="Times New Roman" w:hAnsi="Times New Roman" w:eastAsia="宋体" w:cs="Times New Roman"/>
          <w:snapToGrid w:val="0"/>
          <w:color w:val="000000" w:themeColor="text1"/>
          <w:sz w:val="32"/>
          <w:szCs w:val="32"/>
          <w14:textFill>
            <w14:solidFill>
              <w14:schemeClr w14:val="tx1"/>
            </w14:solidFill>
          </w14:textFill>
        </w:rPr>
        <w:t>附表</w:t>
      </w:r>
      <w:bookmarkEnd w:id="19"/>
    </w:p>
    <w:p w14:paraId="0B8DD753">
      <w:pPr>
        <w:pStyle w:val="27"/>
        <w:adjustRightInd w:val="0"/>
        <w:snapToGrid w:val="0"/>
        <w:spacing w:before="0" w:beforeAutospacing="0" w:after="0" w:afterAutospacing="0" w:line="552" w:lineRule="auto"/>
        <w:jc w:val="center"/>
        <w:outlineLvl w:val="0"/>
        <w:rPr>
          <w:rFonts w:hint="default" w:ascii="Times New Roman" w:hAnsi="Times New Roman" w:eastAsia="宋体" w:cs="Times New Roman"/>
          <w:snapToGrid w:val="0"/>
          <w:color w:val="000000" w:themeColor="text1"/>
          <w:sz w:val="38"/>
          <w:szCs w:val="38"/>
          <w14:textFill>
            <w14:solidFill>
              <w14:schemeClr w14:val="tx1"/>
            </w14:solidFill>
          </w14:textFill>
        </w:rPr>
      </w:pPr>
      <w:bookmarkStart w:id="20" w:name="_Toc21749"/>
      <w:r>
        <w:rPr>
          <w:rFonts w:hint="default" w:ascii="Times New Roman" w:hAnsi="Times New Roman" w:eastAsia="宋体" w:cs="Times New Roman"/>
          <w:snapToGrid w:val="0"/>
          <w:color w:val="000000" w:themeColor="text1"/>
          <w:sz w:val="38"/>
          <w:szCs w:val="38"/>
          <w14:textFill>
            <w14:solidFill>
              <w14:schemeClr w14:val="tx1"/>
            </w14:solidFill>
          </w14:textFill>
        </w:rPr>
        <w:t>建设项目污染物排放量汇总表</w:t>
      </w:r>
      <w:bookmarkEnd w:id="20"/>
    </w:p>
    <w:tbl>
      <w:tblPr>
        <w:tblStyle w:val="29"/>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367"/>
        <w:gridCol w:w="1288"/>
        <w:gridCol w:w="1250"/>
        <w:gridCol w:w="1400"/>
        <w:gridCol w:w="1850"/>
        <w:gridCol w:w="1264"/>
        <w:gridCol w:w="1759"/>
        <w:gridCol w:w="2070"/>
      </w:tblGrid>
      <w:tr w14:paraId="2210F6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40" w:type="dxa"/>
            <w:tcBorders>
              <w:tl2br w:val="single" w:color="auto" w:sz="4" w:space="0"/>
            </w:tcBorders>
            <w:noWrap w:val="0"/>
            <w:tcMar>
              <w:left w:w="28" w:type="dxa"/>
              <w:right w:w="28" w:type="dxa"/>
            </w:tcMar>
            <w:vAlign w:val="center"/>
          </w:tcPr>
          <w:p w14:paraId="057FA0E4">
            <w:pPr>
              <w:pStyle w:val="40"/>
              <w:spacing w:beforeLines="0" w:afterLines="0" w:line="240" w:lineRule="auto"/>
              <w:jc w:val="right"/>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项目</w:t>
            </w:r>
          </w:p>
          <w:p w14:paraId="1A3B78F5">
            <w:pPr>
              <w:pStyle w:val="40"/>
              <w:spacing w:beforeLines="0" w:afterLines="0" w:line="240" w:lineRule="auto"/>
              <w:jc w:val="left"/>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分类</w:t>
            </w:r>
          </w:p>
        </w:tc>
        <w:tc>
          <w:tcPr>
            <w:tcW w:w="1367" w:type="dxa"/>
            <w:noWrap w:val="0"/>
            <w:tcMar>
              <w:left w:w="28" w:type="dxa"/>
              <w:right w:w="28" w:type="dxa"/>
            </w:tcMar>
            <w:vAlign w:val="center"/>
          </w:tcPr>
          <w:p w14:paraId="14727405">
            <w:pPr>
              <w:pStyle w:val="40"/>
              <w:spacing w:beforeLines="0" w:afterLines="0" w:line="240" w:lineRule="auto"/>
              <w:jc w:val="cente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污染物名称</w:t>
            </w:r>
          </w:p>
        </w:tc>
        <w:tc>
          <w:tcPr>
            <w:tcW w:w="1288" w:type="dxa"/>
            <w:noWrap w:val="0"/>
            <w:tcMar>
              <w:left w:w="28" w:type="dxa"/>
              <w:right w:w="28" w:type="dxa"/>
            </w:tcMar>
            <w:vAlign w:val="center"/>
          </w:tcPr>
          <w:p w14:paraId="2619CCA3">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现有工程</w:t>
            </w:r>
          </w:p>
          <w:p w14:paraId="393D0F74">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排放量（固体废物产生量）</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instrText xml:space="preserve"> = 1 \* GB3 \* MERGEFORMAT </w:instrTex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①</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end"/>
            </w:r>
          </w:p>
        </w:tc>
        <w:tc>
          <w:tcPr>
            <w:tcW w:w="1250" w:type="dxa"/>
            <w:noWrap w:val="0"/>
            <w:tcMar>
              <w:left w:w="28" w:type="dxa"/>
              <w:right w:w="28" w:type="dxa"/>
            </w:tcMar>
            <w:vAlign w:val="center"/>
          </w:tcPr>
          <w:p w14:paraId="6B0E247E">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现有工程</w:t>
            </w:r>
          </w:p>
          <w:p w14:paraId="3A4D602A">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许可排放量</w:t>
            </w:r>
          </w:p>
          <w:p w14:paraId="480921D7">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instrText xml:space="preserve"> = 2 \* GB3 \* MERGEFORMAT </w:instrTex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②</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end"/>
            </w:r>
          </w:p>
        </w:tc>
        <w:tc>
          <w:tcPr>
            <w:tcW w:w="1400" w:type="dxa"/>
            <w:noWrap w:val="0"/>
            <w:tcMar>
              <w:left w:w="28" w:type="dxa"/>
              <w:right w:w="28" w:type="dxa"/>
            </w:tcMar>
            <w:vAlign w:val="center"/>
          </w:tcPr>
          <w:p w14:paraId="07E9EEEF">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在建工程</w:t>
            </w:r>
          </w:p>
          <w:p w14:paraId="2F3F8191">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排放量（固体废物产生量）</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instrText xml:space="preserve"> = 3 \* GB3 \* MERGEFORMAT </w:instrTex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③</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end"/>
            </w:r>
          </w:p>
        </w:tc>
        <w:tc>
          <w:tcPr>
            <w:tcW w:w="1850" w:type="dxa"/>
            <w:noWrap w:val="0"/>
            <w:tcMar>
              <w:left w:w="28" w:type="dxa"/>
              <w:right w:w="28" w:type="dxa"/>
            </w:tcMar>
            <w:vAlign w:val="center"/>
          </w:tcPr>
          <w:p w14:paraId="3020F6BB">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本项目排放量（固体废物产生量）</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instrText xml:space="preserve"> = 4 \* GB3 \* MERGEFORMAT </w:instrTex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④</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end"/>
            </w:r>
          </w:p>
        </w:tc>
        <w:tc>
          <w:tcPr>
            <w:tcW w:w="1264" w:type="dxa"/>
            <w:noWrap w:val="0"/>
            <w:tcMar>
              <w:left w:w="28" w:type="dxa"/>
              <w:right w:w="28" w:type="dxa"/>
            </w:tcMar>
            <w:vAlign w:val="center"/>
          </w:tcPr>
          <w:p w14:paraId="2D405425">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jc w:val="center"/>
              <w:textAlignment w:val="auto"/>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t>以新带老削减量（新建项目不填）</w:t>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instrText xml:space="preserve"> = 5 \* GB3 \* MERGEFORMAT </w:instrText>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⑤</w:t>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fldChar w:fldCharType="end"/>
            </w:r>
          </w:p>
        </w:tc>
        <w:tc>
          <w:tcPr>
            <w:tcW w:w="1759" w:type="dxa"/>
            <w:noWrap w:val="0"/>
            <w:tcMar>
              <w:left w:w="28" w:type="dxa"/>
              <w:right w:w="28" w:type="dxa"/>
            </w:tcMar>
            <w:vAlign w:val="center"/>
          </w:tcPr>
          <w:p w14:paraId="5A0182E6">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t>本项目建成后</w:t>
            </w:r>
          </w:p>
          <w:p w14:paraId="65253797">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t>全厂排放量（固体废物产生量）</w:t>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instrText xml:space="preserve"> = 6 \* GB3 \* MERGEFORMAT </w:instrText>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⑥</w:t>
            </w:r>
            <w:r>
              <w:rPr>
                <w:rFonts w:hint="default" w:ascii="Times New Roman" w:hAnsi="Times New Roman" w:eastAsia="宋体" w:cs="Times New Roman"/>
                <w:snapToGrid w:val="0"/>
                <w:color w:val="000000" w:themeColor="text1"/>
                <w:spacing w:val="-16"/>
                <w:kern w:val="21"/>
                <w:sz w:val="24"/>
                <w:szCs w:val="24"/>
                <w:highlight w:val="none"/>
                <w14:textFill>
                  <w14:solidFill>
                    <w14:schemeClr w14:val="tx1"/>
                  </w14:solidFill>
                </w14:textFill>
              </w:rPr>
              <w:fldChar w:fldCharType="end"/>
            </w:r>
          </w:p>
        </w:tc>
        <w:tc>
          <w:tcPr>
            <w:tcW w:w="2070" w:type="dxa"/>
            <w:noWrap w:val="0"/>
            <w:tcMar>
              <w:left w:w="28" w:type="dxa"/>
              <w:right w:w="28" w:type="dxa"/>
            </w:tcMar>
            <w:vAlign w:val="center"/>
          </w:tcPr>
          <w:p w14:paraId="3CEC3DC2">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t>变化量</w:t>
            </w:r>
          </w:p>
          <w:p w14:paraId="5DBB33DB">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textAlignment w:val="auto"/>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instrText xml:space="preserve"> = 7 \* GB3 \* MERGEFORMAT </w:instrTex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⑦</w:t>
            </w:r>
            <w:r>
              <w:rPr>
                <w:rFonts w:hint="default" w:ascii="Times New Roman" w:hAnsi="Times New Roman" w:eastAsia="宋体" w:cs="Times New Roman"/>
                <w:snapToGrid w:val="0"/>
                <w:color w:val="000000" w:themeColor="text1"/>
                <w:spacing w:val="-6"/>
                <w:kern w:val="21"/>
                <w:sz w:val="24"/>
                <w:szCs w:val="24"/>
                <w:highlight w:val="none"/>
                <w14:textFill>
                  <w14:solidFill>
                    <w14:schemeClr w14:val="tx1"/>
                  </w14:solidFill>
                </w14:textFill>
              </w:rPr>
              <w:fldChar w:fldCharType="end"/>
            </w:r>
          </w:p>
        </w:tc>
      </w:tr>
      <w:tr w14:paraId="618F05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restart"/>
            <w:noWrap w:val="0"/>
            <w:vAlign w:val="center"/>
          </w:tcPr>
          <w:p w14:paraId="5872BC4E">
            <w:pPr>
              <w:pStyle w:val="40"/>
              <w:spacing w:beforeLines="0" w:afterLines="0" w:line="240" w:lineRule="auto"/>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废气</w:t>
            </w:r>
          </w:p>
        </w:tc>
        <w:tc>
          <w:tcPr>
            <w:tcW w:w="1367" w:type="dxa"/>
            <w:noWrap w:val="0"/>
            <w:vAlign w:val="center"/>
          </w:tcPr>
          <w:p w14:paraId="6766AC75">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jc w:val="center"/>
              <w:textAlignment w:val="auto"/>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VOCs</w:t>
            </w:r>
          </w:p>
          <w:p w14:paraId="3B1B3D54">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jc w:val="center"/>
              <w:textAlignment w:val="auto"/>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（非甲烷总烃计）</w:t>
            </w:r>
          </w:p>
        </w:tc>
        <w:tc>
          <w:tcPr>
            <w:tcW w:w="1288" w:type="dxa"/>
            <w:noWrap w:val="0"/>
            <w:vAlign w:val="center"/>
          </w:tcPr>
          <w:p w14:paraId="3EF67885">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0D1B11C2">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3A195A82">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4AB37994">
            <w:pPr>
              <w:pStyle w:val="40"/>
              <w:spacing w:beforeLines="0" w:afterLines="0" w:line="240" w:lineRule="auto"/>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1.4199456</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1264" w:type="dxa"/>
            <w:noWrap w:val="0"/>
            <w:vAlign w:val="center"/>
          </w:tcPr>
          <w:p w14:paraId="39ABF54C">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4EE22F9A">
            <w:pPr>
              <w:spacing w:beforeLines="0" w:afterLines="0" w:line="240" w:lineRule="auto"/>
              <w:ind w:left="480" w:leftChars="0" w:hanging="480" w:hangingChars="20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1.4199456</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2070" w:type="dxa"/>
            <w:noWrap w:val="0"/>
            <w:vAlign w:val="center"/>
          </w:tcPr>
          <w:p w14:paraId="70951B0F">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+1.4199456</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r>
      <w:tr w14:paraId="78CF89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continue"/>
            <w:noWrap w:val="0"/>
            <w:vAlign w:val="center"/>
          </w:tcPr>
          <w:p w14:paraId="511809A6">
            <w:pPr>
              <w:pStyle w:val="40"/>
              <w:spacing w:beforeLines="0" w:afterLines="0" w:line="240" w:lineRule="auto"/>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p>
        </w:tc>
        <w:tc>
          <w:tcPr>
            <w:tcW w:w="1367" w:type="dxa"/>
            <w:noWrap w:val="0"/>
            <w:vAlign w:val="center"/>
          </w:tcPr>
          <w:p w14:paraId="399DB198">
            <w:pPr>
              <w:pStyle w:val="40"/>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firstLine="0" w:firstLineChars="0"/>
              <w:jc w:val="center"/>
              <w:textAlignment w:val="auto"/>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颗粒物</w:t>
            </w:r>
          </w:p>
        </w:tc>
        <w:tc>
          <w:tcPr>
            <w:tcW w:w="1288" w:type="dxa"/>
            <w:noWrap w:val="0"/>
            <w:vAlign w:val="center"/>
          </w:tcPr>
          <w:p w14:paraId="5D8FCD7F">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5BC5CFD9">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33069D57">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2641CF42">
            <w:pPr>
              <w:pStyle w:val="40"/>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2.760258568</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1264" w:type="dxa"/>
            <w:noWrap w:val="0"/>
            <w:vAlign w:val="center"/>
          </w:tcPr>
          <w:p w14:paraId="330D30EB">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05CE0670">
            <w:pPr>
              <w:pStyle w:val="40"/>
              <w:spacing w:beforeLines="0" w:afterLines="0" w:line="240" w:lineRule="auto"/>
              <w:ind w:left="480" w:leftChars="0" w:hanging="480" w:hangingChars="20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2.760258568t/a</w:t>
            </w:r>
          </w:p>
        </w:tc>
        <w:tc>
          <w:tcPr>
            <w:tcW w:w="2070" w:type="dxa"/>
            <w:noWrap w:val="0"/>
            <w:vAlign w:val="center"/>
          </w:tcPr>
          <w:p w14:paraId="33701B20">
            <w:pPr>
              <w:pStyle w:val="40"/>
              <w:spacing w:beforeLines="0" w:afterLines="0" w:line="240" w:lineRule="auto"/>
              <w:ind w:left="480" w:leftChars="0" w:hanging="480" w:hangingChars="20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+2.760258568t/a</w:t>
            </w:r>
          </w:p>
        </w:tc>
      </w:tr>
      <w:tr w14:paraId="04D201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restart"/>
            <w:noWrap w:val="0"/>
            <w:vAlign w:val="center"/>
          </w:tcPr>
          <w:p w14:paraId="57D0C709">
            <w:pPr>
              <w:pStyle w:val="40"/>
              <w:spacing w:beforeLines="0" w:afterLines="0" w:line="240" w:lineRule="auto"/>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t>废水</w:t>
            </w:r>
          </w:p>
        </w:tc>
        <w:tc>
          <w:tcPr>
            <w:tcW w:w="1367" w:type="dxa"/>
            <w:noWrap w:val="0"/>
            <w:vAlign w:val="center"/>
          </w:tcPr>
          <w:p w14:paraId="6846FD05">
            <w:pPr>
              <w:pStyle w:val="40"/>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废水量</w:t>
            </w:r>
          </w:p>
        </w:tc>
        <w:tc>
          <w:tcPr>
            <w:tcW w:w="1288" w:type="dxa"/>
            <w:noWrap w:val="0"/>
            <w:vAlign w:val="center"/>
          </w:tcPr>
          <w:p w14:paraId="1780A53D">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228D2C96">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43CA442D">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66B333D3">
            <w:pPr>
              <w:pStyle w:val="40"/>
              <w:spacing w:beforeLines="0" w:afterLines="0" w:line="240" w:lineRule="auto"/>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230.4</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1264" w:type="dxa"/>
            <w:noWrap w:val="0"/>
            <w:vAlign w:val="center"/>
          </w:tcPr>
          <w:p w14:paraId="136E745D">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68CFB7D3">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230.4</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2070" w:type="dxa"/>
            <w:noWrap w:val="0"/>
            <w:vAlign w:val="center"/>
          </w:tcPr>
          <w:p w14:paraId="442ACA40">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230.4</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r>
      <w:tr w14:paraId="0E70E3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continue"/>
            <w:noWrap w:val="0"/>
            <w:vAlign w:val="center"/>
          </w:tcPr>
          <w:p w14:paraId="156D2FA5">
            <w:pPr>
              <w:pStyle w:val="40"/>
              <w:spacing w:beforeLines="0" w:afterLines="0" w:line="240" w:lineRule="auto"/>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p>
        </w:tc>
        <w:tc>
          <w:tcPr>
            <w:tcW w:w="1367" w:type="dxa"/>
            <w:noWrap w:val="0"/>
            <w:vAlign w:val="center"/>
          </w:tcPr>
          <w:p w14:paraId="798A76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COD</w:t>
            </w:r>
            <w:r>
              <w:rPr>
                <w:rFonts w:hint="default" w:ascii="Times New Roman" w:hAnsi="Times New Roman" w:eastAsia="宋体" w:cs="Times New Roman"/>
                <w:color w:val="000000" w:themeColor="text1"/>
                <w:kern w:val="0"/>
                <w:sz w:val="24"/>
                <w:szCs w:val="24"/>
                <w:highlight w:val="none"/>
                <w:vertAlign w:val="subscript"/>
                <w:lang w:bidi="ar"/>
                <w14:textFill>
                  <w14:solidFill>
                    <w14:schemeClr w14:val="tx1"/>
                  </w14:solidFill>
                </w14:textFill>
              </w:rPr>
              <w:t>cr</w:t>
            </w:r>
          </w:p>
        </w:tc>
        <w:tc>
          <w:tcPr>
            <w:tcW w:w="1288" w:type="dxa"/>
            <w:noWrap w:val="0"/>
            <w:vAlign w:val="center"/>
          </w:tcPr>
          <w:p w14:paraId="3B868E18">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30305D3E">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729EC036">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7722A20F">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0.06912t/a</w:t>
            </w:r>
          </w:p>
        </w:tc>
        <w:tc>
          <w:tcPr>
            <w:tcW w:w="1264" w:type="dxa"/>
            <w:noWrap w:val="0"/>
            <w:vAlign w:val="center"/>
          </w:tcPr>
          <w:p w14:paraId="0A87DDD8">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4F72CC3E">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0.06912t/a</w:t>
            </w:r>
          </w:p>
        </w:tc>
        <w:tc>
          <w:tcPr>
            <w:tcW w:w="2070" w:type="dxa"/>
            <w:noWrap w:val="0"/>
            <w:vAlign w:val="center"/>
          </w:tcPr>
          <w:p w14:paraId="7FCD80DA">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0.06912t/a</w:t>
            </w:r>
          </w:p>
        </w:tc>
      </w:tr>
      <w:tr w14:paraId="6A8977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continue"/>
            <w:noWrap w:val="0"/>
            <w:vAlign w:val="center"/>
          </w:tcPr>
          <w:p w14:paraId="47D668B5">
            <w:pPr>
              <w:pStyle w:val="40"/>
              <w:spacing w:beforeLines="0" w:afterLines="0" w:line="240" w:lineRule="auto"/>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p>
        </w:tc>
        <w:tc>
          <w:tcPr>
            <w:tcW w:w="1367" w:type="dxa"/>
            <w:noWrap w:val="0"/>
            <w:vAlign w:val="center"/>
          </w:tcPr>
          <w:p w14:paraId="6B37A8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NH</w:t>
            </w:r>
            <w:r>
              <w:rPr>
                <w:color w:val="000000" w:themeColor="text1"/>
                <w:sz w:val="24"/>
                <w:szCs w:val="24"/>
                <w:highlight w:val="none"/>
                <w:vertAlign w:val="subscript"/>
                <w14:textFill>
                  <w14:solidFill>
                    <w14:schemeClr w14:val="tx1"/>
                  </w14:solidFill>
                </w14:textFill>
              </w:rPr>
              <w:t>3</w:t>
            </w:r>
            <w:r>
              <w:rPr>
                <w:color w:val="000000" w:themeColor="text1"/>
                <w:sz w:val="24"/>
                <w:szCs w:val="24"/>
                <w:highlight w:val="none"/>
                <w14:textFill>
                  <w14:solidFill>
                    <w14:schemeClr w14:val="tx1"/>
                  </w14:solidFill>
                </w14:textFill>
              </w:rPr>
              <w:t>-N</w:t>
            </w:r>
          </w:p>
        </w:tc>
        <w:tc>
          <w:tcPr>
            <w:tcW w:w="1288" w:type="dxa"/>
            <w:noWrap w:val="0"/>
            <w:vAlign w:val="center"/>
          </w:tcPr>
          <w:p w14:paraId="15E0A1C7">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627B4549">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2398323D">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045F3386">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0.00576t/a</w:t>
            </w:r>
          </w:p>
        </w:tc>
        <w:tc>
          <w:tcPr>
            <w:tcW w:w="1264" w:type="dxa"/>
            <w:noWrap w:val="0"/>
            <w:vAlign w:val="center"/>
          </w:tcPr>
          <w:p w14:paraId="3DAB9226">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0F568083">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0.00576t/a</w:t>
            </w:r>
          </w:p>
        </w:tc>
        <w:tc>
          <w:tcPr>
            <w:tcW w:w="2070" w:type="dxa"/>
            <w:noWrap w:val="0"/>
            <w:vAlign w:val="center"/>
          </w:tcPr>
          <w:p w14:paraId="31F59167">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0.00576t/a</w:t>
            </w:r>
          </w:p>
        </w:tc>
      </w:tr>
      <w:tr w14:paraId="056DC1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restart"/>
            <w:noWrap w:val="0"/>
            <w:vAlign w:val="center"/>
          </w:tcPr>
          <w:p w14:paraId="26BC1729">
            <w:pPr>
              <w:pStyle w:val="40"/>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一般工业</w:t>
            </w:r>
          </w:p>
          <w:p w14:paraId="7DACDBB2">
            <w:pPr>
              <w:pStyle w:val="40"/>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固体废物</w:t>
            </w:r>
          </w:p>
        </w:tc>
        <w:tc>
          <w:tcPr>
            <w:tcW w:w="1367" w:type="dxa"/>
            <w:noWrap w:val="0"/>
            <w:vAlign w:val="center"/>
          </w:tcPr>
          <w:p w14:paraId="4575FA72">
            <w:pPr>
              <w:pStyle w:val="40"/>
              <w:spacing w:beforeLines="0" w:afterLines="0" w:line="240" w:lineRule="auto"/>
              <w:jc w:val="both"/>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土块及石子</w:t>
            </w:r>
          </w:p>
        </w:tc>
        <w:tc>
          <w:tcPr>
            <w:tcW w:w="1288" w:type="dxa"/>
            <w:noWrap w:val="0"/>
            <w:vAlign w:val="center"/>
          </w:tcPr>
          <w:p w14:paraId="4C4D59DA">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374A1425">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018F293A">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4B9660D2">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5</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1264" w:type="dxa"/>
            <w:noWrap w:val="0"/>
            <w:vAlign w:val="center"/>
          </w:tcPr>
          <w:p w14:paraId="305B2DB9">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5E3B1067">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5</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2070" w:type="dxa"/>
            <w:noWrap w:val="0"/>
            <w:vAlign w:val="center"/>
          </w:tcPr>
          <w:p w14:paraId="65B375C5">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r>
              <w:rPr>
                <w:rFonts w:hint="eastAsia" w:cs="Times New Roman"/>
                <w:snapToGrid w:val="0"/>
                <w:color w:val="000000" w:themeColor="text1"/>
                <w:kern w:val="21"/>
                <w:sz w:val="24"/>
                <w:szCs w:val="24"/>
                <w:highlight w:val="none"/>
                <w:lang w:val="en-US" w:eastAsia="zh-CN"/>
                <w14:textFill>
                  <w14:solidFill>
                    <w14:schemeClr w14:val="tx1"/>
                  </w14:solidFill>
                </w14:textFill>
              </w:rPr>
              <w:t>5</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r>
      <w:tr w14:paraId="6E66BA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continue"/>
            <w:noWrap w:val="0"/>
            <w:vAlign w:val="center"/>
          </w:tcPr>
          <w:p w14:paraId="76795740">
            <w:pPr>
              <w:pStyle w:val="40"/>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p>
        </w:tc>
        <w:tc>
          <w:tcPr>
            <w:tcW w:w="1367" w:type="dxa"/>
            <w:noWrap w:val="0"/>
            <w:vAlign w:val="center"/>
          </w:tcPr>
          <w:p w14:paraId="37F7C1BB">
            <w:pPr>
              <w:pStyle w:val="40"/>
              <w:spacing w:beforeLines="0" w:afterLines="0" w:line="240" w:lineRule="auto"/>
              <w:jc w:val="both"/>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废包装材料</w:t>
            </w:r>
          </w:p>
        </w:tc>
        <w:tc>
          <w:tcPr>
            <w:tcW w:w="1288" w:type="dxa"/>
            <w:noWrap w:val="0"/>
            <w:vAlign w:val="center"/>
          </w:tcPr>
          <w:p w14:paraId="78133B43">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3F68AE91">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0CE19A29">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06868AFA">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0.1</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1264" w:type="dxa"/>
            <w:noWrap w:val="0"/>
            <w:vAlign w:val="center"/>
          </w:tcPr>
          <w:p w14:paraId="680478BF">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247D6D21">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0.1</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2070" w:type="dxa"/>
            <w:noWrap w:val="0"/>
            <w:vAlign w:val="center"/>
          </w:tcPr>
          <w:p w14:paraId="781544DC">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r>
              <w:rPr>
                <w:rFonts w:hint="eastAsia" w:cs="Times New Roman"/>
                <w:snapToGrid w:val="0"/>
                <w:color w:val="000000" w:themeColor="text1"/>
                <w:kern w:val="21"/>
                <w:sz w:val="24"/>
                <w:szCs w:val="24"/>
                <w:highlight w:val="none"/>
                <w:lang w:val="en-US" w:eastAsia="zh-CN"/>
                <w14:textFill>
                  <w14:solidFill>
                    <w14:schemeClr w14:val="tx1"/>
                  </w14:solidFill>
                </w14:textFill>
              </w:rPr>
              <w:t>0.1</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r>
      <w:tr w14:paraId="65F75C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continue"/>
            <w:noWrap w:val="0"/>
            <w:vAlign w:val="center"/>
          </w:tcPr>
          <w:p w14:paraId="558CF5CD">
            <w:pPr>
              <w:pStyle w:val="40"/>
              <w:spacing w:beforeLines="0" w:afterLines="0" w:line="240" w:lineRule="auto"/>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p>
        </w:tc>
        <w:tc>
          <w:tcPr>
            <w:tcW w:w="1367" w:type="dxa"/>
            <w:noWrap w:val="0"/>
            <w:vAlign w:val="center"/>
          </w:tcPr>
          <w:p w14:paraId="7670DD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除尘灰</w:t>
            </w:r>
          </w:p>
        </w:tc>
        <w:tc>
          <w:tcPr>
            <w:tcW w:w="1288" w:type="dxa"/>
            <w:noWrap w:val="0"/>
            <w:vAlign w:val="center"/>
          </w:tcPr>
          <w:p w14:paraId="41ABD1BF">
            <w:pPr>
              <w:spacing w:beforeLines="0" w:afterLines="0" w:line="240" w:lineRule="auto"/>
              <w:ind w:left="480" w:leftChars="0" w:hanging="480" w:hangingChars="20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1634747D">
            <w:pPr>
              <w:spacing w:beforeLines="0" w:afterLines="0" w:line="240" w:lineRule="auto"/>
              <w:ind w:left="480" w:leftChars="0" w:hanging="480" w:hangingChars="20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56693A89">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0797B166">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25.14087003t/a</w:t>
            </w:r>
          </w:p>
        </w:tc>
        <w:tc>
          <w:tcPr>
            <w:tcW w:w="1264" w:type="dxa"/>
            <w:noWrap w:val="0"/>
            <w:vAlign w:val="center"/>
          </w:tcPr>
          <w:p w14:paraId="52EE18AB">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62212CE0">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25.14087003t/a</w:t>
            </w:r>
          </w:p>
        </w:tc>
        <w:tc>
          <w:tcPr>
            <w:tcW w:w="2070" w:type="dxa"/>
            <w:noWrap w:val="0"/>
            <w:vAlign w:val="center"/>
          </w:tcPr>
          <w:p w14:paraId="23D3F35D">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25.14087003t/a</w:t>
            </w:r>
          </w:p>
        </w:tc>
      </w:tr>
      <w:tr w14:paraId="1A8612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restart"/>
            <w:noWrap w:val="0"/>
            <w:vAlign w:val="center"/>
          </w:tcPr>
          <w:p w14:paraId="253CB0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危险废物</w:t>
            </w:r>
          </w:p>
        </w:tc>
        <w:tc>
          <w:tcPr>
            <w:tcW w:w="1367" w:type="dxa"/>
            <w:noWrap w:val="0"/>
            <w:vAlign w:val="center"/>
          </w:tcPr>
          <w:p w14:paraId="559F2D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废润滑油</w:t>
            </w:r>
          </w:p>
        </w:tc>
        <w:tc>
          <w:tcPr>
            <w:tcW w:w="1288" w:type="dxa"/>
            <w:noWrap w:val="0"/>
            <w:vAlign w:val="center"/>
          </w:tcPr>
          <w:p w14:paraId="771C5AE7">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22A154FE">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3E786799">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74C64C38">
            <w:pPr>
              <w:pStyle w:val="40"/>
              <w:spacing w:beforeLines="0" w:afterLines="0" w:line="240" w:lineRule="auto"/>
              <w:ind w:left="480" w:leftChars="0" w:hanging="480" w:hangingChars="200"/>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2</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1264" w:type="dxa"/>
            <w:noWrap w:val="0"/>
            <w:vAlign w:val="center"/>
          </w:tcPr>
          <w:p w14:paraId="55CB666D">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44591C37">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r>
              <w:rPr>
                <w:rFonts w:hint="eastAsia" w:cs="Times New Roman"/>
                <w:snapToGrid w:val="0"/>
                <w:color w:val="000000" w:themeColor="text1"/>
                <w:kern w:val="21"/>
                <w:sz w:val="24"/>
                <w:szCs w:val="24"/>
                <w:highlight w:val="none"/>
                <w:lang w:val="en-US" w:eastAsia="zh-CN"/>
                <w14:textFill>
                  <w14:solidFill>
                    <w14:schemeClr w14:val="tx1"/>
                  </w14:solidFill>
                </w14:textFill>
              </w:rPr>
              <w:t>2</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2070" w:type="dxa"/>
            <w:noWrap w:val="0"/>
            <w:vAlign w:val="center"/>
          </w:tcPr>
          <w:p w14:paraId="204A62A5">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w:t>
            </w:r>
            <w:r>
              <w:rPr>
                <w:rFonts w:hint="eastAsia" w:cs="Times New Roman"/>
                <w:snapToGrid w:val="0"/>
                <w:color w:val="000000" w:themeColor="text1"/>
                <w:kern w:val="21"/>
                <w:sz w:val="24"/>
                <w:szCs w:val="24"/>
                <w:highlight w:val="none"/>
                <w:lang w:val="en-US" w:eastAsia="zh-CN"/>
                <w14:textFill>
                  <w14:solidFill>
                    <w14:schemeClr w14:val="tx1"/>
                  </w14:solidFill>
                </w14:textFill>
              </w:rPr>
              <w:t>2</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r>
      <w:tr w14:paraId="68EB9E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continue"/>
            <w:noWrap w:val="0"/>
            <w:vAlign w:val="center"/>
          </w:tcPr>
          <w:p w14:paraId="2CC6DC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p>
        </w:tc>
        <w:tc>
          <w:tcPr>
            <w:tcW w:w="1367" w:type="dxa"/>
            <w:noWrap w:val="0"/>
            <w:vAlign w:val="center"/>
          </w:tcPr>
          <w:p w14:paraId="1C484B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废润滑油桶</w:t>
            </w:r>
          </w:p>
        </w:tc>
        <w:tc>
          <w:tcPr>
            <w:tcW w:w="1288" w:type="dxa"/>
            <w:noWrap w:val="0"/>
            <w:vAlign w:val="center"/>
          </w:tcPr>
          <w:p w14:paraId="63C829FA">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2306CCE8">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0565D4C4">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403F1345">
            <w:pPr>
              <w:pStyle w:val="40"/>
              <w:spacing w:beforeLines="0" w:afterLines="0" w:line="240" w:lineRule="auto"/>
              <w:ind w:left="480" w:leftChars="0" w:hanging="480" w:hangingChars="200"/>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0.1t/a</w:t>
            </w:r>
          </w:p>
        </w:tc>
        <w:tc>
          <w:tcPr>
            <w:tcW w:w="1264" w:type="dxa"/>
            <w:noWrap w:val="0"/>
            <w:vAlign w:val="center"/>
          </w:tcPr>
          <w:p w14:paraId="1BA9E204">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3210F81D">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0.1t/a</w:t>
            </w:r>
          </w:p>
        </w:tc>
        <w:tc>
          <w:tcPr>
            <w:tcW w:w="2070" w:type="dxa"/>
            <w:noWrap w:val="0"/>
            <w:vAlign w:val="center"/>
          </w:tcPr>
          <w:p w14:paraId="21BBB4F6">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+0.1t/a</w:t>
            </w:r>
          </w:p>
        </w:tc>
      </w:tr>
      <w:tr w14:paraId="39B9D3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vMerge w:val="continue"/>
            <w:noWrap w:val="0"/>
            <w:vAlign w:val="center"/>
          </w:tcPr>
          <w:p w14:paraId="5CBC4735">
            <w:pPr>
              <w:pStyle w:val="40"/>
              <w:spacing w:beforeLines="0" w:afterLines="0" w:line="240" w:lineRule="auto"/>
              <w:ind w:left="480" w:leftChars="0" w:hanging="480" w:hangingChars="200"/>
              <w:jc w:val="both"/>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p>
        </w:tc>
        <w:tc>
          <w:tcPr>
            <w:tcW w:w="1367" w:type="dxa"/>
            <w:noWrap w:val="0"/>
            <w:vAlign w:val="center"/>
          </w:tcPr>
          <w:p w14:paraId="5C931A65">
            <w:pPr>
              <w:pStyle w:val="40"/>
              <w:spacing w:beforeLines="0" w:afterLines="0" w:line="240" w:lineRule="auto"/>
              <w:ind w:left="480" w:leftChars="0" w:hanging="480" w:hangingChars="200"/>
              <w:jc w:val="both"/>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含油废抹布</w:t>
            </w:r>
          </w:p>
        </w:tc>
        <w:tc>
          <w:tcPr>
            <w:tcW w:w="1288" w:type="dxa"/>
            <w:noWrap w:val="0"/>
            <w:vAlign w:val="center"/>
          </w:tcPr>
          <w:p w14:paraId="1C52E9B6">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59AEE457">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1CFE273A">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041818F7">
            <w:pPr>
              <w:pStyle w:val="40"/>
              <w:spacing w:beforeLines="0" w:afterLines="0" w:line="240" w:lineRule="auto"/>
              <w:ind w:left="480" w:leftChars="0" w:hanging="480" w:hangingChars="200"/>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0.01t/a</w:t>
            </w:r>
          </w:p>
        </w:tc>
        <w:tc>
          <w:tcPr>
            <w:tcW w:w="1264" w:type="dxa"/>
            <w:noWrap w:val="0"/>
            <w:vAlign w:val="center"/>
          </w:tcPr>
          <w:p w14:paraId="50FE7455">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637B0B6F">
            <w:pPr>
              <w:spacing w:beforeLines="0" w:afterLines="0" w:line="240" w:lineRule="auto"/>
              <w:jc w:val="center"/>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0.01t/a</w:t>
            </w:r>
          </w:p>
        </w:tc>
        <w:tc>
          <w:tcPr>
            <w:tcW w:w="2070" w:type="dxa"/>
            <w:noWrap w:val="0"/>
            <w:vAlign w:val="center"/>
          </w:tcPr>
          <w:p w14:paraId="37F5351C">
            <w:pPr>
              <w:spacing w:beforeLines="0" w:afterLines="0" w:line="240" w:lineRule="auto"/>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+0.01t/a</w:t>
            </w:r>
          </w:p>
        </w:tc>
      </w:tr>
      <w:tr w14:paraId="1763A7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40" w:type="dxa"/>
            <w:noWrap w:val="0"/>
            <w:vAlign w:val="center"/>
          </w:tcPr>
          <w:p w14:paraId="01DC44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生活垃圾</w:t>
            </w:r>
          </w:p>
        </w:tc>
        <w:tc>
          <w:tcPr>
            <w:tcW w:w="1367" w:type="dxa"/>
            <w:noWrap w:val="0"/>
            <w:vAlign w:val="center"/>
          </w:tcPr>
          <w:p w14:paraId="7400BE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生活垃圾</w:t>
            </w:r>
          </w:p>
        </w:tc>
        <w:tc>
          <w:tcPr>
            <w:tcW w:w="1288" w:type="dxa"/>
            <w:noWrap w:val="0"/>
            <w:vAlign w:val="center"/>
          </w:tcPr>
          <w:p w14:paraId="5D47E0DF">
            <w:pPr>
              <w:spacing w:beforeLines="0" w:afterLines="0" w:line="240" w:lineRule="auto"/>
              <w:ind w:left="480" w:leftChars="0" w:hanging="480" w:hangingChars="200"/>
              <w:jc w:val="cente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250" w:type="dxa"/>
            <w:noWrap w:val="0"/>
            <w:vAlign w:val="center"/>
          </w:tcPr>
          <w:p w14:paraId="6972B955">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400" w:type="dxa"/>
            <w:noWrap w:val="0"/>
            <w:vAlign w:val="center"/>
          </w:tcPr>
          <w:p w14:paraId="49FEAA13">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850" w:type="dxa"/>
            <w:noWrap w:val="0"/>
            <w:vAlign w:val="center"/>
          </w:tcPr>
          <w:p w14:paraId="7CBE8A2B">
            <w:pPr>
              <w:pStyle w:val="40"/>
              <w:spacing w:beforeLines="0" w:afterLines="0" w:line="240" w:lineRule="auto"/>
              <w:ind w:left="480" w:leftChars="0" w:hanging="480" w:hangingChars="200"/>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1.8</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1264" w:type="dxa"/>
            <w:noWrap w:val="0"/>
            <w:vAlign w:val="center"/>
          </w:tcPr>
          <w:p w14:paraId="7C586233">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w:t>
            </w:r>
          </w:p>
        </w:tc>
        <w:tc>
          <w:tcPr>
            <w:tcW w:w="1759" w:type="dxa"/>
            <w:noWrap w:val="0"/>
            <w:vAlign w:val="center"/>
          </w:tcPr>
          <w:p w14:paraId="415E33DE">
            <w:pPr>
              <w:spacing w:beforeLines="0" w:afterLines="0" w:line="240" w:lineRule="auto"/>
              <w:ind w:left="480" w:leftChars="0" w:hanging="480" w:hangingChars="200"/>
              <w:jc w:val="center"/>
              <w:rPr>
                <w:rFonts w:hint="default" w:ascii="Times New Roman" w:hAnsi="Times New Roman" w:eastAsia="宋体" w:cs="Times New Roman"/>
                <w:snapToGrid w:val="0"/>
                <w:color w:val="000000" w:themeColor="text1"/>
                <w:kern w:val="21"/>
                <w:sz w:val="24"/>
                <w:szCs w:val="24"/>
                <w:highlight w:val="none"/>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1.8</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c>
          <w:tcPr>
            <w:tcW w:w="2070" w:type="dxa"/>
            <w:noWrap w:val="0"/>
            <w:vAlign w:val="center"/>
          </w:tcPr>
          <w:p w14:paraId="688CCBD3">
            <w:pPr>
              <w:spacing w:beforeLines="0" w:afterLines="0" w:line="240" w:lineRule="auto"/>
              <w:ind w:left="480" w:leftChars="0" w:hanging="480" w:hangingChars="200"/>
              <w:jc w:val="cente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1.8</w:t>
            </w:r>
            <w:r>
              <w:rPr>
                <w:rFonts w:hint="eastAsia"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t>t/a</w:t>
            </w:r>
          </w:p>
        </w:tc>
      </w:tr>
    </w:tbl>
    <w:p w14:paraId="0C5E0D23">
      <w:pPr>
        <w:pStyle w:val="40"/>
        <w:spacing w:before="192" w:beforeLines="80" w:after="24"/>
        <w:jc w:val="left"/>
        <w:rPr>
          <w:rFonts w:hint="default" w:ascii="Times New Roman" w:hAnsi="Times New Roman" w:eastAsia="宋体" w:cs="Times New Roman"/>
          <w:snapToGrid w:val="0"/>
          <w:color w:val="000000" w:themeColor="text1"/>
          <w:spacing w:val="-6"/>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14:textFill>
            <w14:solidFill>
              <w14:schemeClr w14:val="tx1"/>
            </w14:solidFill>
          </w14:textFill>
        </w:rPr>
        <w:t>注：</w: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instrText xml:space="preserve"> = 6 \* GB3 \* MERGEFORMAT </w:instrTex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⑥</w: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t>=</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instrText xml:space="preserve"> = 1 \* GB3 \* MERGEFORMAT </w:instrTex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①</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t>+</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instrText xml:space="preserve"> = 3 \* GB3 \* MERGEFORMAT </w:instrTex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③</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t>+</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instrText xml:space="preserve"> = 4 \* GB3 \* MERGEFORMAT </w:instrTex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④</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t>-</w: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instrText xml:space="preserve"> = 5 \* GB3 \* MERGEFORMAT </w:instrTex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⑤</w: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t>；</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instrText xml:space="preserve"> = 7 \* GB3 \* MERGEFORMAT </w:instrTex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⑦</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t>=</w: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instrText xml:space="preserve"> = 6 \* GB3 \* MERGEFORMAT </w:instrTex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⑥</w:t>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fldChar w:fldCharType="end"/>
      </w:r>
      <w:r>
        <w:rPr>
          <w:rFonts w:hint="default" w:ascii="Times New Roman" w:hAnsi="Times New Roman" w:eastAsia="宋体" w:cs="Times New Roman"/>
          <w:snapToGrid w:val="0"/>
          <w:color w:val="000000" w:themeColor="text1"/>
          <w:spacing w:val="-16"/>
          <w:kern w:val="21"/>
          <w:szCs w:val="21"/>
          <w14:textFill>
            <w14:solidFill>
              <w14:schemeClr w14:val="tx1"/>
            </w14:solidFill>
          </w14:textFill>
        </w:rPr>
        <w:t>-</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instrText xml:space="preserve"> = 1 \* GB3 \* MERGEFORMAT </w:instrTex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eastAsia="宋体" w:cs="Times New Roman"/>
          <w:color w:val="000000" w:themeColor="text1"/>
          <w:szCs w:val="21"/>
          <w14:textFill>
            <w14:solidFill>
              <w14:schemeClr w14:val="tx1"/>
            </w14:solidFill>
          </w14:textFill>
        </w:rPr>
        <w:t>①</w:t>
      </w:r>
      <w:r>
        <w:rPr>
          <w:rFonts w:hint="default" w:ascii="Times New Roman" w:hAnsi="Times New Roman" w:eastAsia="宋体" w:cs="Times New Roman"/>
          <w:snapToGrid w:val="0"/>
          <w:color w:val="000000" w:themeColor="text1"/>
          <w:spacing w:val="-6"/>
          <w:kern w:val="21"/>
          <w:szCs w:val="21"/>
          <w14:textFill>
            <w14:solidFill>
              <w14:schemeClr w14:val="tx1"/>
            </w14:solidFill>
          </w14:textFill>
        </w:rPr>
        <w:fldChar w:fldCharType="end"/>
      </w:r>
    </w:p>
    <w:p w14:paraId="1894F9C3">
      <w:pPr>
        <w:rPr>
          <w:rFonts w:hint="default" w:ascii="Times New Roman" w:hAnsi="Times New Roman" w:eastAsia="宋体" w:cs="Times New Roman"/>
          <w:color w:val="000000" w:themeColor="text1"/>
          <w14:textFill>
            <w14:solidFill>
              <w14:schemeClr w14:val="tx1"/>
            </w14:solidFill>
          </w14:textFill>
        </w:rPr>
      </w:pPr>
    </w:p>
    <w:sectPr>
      <w:footerReference r:id="rId5"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微软雅黑"/>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华文中宋">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2"/>
    <w:family w:val="auto"/>
    <w:pitch w:val="default"/>
    <w:sig w:usb0="00000000" w:usb1="00000000" w:usb2="00000000" w:usb3="00000000" w:csb0="80000000" w:csb1="00000000"/>
  </w:font>
  <w:font w:name="Segoe UI Emoji">
    <w:panose1 w:val="020B0502040204020203"/>
    <w:charset w:val="00"/>
    <w:family w:val="auto"/>
    <w:pitch w:val="default"/>
    <w:sig w:usb0="00000001" w:usb1="02000000" w:usb2="00000000" w:usb3="00000000" w:csb0="00000001" w:csb1="00000000"/>
  </w:font>
  <w:font w:name="Kingsoft UE">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50ABC">
    <w:pPr>
      <w:pStyle w:val="2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476F6">
    <w:pPr>
      <w:pStyle w:val="20"/>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27BC8D">
                          <w:pPr>
                            <w:pStyle w:val="20"/>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4E27BC8D">
                    <w:pPr>
                      <w:pStyle w:val="20"/>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4012C">
    <w:pPr>
      <w:pStyle w:val="20"/>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770655">
                          <w:pPr>
                            <w:pStyle w:val="20"/>
                          </w:pPr>
                          <w:r>
                            <w:t xml:space="preserve">— </w:t>
                          </w:r>
                          <w:r>
                            <w:fldChar w:fldCharType="begin"/>
                          </w:r>
                          <w:r>
                            <w:instrText xml:space="preserve"> PAGE  \* MERGEFORMAT </w:instrText>
                          </w:r>
                          <w:r>
                            <w:fldChar w:fldCharType="separate"/>
                          </w:r>
                          <w:r>
                            <w:t>116</w:t>
                          </w:r>
                          <w:r>
                            <w:fldChar w:fldCharType="end"/>
                          </w:r>
                          <w:r>
                            <w:t xml:space="preserve"> —</w:t>
                          </w:r>
                        </w:p>
                      </w:txbxContent>
                    </wps:txbx>
                    <wps:bodyPr vert="horz" wrap="none" lIns="0" tIns="0" rIns="0" bIns="0" anchor="t" anchorCtr="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eHIUu4QEAAMEDAAAOAAAA&#10;AAAAAAEAIAAAAB4BAABkcnMvZTJvRG9jLnhtbFBLBQYAAAAABgAGAFkBAABxBQAAAAA=&#10;">
              <v:fill on="f" focussize="0,0"/>
              <v:stroke on="f"/>
              <v:imagedata o:title=""/>
              <o:lock v:ext="edit" aspectratio="f"/>
              <v:textbox inset="0mm,0mm,0mm,0mm" style="mso-fit-shape-to-text:t;">
                <w:txbxContent>
                  <w:p w14:paraId="54770655">
                    <w:pPr>
                      <w:pStyle w:val="20"/>
                    </w:pPr>
                    <w:r>
                      <w:t xml:space="preserve">— </w:t>
                    </w:r>
                    <w:r>
                      <w:fldChar w:fldCharType="begin"/>
                    </w:r>
                    <w:r>
                      <w:instrText xml:space="preserve"> PAGE  \* MERGEFORMAT </w:instrText>
                    </w:r>
                    <w:r>
                      <w:fldChar w:fldCharType="separate"/>
                    </w:r>
                    <w:r>
                      <w:t>116</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E0890E"/>
    <w:multiLevelType w:val="singleLevel"/>
    <w:tmpl w:val="A2E0890E"/>
    <w:lvl w:ilvl="0" w:tentative="0">
      <w:start w:val="1"/>
      <w:numFmt w:val="bullet"/>
      <w:pStyle w:val="9"/>
      <w:lvlText w:val=""/>
      <w:lvlJc w:val="left"/>
      <w:pPr>
        <w:tabs>
          <w:tab w:val="left" w:pos="360"/>
        </w:tabs>
        <w:ind w:left="360" w:hanging="360"/>
      </w:pPr>
      <w:rPr>
        <w:rFonts w:hint="default" w:ascii="Wingdings" w:hAnsi="Wingdings"/>
      </w:rPr>
    </w:lvl>
  </w:abstractNum>
  <w:abstractNum w:abstractNumId="1">
    <w:nsid w:val="33EF1FC1"/>
    <w:multiLevelType w:val="multilevel"/>
    <w:tmpl w:val="33EF1FC1"/>
    <w:lvl w:ilvl="0" w:tentative="0">
      <w:start w:val="1"/>
      <w:numFmt w:val="decimal"/>
      <w:pStyle w:val="76"/>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7E3A0E96"/>
    <w:multiLevelType w:val="singleLevel"/>
    <w:tmpl w:val="7E3A0E96"/>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0100"/>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5D1E09"/>
    <w:rsid w:val="02697903"/>
    <w:rsid w:val="02F96569"/>
    <w:rsid w:val="03EA7B21"/>
    <w:rsid w:val="040D6820"/>
    <w:rsid w:val="051E4B55"/>
    <w:rsid w:val="05F83EAE"/>
    <w:rsid w:val="06244380"/>
    <w:rsid w:val="063E7D85"/>
    <w:rsid w:val="07293586"/>
    <w:rsid w:val="07295285"/>
    <w:rsid w:val="07636392"/>
    <w:rsid w:val="07770C56"/>
    <w:rsid w:val="07D167C9"/>
    <w:rsid w:val="092217DD"/>
    <w:rsid w:val="093A7294"/>
    <w:rsid w:val="0A263993"/>
    <w:rsid w:val="0A2D3AC2"/>
    <w:rsid w:val="0A9F2B45"/>
    <w:rsid w:val="0AA755DF"/>
    <w:rsid w:val="0B120D44"/>
    <w:rsid w:val="0BD27BF6"/>
    <w:rsid w:val="0C2F27DE"/>
    <w:rsid w:val="0C3B3C7D"/>
    <w:rsid w:val="0CA55C3F"/>
    <w:rsid w:val="0CAB2EAE"/>
    <w:rsid w:val="0CE05EE6"/>
    <w:rsid w:val="0D621C7D"/>
    <w:rsid w:val="0D8A427F"/>
    <w:rsid w:val="0E73034D"/>
    <w:rsid w:val="0EFF0DBC"/>
    <w:rsid w:val="0F073721"/>
    <w:rsid w:val="0F13775A"/>
    <w:rsid w:val="0F1B14C5"/>
    <w:rsid w:val="0F5F45FE"/>
    <w:rsid w:val="0F9A112B"/>
    <w:rsid w:val="1029412A"/>
    <w:rsid w:val="106D2F64"/>
    <w:rsid w:val="10A83678"/>
    <w:rsid w:val="10B244F7"/>
    <w:rsid w:val="10B63710"/>
    <w:rsid w:val="10F10820"/>
    <w:rsid w:val="111C2F7A"/>
    <w:rsid w:val="11665CA1"/>
    <w:rsid w:val="11A015C9"/>
    <w:rsid w:val="11F51F21"/>
    <w:rsid w:val="133D279D"/>
    <w:rsid w:val="13951726"/>
    <w:rsid w:val="14396509"/>
    <w:rsid w:val="14DD2C3C"/>
    <w:rsid w:val="15502B4A"/>
    <w:rsid w:val="15883A61"/>
    <w:rsid w:val="16087E1D"/>
    <w:rsid w:val="162B2D81"/>
    <w:rsid w:val="16E32E79"/>
    <w:rsid w:val="17701D14"/>
    <w:rsid w:val="17735226"/>
    <w:rsid w:val="189F624C"/>
    <w:rsid w:val="18CB5425"/>
    <w:rsid w:val="1A1C66C0"/>
    <w:rsid w:val="1A42393B"/>
    <w:rsid w:val="1AAD45DE"/>
    <w:rsid w:val="1B046F80"/>
    <w:rsid w:val="1B051B25"/>
    <w:rsid w:val="1B104A34"/>
    <w:rsid w:val="1B3267B5"/>
    <w:rsid w:val="1B40161D"/>
    <w:rsid w:val="1B441859"/>
    <w:rsid w:val="1B6606B1"/>
    <w:rsid w:val="1B6F0177"/>
    <w:rsid w:val="1BF6208A"/>
    <w:rsid w:val="1C5E7925"/>
    <w:rsid w:val="1CFD070F"/>
    <w:rsid w:val="1D0D6976"/>
    <w:rsid w:val="1D5F6196"/>
    <w:rsid w:val="1D6132A5"/>
    <w:rsid w:val="1D8E56D5"/>
    <w:rsid w:val="1E7A43DA"/>
    <w:rsid w:val="1FE7539E"/>
    <w:rsid w:val="2009036E"/>
    <w:rsid w:val="20671BE0"/>
    <w:rsid w:val="20963CB8"/>
    <w:rsid w:val="20A81A1B"/>
    <w:rsid w:val="20B07FB6"/>
    <w:rsid w:val="20B646FB"/>
    <w:rsid w:val="213B74B1"/>
    <w:rsid w:val="215A2310"/>
    <w:rsid w:val="21DE318A"/>
    <w:rsid w:val="21EF5B80"/>
    <w:rsid w:val="22576990"/>
    <w:rsid w:val="22F47480"/>
    <w:rsid w:val="23B048A6"/>
    <w:rsid w:val="23DE1C48"/>
    <w:rsid w:val="240210CD"/>
    <w:rsid w:val="24BF09F7"/>
    <w:rsid w:val="252D53FE"/>
    <w:rsid w:val="257E47DF"/>
    <w:rsid w:val="25EC2D81"/>
    <w:rsid w:val="260050AF"/>
    <w:rsid w:val="26306116"/>
    <w:rsid w:val="277057A2"/>
    <w:rsid w:val="27C97BCD"/>
    <w:rsid w:val="28987649"/>
    <w:rsid w:val="29206EB8"/>
    <w:rsid w:val="29595666"/>
    <w:rsid w:val="29874881"/>
    <w:rsid w:val="29E325E0"/>
    <w:rsid w:val="2A452503"/>
    <w:rsid w:val="2A873DE0"/>
    <w:rsid w:val="2AE04BED"/>
    <w:rsid w:val="2B186224"/>
    <w:rsid w:val="2BA936A8"/>
    <w:rsid w:val="2BC665FE"/>
    <w:rsid w:val="2BD46C87"/>
    <w:rsid w:val="2C315A5A"/>
    <w:rsid w:val="2C4B1C25"/>
    <w:rsid w:val="2C5E11AC"/>
    <w:rsid w:val="2D9E56F5"/>
    <w:rsid w:val="2DC873B9"/>
    <w:rsid w:val="2E667F96"/>
    <w:rsid w:val="2E8226AB"/>
    <w:rsid w:val="2FD065E6"/>
    <w:rsid w:val="2FD96870"/>
    <w:rsid w:val="30580BC9"/>
    <w:rsid w:val="311E2ED7"/>
    <w:rsid w:val="315619EE"/>
    <w:rsid w:val="315C449C"/>
    <w:rsid w:val="31B82709"/>
    <w:rsid w:val="31D05482"/>
    <w:rsid w:val="32400B34"/>
    <w:rsid w:val="329E6876"/>
    <w:rsid w:val="333015F2"/>
    <w:rsid w:val="334B6320"/>
    <w:rsid w:val="33D934D4"/>
    <w:rsid w:val="33FE2F6A"/>
    <w:rsid w:val="340E07E5"/>
    <w:rsid w:val="34235BF7"/>
    <w:rsid w:val="34574D61"/>
    <w:rsid w:val="34EE253F"/>
    <w:rsid w:val="358C5FA8"/>
    <w:rsid w:val="35C15DF1"/>
    <w:rsid w:val="36074A7F"/>
    <w:rsid w:val="36923549"/>
    <w:rsid w:val="36A74541"/>
    <w:rsid w:val="36B75FBF"/>
    <w:rsid w:val="36BB0FB7"/>
    <w:rsid w:val="36BD0C45"/>
    <w:rsid w:val="37E00298"/>
    <w:rsid w:val="3867564D"/>
    <w:rsid w:val="38B302F9"/>
    <w:rsid w:val="38F12CD3"/>
    <w:rsid w:val="38F94775"/>
    <w:rsid w:val="392971ED"/>
    <w:rsid w:val="39325651"/>
    <w:rsid w:val="3A2D2E71"/>
    <w:rsid w:val="3A872856"/>
    <w:rsid w:val="3B1B2B43"/>
    <w:rsid w:val="3B3763D1"/>
    <w:rsid w:val="3BEB0739"/>
    <w:rsid w:val="3C2F6E1E"/>
    <w:rsid w:val="3C4F64BA"/>
    <w:rsid w:val="3CD44042"/>
    <w:rsid w:val="3CDA245A"/>
    <w:rsid w:val="3D1E06B7"/>
    <w:rsid w:val="3EDA0523"/>
    <w:rsid w:val="407A6407"/>
    <w:rsid w:val="41CA2615"/>
    <w:rsid w:val="4200449D"/>
    <w:rsid w:val="423A3BCC"/>
    <w:rsid w:val="424E57D2"/>
    <w:rsid w:val="42B26C49"/>
    <w:rsid w:val="433A6FE6"/>
    <w:rsid w:val="43480868"/>
    <w:rsid w:val="434C2C1F"/>
    <w:rsid w:val="4350713C"/>
    <w:rsid w:val="436653E0"/>
    <w:rsid w:val="43C4431A"/>
    <w:rsid w:val="44B951CC"/>
    <w:rsid w:val="44CD14E0"/>
    <w:rsid w:val="44E4050E"/>
    <w:rsid w:val="44F20B0B"/>
    <w:rsid w:val="452E5F4C"/>
    <w:rsid w:val="45612018"/>
    <w:rsid w:val="458946E9"/>
    <w:rsid w:val="459D68B9"/>
    <w:rsid w:val="45A47C0E"/>
    <w:rsid w:val="46577FD6"/>
    <w:rsid w:val="46D955A7"/>
    <w:rsid w:val="47133957"/>
    <w:rsid w:val="47317AA4"/>
    <w:rsid w:val="478D031F"/>
    <w:rsid w:val="47A07E0C"/>
    <w:rsid w:val="4870272E"/>
    <w:rsid w:val="487B1872"/>
    <w:rsid w:val="49DC7715"/>
    <w:rsid w:val="4A007AA5"/>
    <w:rsid w:val="4A023139"/>
    <w:rsid w:val="4A7B576F"/>
    <w:rsid w:val="4AF561A9"/>
    <w:rsid w:val="4C1E23DD"/>
    <w:rsid w:val="4C407AF2"/>
    <w:rsid w:val="4C411429"/>
    <w:rsid w:val="4C4A0649"/>
    <w:rsid w:val="4C7E5ECA"/>
    <w:rsid w:val="4C876AA5"/>
    <w:rsid w:val="4D0E00FB"/>
    <w:rsid w:val="4D176606"/>
    <w:rsid w:val="4DEC4FB0"/>
    <w:rsid w:val="4E075D8A"/>
    <w:rsid w:val="4EC00FAD"/>
    <w:rsid w:val="4F1D0E3A"/>
    <w:rsid w:val="4F9843DC"/>
    <w:rsid w:val="4FC62A8C"/>
    <w:rsid w:val="4FE20F0D"/>
    <w:rsid w:val="4FE51552"/>
    <w:rsid w:val="50504C4B"/>
    <w:rsid w:val="50982ECA"/>
    <w:rsid w:val="509C6E7C"/>
    <w:rsid w:val="50AB70E0"/>
    <w:rsid w:val="5162104E"/>
    <w:rsid w:val="52304A66"/>
    <w:rsid w:val="53A039CC"/>
    <w:rsid w:val="53A1505A"/>
    <w:rsid w:val="54063E08"/>
    <w:rsid w:val="543437E8"/>
    <w:rsid w:val="546C1CEA"/>
    <w:rsid w:val="54F73313"/>
    <w:rsid w:val="54F80955"/>
    <w:rsid w:val="555170A7"/>
    <w:rsid w:val="5587536D"/>
    <w:rsid w:val="559B174B"/>
    <w:rsid w:val="55CE0CF4"/>
    <w:rsid w:val="56B22A9C"/>
    <w:rsid w:val="57B72A76"/>
    <w:rsid w:val="57C3426C"/>
    <w:rsid w:val="57CE1F93"/>
    <w:rsid w:val="588743D1"/>
    <w:rsid w:val="5887701A"/>
    <w:rsid w:val="58CC4C14"/>
    <w:rsid w:val="59493C63"/>
    <w:rsid w:val="59C0439F"/>
    <w:rsid w:val="5A75462C"/>
    <w:rsid w:val="5ABE2233"/>
    <w:rsid w:val="5BA87BAD"/>
    <w:rsid w:val="5BDF5D95"/>
    <w:rsid w:val="5BFE7528"/>
    <w:rsid w:val="5D7725EE"/>
    <w:rsid w:val="5E2467F1"/>
    <w:rsid w:val="5EBC410B"/>
    <w:rsid w:val="5F1A2B43"/>
    <w:rsid w:val="5FAB6D89"/>
    <w:rsid w:val="5FB837BB"/>
    <w:rsid w:val="60CC405A"/>
    <w:rsid w:val="61E215D8"/>
    <w:rsid w:val="621B3775"/>
    <w:rsid w:val="62290B50"/>
    <w:rsid w:val="62364782"/>
    <w:rsid w:val="628B04E8"/>
    <w:rsid w:val="62E8502D"/>
    <w:rsid w:val="631F247B"/>
    <w:rsid w:val="63422A85"/>
    <w:rsid w:val="6394356A"/>
    <w:rsid w:val="63C61B2C"/>
    <w:rsid w:val="63D40BE9"/>
    <w:rsid w:val="64102431"/>
    <w:rsid w:val="64337ADF"/>
    <w:rsid w:val="64A5243A"/>
    <w:rsid w:val="64F531DE"/>
    <w:rsid w:val="65373578"/>
    <w:rsid w:val="660246A1"/>
    <w:rsid w:val="662B4B85"/>
    <w:rsid w:val="671C035A"/>
    <w:rsid w:val="671F124A"/>
    <w:rsid w:val="677A33C6"/>
    <w:rsid w:val="681F6961"/>
    <w:rsid w:val="68610A2F"/>
    <w:rsid w:val="68805514"/>
    <w:rsid w:val="68DC4DE2"/>
    <w:rsid w:val="69316E2F"/>
    <w:rsid w:val="6938229D"/>
    <w:rsid w:val="69486A1D"/>
    <w:rsid w:val="694E2071"/>
    <w:rsid w:val="69766163"/>
    <w:rsid w:val="697A3B33"/>
    <w:rsid w:val="69B47BEA"/>
    <w:rsid w:val="69D44760"/>
    <w:rsid w:val="6A520EC7"/>
    <w:rsid w:val="6AC7099C"/>
    <w:rsid w:val="6AF87E20"/>
    <w:rsid w:val="6B322639"/>
    <w:rsid w:val="6B4C17C5"/>
    <w:rsid w:val="6C636C38"/>
    <w:rsid w:val="6D3A3C22"/>
    <w:rsid w:val="6D830721"/>
    <w:rsid w:val="6D832130"/>
    <w:rsid w:val="6DB34098"/>
    <w:rsid w:val="6DB545B6"/>
    <w:rsid w:val="6DE02FB4"/>
    <w:rsid w:val="6E514CED"/>
    <w:rsid w:val="6EB563D5"/>
    <w:rsid w:val="6ED92677"/>
    <w:rsid w:val="6F225983"/>
    <w:rsid w:val="6FFC5590"/>
    <w:rsid w:val="700D3583"/>
    <w:rsid w:val="706D1DD0"/>
    <w:rsid w:val="70856B87"/>
    <w:rsid w:val="70D527EE"/>
    <w:rsid w:val="70D8681E"/>
    <w:rsid w:val="715B5300"/>
    <w:rsid w:val="71D27F8A"/>
    <w:rsid w:val="72553024"/>
    <w:rsid w:val="73122968"/>
    <w:rsid w:val="731F5D5E"/>
    <w:rsid w:val="732C301A"/>
    <w:rsid w:val="73C51AD5"/>
    <w:rsid w:val="741E793C"/>
    <w:rsid w:val="745E3944"/>
    <w:rsid w:val="75A35605"/>
    <w:rsid w:val="75A939EB"/>
    <w:rsid w:val="75D91E71"/>
    <w:rsid w:val="75F10DD2"/>
    <w:rsid w:val="7635099D"/>
    <w:rsid w:val="767F4774"/>
    <w:rsid w:val="77212C85"/>
    <w:rsid w:val="77762421"/>
    <w:rsid w:val="77B56B1F"/>
    <w:rsid w:val="780F09F4"/>
    <w:rsid w:val="786C306B"/>
    <w:rsid w:val="78A53107"/>
    <w:rsid w:val="78A90480"/>
    <w:rsid w:val="78BE6297"/>
    <w:rsid w:val="7A364017"/>
    <w:rsid w:val="7A8265E1"/>
    <w:rsid w:val="7AE6292A"/>
    <w:rsid w:val="7B0C2AD0"/>
    <w:rsid w:val="7B4819BA"/>
    <w:rsid w:val="7B686D42"/>
    <w:rsid w:val="7B841746"/>
    <w:rsid w:val="7BE20714"/>
    <w:rsid w:val="7C6C5AC7"/>
    <w:rsid w:val="7C943733"/>
    <w:rsid w:val="7CC6544B"/>
    <w:rsid w:val="7D0239FF"/>
    <w:rsid w:val="7D5E40CD"/>
    <w:rsid w:val="7DCD56F2"/>
    <w:rsid w:val="7DF44060"/>
    <w:rsid w:val="7F001CE7"/>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name="index heading" w:locked="1"/>
    <w:lsdException w:qFormat="1" w:unhideWhenUsed="0" w:uiPriority="35"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qFormat="1"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99" w:semiHidden="0" w:name="Body Text First Indent" w:locked="1"/>
    <w:lsdException w:qFormat="1" w:uiPriority="0" w:semiHidden="0" w:name="Body Text First Indent 2" w:locked="1"/>
    <w:lsdException w:unhideWhenUsed="0" w:uiPriority="0" w:semiHidden="0" w:name="Note Heading" w:locked="1"/>
    <w:lsdException w:unhideWhenUsed="0" w:uiPriority="0" w:semiHidden="0" w:name="Body Text 2" w:locked="1"/>
    <w:lsdException w:qFormat="1"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unhideWhenUsed/>
    <w:qFormat/>
    <w:locked/>
    <w:uiPriority w:val="0"/>
    <w:pPr>
      <w:keepNext/>
      <w:widowControl/>
      <w:overflowPunct w:val="0"/>
      <w:autoSpaceDE w:val="0"/>
      <w:autoSpaceDN w:val="0"/>
      <w:adjustRightInd w:val="0"/>
      <w:spacing w:line="360" w:lineRule="auto"/>
      <w:jc w:val="left"/>
      <w:outlineLvl w:val="3"/>
    </w:pPr>
    <w:rPr>
      <w:rFonts w:ascii="Times New Roman" w:hAnsi="Times New Roman"/>
      <w:b/>
      <w:kern w:val="28"/>
      <w:sz w:val="24"/>
    </w:rPr>
  </w:style>
  <w:style w:type="character" w:default="1" w:styleId="31">
    <w:name w:val="Default Paragraph Font"/>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styleId="6">
    <w:name w:val="Normal Indent"/>
    <w:basedOn w:val="1"/>
    <w:next w:val="7"/>
    <w:qFormat/>
    <w:locked/>
    <w:uiPriority w:val="0"/>
    <w:pPr>
      <w:ind w:firstLine="420" w:firstLineChars="200"/>
    </w:pPr>
  </w:style>
  <w:style w:type="paragraph" w:styleId="7">
    <w:name w:val="Body Text"/>
    <w:basedOn w:val="1"/>
    <w:link w:val="49"/>
    <w:qFormat/>
    <w:uiPriority w:val="0"/>
    <w:pPr>
      <w:widowControl/>
      <w:snapToGrid w:val="0"/>
      <w:spacing w:before="60" w:after="160" w:line="259" w:lineRule="auto"/>
      <w:ind w:right="113"/>
    </w:pPr>
    <w:rPr>
      <w:kern w:val="0"/>
      <w:sz w:val="18"/>
      <w:szCs w:val="20"/>
    </w:rPr>
  </w:style>
  <w:style w:type="paragraph" w:styleId="8">
    <w:name w:val="caption"/>
    <w:basedOn w:val="1"/>
    <w:next w:val="1"/>
    <w:qFormat/>
    <w:locked/>
    <w:uiPriority w:val="35"/>
    <w:pPr>
      <w:ind w:firstLine="0" w:firstLineChars="0"/>
      <w:jc w:val="center"/>
    </w:pPr>
    <w:rPr>
      <w:b/>
      <w:szCs w:val="20"/>
    </w:rPr>
  </w:style>
  <w:style w:type="paragraph" w:styleId="9">
    <w:name w:val="List Bullet"/>
    <w:basedOn w:val="1"/>
    <w:qFormat/>
    <w:locked/>
    <w:uiPriority w:val="0"/>
    <w:pPr>
      <w:numPr>
        <w:ilvl w:val="0"/>
        <w:numId w:val="1"/>
      </w:numPr>
    </w:pPr>
  </w:style>
  <w:style w:type="paragraph" w:styleId="10">
    <w:name w:val="annotation text"/>
    <w:basedOn w:val="1"/>
    <w:link w:val="48"/>
    <w:semiHidden/>
    <w:qFormat/>
    <w:uiPriority w:val="0"/>
    <w:pPr>
      <w:jc w:val="left"/>
    </w:pPr>
    <w:rPr>
      <w:kern w:val="0"/>
      <w:sz w:val="24"/>
      <w:szCs w:val="20"/>
    </w:rPr>
  </w:style>
  <w:style w:type="paragraph" w:styleId="11">
    <w:name w:val="Body Text 3"/>
    <w:basedOn w:val="1"/>
    <w:next w:val="1"/>
    <w:qFormat/>
    <w:locked/>
    <w:uiPriority w:val="0"/>
    <w:pPr>
      <w:snapToGrid/>
      <w:spacing w:before="25" w:beforeLines="25" w:after="25" w:afterLines="25" w:line="360" w:lineRule="auto"/>
      <w:ind w:firstLine="600" w:firstLineChars="200"/>
      <w:jc w:val="both"/>
    </w:pPr>
    <w:rPr>
      <w:rFonts w:ascii="Times New Roman" w:hAnsi="Times New Roman" w:eastAsia="宋体"/>
      <w:kern w:val="0"/>
      <w:sz w:val="24"/>
      <w:szCs w:val="24"/>
    </w:rPr>
  </w:style>
  <w:style w:type="paragraph" w:styleId="12">
    <w:name w:val="Body Text Indent"/>
    <w:basedOn w:val="1"/>
    <w:next w:val="13"/>
    <w:link w:val="50"/>
    <w:qFormat/>
    <w:uiPriority w:val="0"/>
    <w:pPr>
      <w:spacing w:after="120"/>
      <w:ind w:left="420" w:leftChars="200"/>
    </w:pPr>
    <w:rPr>
      <w:kern w:val="0"/>
      <w:sz w:val="24"/>
      <w:szCs w:val="20"/>
    </w:rPr>
  </w:style>
  <w:style w:type="paragraph" w:styleId="13">
    <w:name w:val="Body Text First Indent 2"/>
    <w:basedOn w:val="12"/>
    <w:next w:val="14"/>
    <w:unhideWhenUsed/>
    <w:qFormat/>
    <w:locked/>
    <w:uiPriority w:val="0"/>
    <w:pPr>
      <w:adjustRightInd w:val="0"/>
      <w:spacing w:before="156" w:beforeLines="50" w:after="156" w:afterLines="50" w:line="360" w:lineRule="auto"/>
      <w:ind w:firstLine="420" w:firstLineChars="200"/>
      <w:jc w:val="both"/>
      <w:textAlignment w:val="baseline"/>
    </w:pPr>
    <w:rPr>
      <w:rFonts w:ascii="Times New Roman" w:hAnsi="Times New Roman" w:eastAsia="宋体" w:cs="Times New Roman"/>
      <w:kern w:val="2"/>
      <w:sz w:val="24"/>
      <w:szCs w:val="24"/>
      <w:lang w:eastAsia="zh-CN"/>
    </w:rPr>
  </w:style>
  <w:style w:type="paragraph" w:styleId="14">
    <w:name w:val="Body Text First Indent"/>
    <w:basedOn w:val="7"/>
    <w:next w:val="15"/>
    <w:qFormat/>
    <w:locked/>
    <w:uiPriority w:val="99"/>
    <w:pPr>
      <w:tabs>
        <w:tab w:val="left" w:pos="2760"/>
      </w:tabs>
      <w:overflowPunct w:val="0"/>
      <w:autoSpaceDE w:val="0"/>
      <w:autoSpaceDN w:val="0"/>
      <w:adjustRightInd w:val="0"/>
      <w:ind w:firstLine="539"/>
      <w:textAlignment w:val="baseline"/>
    </w:pPr>
    <w:rPr>
      <w:rFonts w:eastAsia="仿宋_GB2312"/>
      <w:kern w:val="0"/>
      <w:sz w:val="28"/>
      <w:szCs w:val="20"/>
    </w:rPr>
  </w:style>
  <w:style w:type="paragraph" w:customStyle="1" w:styleId="15">
    <w:name w:val="样式 正文首行缩进 + 首行缩进:  2 字符1"/>
    <w:basedOn w:val="14"/>
    <w:next w:val="16"/>
    <w:qFormat/>
    <w:uiPriority w:val="0"/>
    <w:pPr>
      <w:spacing w:after="0" w:line="360" w:lineRule="auto"/>
      <w:ind w:firstLine="480" w:firstLineChars="200"/>
    </w:pPr>
    <w:rPr>
      <w:rFonts w:ascii="Times New Roman" w:hAnsi="Times New Roman"/>
      <w:sz w:val="24"/>
      <w:szCs w:val="24"/>
    </w:rPr>
  </w:style>
  <w:style w:type="paragraph" w:styleId="16">
    <w:name w:val="toc 1"/>
    <w:basedOn w:val="1"/>
    <w:next w:val="1"/>
    <w:qFormat/>
    <w:locked/>
    <w:uiPriority w:val="0"/>
  </w:style>
  <w:style w:type="paragraph" w:styleId="17">
    <w:name w:val="Plain Text"/>
    <w:basedOn w:val="1"/>
    <w:next w:val="1"/>
    <w:qFormat/>
    <w:locked/>
    <w:uiPriority w:val="0"/>
    <w:rPr>
      <w:rFonts w:ascii="Verdana" w:hAnsi="黑体"/>
      <w:kern w:val="0"/>
      <w:sz w:val="20"/>
      <w:szCs w:val="20"/>
    </w:rPr>
  </w:style>
  <w:style w:type="paragraph" w:styleId="18">
    <w:name w:val="Date"/>
    <w:basedOn w:val="1"/>
    <w:next w:val="1"/>
    <w:link w:val="51"/>
    <w:qFormat/>
    <w:uiPriority w:val="0"/>
    <w:pPr>
      <w:ind w:left="100" w:leftChars="2500"/>
    </w:pPr>
    <w:rPr>
      <w:kern w:val="0"/>
      <w:sz w:val="24"/>
      <w:szCs w:val="20"/>
    </w:rPr>
  </w:style>
  <w:style w:type="paragraph" w:styleId="19">
    <w:name w:val="Balloon Text"/>
    <w:basedOn w:val="1"/>
    <w:link w:val="52"/>
    <w:semiHidden/>
    <w:qFormat/>
    <w:uiPriority w:val="0"/>
    <w:rPr>
      <w:kern w:val="0"/>
      <w:sz w:val="18"/>
      <w:szCs w:val="20"/>
    </w:rPr>
  </w:style>
  <w:style w:type="paragraph" w:styleId="20">
    <w:name w:val="footer"/>
    <w:basedOn w:val="1"/>
    <w:link w:val="53"/>
    <w:qFormat/>
    <w:uiPriority w:val="99"/>
    <w:pPr>
      <w:tabs>
        <w:tab w:val="center" w:pos="4153"/>
        <w:tab w:val="right" w:pos="8306"/>
      </w:tabs>
      <w:snapToGrid w:val="0"/>
      <w:jc w:val="left"/>
    </w:pPr>
    <w:rPr>
      <w:kern w:val="0"/>
      <w:sz w:val="18"/>
      <w:szCs w:val="20"/>
    </w:rPr>
  </w:style>
  <w:style w:type="paragraph" w:styleId="21">
    <w:name w:val="header"/>
    <w:basedOn w:val="1"/>
    <w:next w:val="1"/>
    <w:link w:val="54"/>
    <w:qFormat/>
    <w:uiPriority w:val="0"/>
    <w:pPr>
      <w:pBdr>
        <w:bottom w:val="single" w:color="auto" w:sz="6" w:space="1"/>
      </w:pBdr>
      <w:tabs>
        <w:tab w:val="center" w:pos="4153"/>
        <w:tab w:val="right" w:pos="8306"/>
      </w:tabs>
      <w:snapToGrid w:val="0"/>
      <w:jc w:val="center"/>
    </w:pPr>
    <w:rPr>
      <w:kern w:val="0"/>
      <w:sz w:val="18"/>
      <w:szCs w:val="20"/>
    </w:rPr>
  </w:style>
  <w:style w:type="paragraph" w:styleId="22">
    <w:name w:val="index heading"/>
    <w:basedOn w:val="1"/>
    <w:next w:val="23"/>
    <w:semiHidden/>
    <w:qFormat/>
    <w:locked/>
    <w:uiPriority w:val="0"/>
    <w:rPr>
      <w:rFonts w:ascii="Arial" w:hAnsi="Arial" w:cs="Arial"/>
      <w:b/>
      <w:bCs/>
    </w:rPr>
  </w:style>
  <w:style w:type="paragraph" w:styleId="23">
    <w:name w:val="index 1"/>
    <w:basedOn w:val="1"/>
    <w:next w:val="1"/>
    <w:semiHidden/>
    <w:qFormat/>
    <w:locked/>
    <w:uiPriority w:val="0"/>
  </w:style>
  <w:style w:type="paragraph" w:styleId="24">
    <w:name w:val="Subtitle"/>
    <w:basedOn w:val="1"/>
    <w:next w:val="1"/>
    <w:qFormat/>
    <w:locked/>
    <w:uiPriority w:val="0"/>
    <w:pPr>
      <w:spacing w:line="240" w:lineRule="auto"/>
      <w:ind w:firstLine="0" w:firstLineChars="0"/>
      <w:jc w:val="center"/>
    </w:pPr>
    <w:rPr>
      <w:kern w:val="28"/>
      <w:sz w:val="21"/>
    </w:rPr>
  </w:style>
  <w:style w:type="paragraph" w:styleId="25">
    <w:name w:val="List"/>
    <w:basedOn w:val="1"/>
    <w:qFormat/>
    <w:locked/>
    <w:uiPriority w:val="0"/>
    <w:pPr>
      <w:ind w:left="200" w:hanging="200" w:hangingChars="200"/>
    </w:pPr>
    <w:rPr>
      <w:sz w:val="24"/>
      <w:szCs w:val="20"/>
    </w:rPr>
  </w:style>
  <w:style w:type="paragraph" w:styleId="26">
    <w:name w:val="toc 2"/>
    <w:basedOn w:val="1"/>
    <w:next w:val="1"/>
    <w:qFormat/>
    <w:locked/>
    <w:uiPriority w:val="39"/>
    <w:pPr>
      <w:ind w:left="240"/>
      <w:jc w:val="left"/>
    </w:pPr>
    <w:rPr>
      <w:rFonts w:ascii="Calibri" w:hAnsi="Calibri"/>
      <w:smallCaps/>
      <w:sz w:val="20"/>
      <w:szCs w:val="20"/>
    </w:rPr>
  </w:style>
  <w:style w:type="paragraph" w:styleId="27">
    <w:name w:val="Normal (Web)"/>
    <w:basedOn w:val="1"/>
    <w:link w:val="55"/>
    <w:qFormat/>
    <w:uiPriority w:val="0"/>
    <w:pPr>
      <w:widowControl/>
      <w:spacing w:before="100" w:beforeAutospacing="1" w:after="100" w:afterAutospacing="1"/>
      <w:jc w:val="left"/>
    </w:pPr>
    <w:rPr>
      <w:rFonts w:ascii="宋体" w:hAnsi="宋体"/>
      <w:kern w:val="0"/>
      <w:sz w:val="24"/>
      <w:szCs w:val="20"/>
    </w:rPr>
  </w:style>
  <w:style w:type="paragraph" w:styleId="28">
    <w:name w:val="annotation subject"/>
    <w:basedOn w:val="10"/>
    <w:next w:val="10"/>
    <w:link w:val="56"/>
    <w:semiHidden/>
    <w:qFormat/>
    <w:uiPriority w:val="0"/>
    <w:rPr>
      <w:b/>
      <w:sz w:val="24"/>
      <w:szCs w:val="20"/>
    </w:rPr>
  </w:style>
  <w:style w:type="table" w:styleId="30">
    <w:name w:val="Table Grid"/>
    <w:basedOn w:val="29"/>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locked/>
    <w:uiPriority w:val="0"/>
    <w:rPr>
      <w:b/>
    </w:rPr>
  </w:style>
  <w:style w:type="character" w:styleId="33">
    <w:name w:val="page number"/>
    <w:basedOn w:val="31"/>
    <w:qFormat/>
    <w:locked/>
    <w:uiPriority w:val="0"/>
  </w:style>
  <w:style w:type="character" w:styleId="34">
    <w:name w:val="annotation reference"/>
    <w:semiHidden/>
    <w:qFormat/>
    <w:uiPriority w:val="0"/>
    <w:rPr>
      <w:sz w:val="21"/>
    </w:rPr>
  </w:style>
  <w:style w:type="paragraph" w:customStyle="1" w:styleId="35">
    <w:name w:val="样式 正文文本 + 首行缩进:  2 字符"/>
    <w:qFormat/>
    <w:uiPriority w:val="99"/>
    <w:pPr>
      <w:spacing w:after="200" w:line="480" w:lineRule="exact"/>
      <w:ind w:firstLine="480" w:firstLineChars="200"/>
      <w:jc w:val="center"/>
    </w:pPr>
    <w:rPr>
      <w:rFonts w:ascii="宋体" w:hAnsi="宋体" w:eastAsia="Calibri" w:cs="Times New Roman"/>
      <w:sz w:val="24"/>
      <w:szCs w:val="22"/>
      <w:lang w:val="en-US" w:eastAsia="zh-CN" w:bidi="ar-SA"/>
    </w:rPr>
  </w:style>
  <w:style w:type="paragraph" w:customStyle="1" w:styleId="36">
    <w:name w:val="Default"/>
    <w:basedOn w:val="37"/>
    <w:qFormat/>
    <w:uiPriority w:val="0"/>
    <w:pPr>
      <w:widowControl w:val="0"/>
      <w:tabs>
        <w:tab w:val="left" w:pos="1845"/>
      </w:tabs>
      <w:autoSpaceDE w:val="0"/>
      <w:autoSpaceDN w:val="0"/>
      <w:adjustRightInd w:val="0"/>
    </w:pPr>
    <w:rPr>
      <w:rFonts w:ascii="宋体" w:hAnsi="宋体" w:eastAsia="宋体" w:cs="宋体"/>
      <w:color w:val="000000"/>
      <w:sz w:val="24"/>
      <w:szCs w:val="24"/>
      <w:lang w:val="en-US" w:eastAsia="zh-CN" w:bidi="ar-SA"/>
    </w:rPr>
  </w:style>
  <w:style w:type="paragraph" w:customStyle="1" w:styleId="37">
    <w:name w:val="纯文本1"/>
    <w:basedOn w:val="1"/>
    <w:qFormat/>
    <w:uiPriority w:val="0"/>
    <w:pPr>
      <w:tabs>
        <w:tab w:val="left" w:pos="1845"/>
      </w:tabs>
      <w:spacing w:line="240" w:lineRule="exact"/>
      <w:jc w:val="center"/>
    </w:pPr>
    <w:rPr>
      <w:sz w:val="18"/>
    </w:rPr>
  </w:style>
  <w:style w:type="paragraph" w:customStyle="1" w:styleId="38">
    <w:name w:val="1 表头"/>
    <w:basedOn w:val="1"/>
    <w:qFormat/>
    <w:uiPriority w:val="0"/>
    <w:pPr>
      <w:adjustRightInd w:val="0"/>
      <w:snapToGrid w:val="0"/>
      <w:spacing w:line="240" w:lineRule="auto"/>
      <w:ind w:firstLine="0" w:firstLineChars="0"/>
      <w:jc w:val="center"/>
    </w:pPr>
    <w:rPr>
      <w:b/>
      <w:color w:val="000000"/>
      <w:sz w:val="21"/>
      <w:szCs w:val="21"/>
    </w:rPr>
  </w:style>
  <w:style w:type="paragraph" w:customStyle="1" w:styleId="39">
    <w:name w:val="样式1"/>
    <w:basedOn w:val="6"/>
    <w:next w:val="1"/>
    <w:qFormat/>
    <w:uiPriority w:val="0"/>
    <w:pPr>
      <w:spacing w:line="480" w:lineRule="atLeast"/>
      <w:jc w:val="center"/>
    </w:pPr>
    <w:rPr>
      <w:kern w:val="0"/>
      <w:sz w:val="20"/>
      <w:szCs w:val="20"/>
    </w:rPr>
  </w:style>
  <w:style w:type="paragraph" w:customStyle="1" w:styleId="40">
    <w:name w:val="表格"/>
    <w:basedOn w:val="25"/>
    <w:next w:val="1"/>
    <w:link w:val="58"/>
    <w:qFormat/>
    <w:uiPriority w:val="0"/>
    <w:pPr>
      <w:adjustRightInd w:val="0"/>
      <w:snapToGrid w:val="0"/>
      <w:spacing w:beforeLines="10" w:afterLines="10" w:line="259" w:lineRule="auto"/>
      <w:jc w:val="center"/>
    </w:pPr>
    <w:rPr>
      <w:rFonts w:ascii="宋体"/>
      <w:kern w:val="0"/>
      <w:szCs w:val="20"/>
    </w:rPr>
  </w:style>
  <w:style w:type="paragraph" w:customStyle="1" w:styleId="41">
    <w:name w:val="正文1"/>
    <w:basedOn w:val="42"/>
    <w:next w:val="1"/>
    <w:qFormat/>
    <w:uiPriority w:val="0"/>
    <w:pPr>
      <w:adjustRightInd w:val="0"/>
      <w:snapToGrid w:val="0"/>
      <w:spacing w:line="480" w:lineRule="exact"/>
      <w:ind w:firstLine="200" w:firstLineChars="200"/>
      <w:jc w:val="both"/>
    </w:pPr>
    <w:rPr>
      <w:rFonts w:ascii="Times New Roman" w:hAnsi="Times New Roman" w:eastAsia="宋体" w:cs="Times New Roman"/>
      <w:kern w:val="2"/>
      <w:sz w:val="24"/>
      <w:szCs w:val="20"/>
      <w:lang w:val="zh-CN" w:eastAsia="zh-CN"/>
    </w:rPr>
  </w:style>
  <w:style w:type="paragraph" w:customStyle="1" w:styleId="42">
    <w:name w:val="四级"/>
    <w:basedOn w:val="43"/>
    <w:qFormat/>
    <w:uiPriority w:val="0"/>
    <w:pPr>
      <w:ind w:firstLine="200" w:firstLineChars="200"/>
      <w:outlineLvl w:val="3"/>
    </w:pPr>
    <w:rPr>
      <w:sz w:val="28"/>
    </w:rPr>
  </w:style>
  <w:style w:type="paragraph" w:customStyle="1" w:styleId="43">
    <w:name w:val="三级"/>
    <w:basedOn w:val="44"/>
    <w:qFormat/>
    <w:uiPriority w:val="0"/>
    <w:pPr>
      <w:outlineLvl w:val="2"/>
    </w:pPr>
    <w:rPr>
      <w:sz w:val="30"/>
    </w:rPr>
  </w:style>
  <w:style w:type="paragraph" w:customStyle="1" w:styleId="44">
    <w:name w:val="二级"/>
    <w:basedOn w:val="45"/>
    <w:next w:val="41"/>
    <w:qFormat/>
    <w:uiPriority w:val="0"/>
    <w:pPr>
      <w:spacing w:line="415" w:lineRule="auto"/>
      <w:outlineLvl w:val="1"/>
    </w:pPr>
    <w:rPr>
      <w:kern w:val="0"/>
      <w:sz w:val="32"/>
      <w:szCs w:val="20"/>
    </w:rPr>
  </w:style>
  <w:style w:type="paragraph" w:customStyle="1" w:styleId="45">
    <w:name w:val="一级"/>
    <w:basedOn w:val="1"/>
    <w:next w:val="1"/>
    <w:qFormat/>
    <w:uiPriority w:val="0"/>
    <w:pPr>
      <w:ind w:firstLine="539"/>
    </w:pPr>
    <w:rPr>
      <w:rFonts w:ascii="Times New Roman" w:hAnsi="Times New Roman"/>
      <w:b/>
      <w:sz w:val="28"/>
      <w:szCs w:val="20"/>
    </w:rPr>
  </w:style>
  <w:style w:type="paragraph" w:customStyle="1" w:styleId="46">
    <w:name w:val="样式 正文文本缩进 + 行距: 1.5 倍行距"/>
    <w:basedOn w:val="1"/>
    <w:qFormat/>
    <w:uiPriority w:val="0"/>
    <w:pPr>
      <w:spacing w:after="120" w:line="360" w:lineRule="auto"/>
      <w:ind w:left="90" w:leftChars="32" w:firstLine="560" w:firstLineChars="200"/>
    </w:pPr>
    <w:rPr>
      <w:rFonts w:cs="宋体"/>
    </w:rPr>
  </w:style>
  <w:style w:type="paragraph" w:customStyle="1" w:styleId="47">
    <w:name w:val="xl27"/>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rPr>
  </w:style>
  <w:style w:type="character" w:customStyle="1" w:styleId="48">
    <w:name w:val="批注文字 Char"/>
    <w:link w:val="10"/>
    <w:qFormat/>
    <w:locked/>
    <w:uiPriority w:val="0"/>
    <w:rPr>
      <w:rFonts w:ascii="Times New Roman" w:hAnsi="Times New Roman" w:eastAsia="宋体"/>
      <w:sz w:val="24"/>
    </w:rPr>
  </w:style>
  <w:style w:type="character" w:customStyle="1" w:styleId="49">
    <w:name w:val="正文文本 Char"/>
    <w:link w:val="7"/>
    <w:qFormat/>
    <w:locked/>
    <w:uiPriority w:val="0"/>
    <w:rPr>
      <w:sz w:val="18"/>
    </w:rPr>
  </w:style>
  <w:style w:type="character" w:customStyle="1" w:styleId="50">
    <w:name w:val="正文文本缩进 Char"/>
    <w:link w:val="12"/>
    <w:semiHidden/>
    <w:qFormat/>
    <w:locked/>
    <w:uiPriority w:val="0"/>
    <w:rPr>
      <w:rFonts w:ascii="Times New Roman" w:hAnsi="Times New Roman" w:eastAsia="宋体"/>
      <w:sz w:val="24"/>
    </w:rPr>
  </w:style>
  <w:style w:type="character" w:customStyle="1" w:styleId="51">
    <w:name w:val="日期 Char"/>
    <w:link w:val="18"/>
    <w:qFormat/>
    <w:locked/>
    <w:uiPriority w:val="0"/>
    <w:rPr>
      <w:rFonts w:ascii="Times New Roman" w:hAnsi="Times New Roman" w:eastAsia="宋体"/>
      <w:sz w:val="24"/>
    </w:rPr>
  </w:style>
  <w:style w:type="character" w:customStyle="1" w:styleId="52">
    <w:name w:val="批注框文本 Char"/>
    <w:link w:val="19"/>
    <w:semiHidden/>
    <w:qFormat/>
    <w:locked/>
    <w:uiPriority w:val="0"/>
    <w:rPr>
      <w:rFonts w:ascii="Times New Roman" w:hAnsi="Times New Roman" w:eastAsia="宋体"/>
      <w:sz w:val="18"/>
    </w:rPr>
  </w:style>
  <w:style w:type="character" w:customStyle="1" w:styleId="53">
    <w:name w:val="页脚 Char"/>
    <w:link w:val="20"/>
    <w:qFormat/>
    <w:locked/>
    <w:uiPriority w:val="99"/>
    <w:rPr>
      <w:sz w:val="18"/>
    </w:rPr>
  </w:style>
  <w:style w:type="character" w:customStyle="1" w:styleId="54">
    <w:name w:val="页眉 Char"/>
    <w:link w:val="21"/>
    <w:qFormat/>
    <w:locked/>
    <w:uiPriority w:val="0"/>
    <w:rPr>
      <w:sz w:val="18"/>
    </w:rPr>
  </w:style>
  <w:style w:type="character" w:customStyle="1" w:styleId="55">
    <w:name w:val="普通(网站) Char"/>
    <w:link w:val="27"/>
    <w:qFormat/>
    <w:locked/>
    <w:uiPriority w:val="0"/>
    <w:rPr>
      <w:rFonts w:ascii="宋体" w:hAnsi="宋体" w:eastAsia="宋体"/>
      <w:sz w:val="24"/>
    </w:rPr>
  </w:style>
  <w:style w:type="character" w:customStyle="1" w:styleId="56">
    <w:name w:val="批注主题 Char"/>
    <w:link w:val="28"/>
    <w:semiHidden/>
    <w:qFormat/>
    <w:locked/>
    <w:uiPriority w:val="0"/>
    <w:rPr>
      <w:rFonts w:ascii="Times New Roman" w:hAnsi="Times New Roman" w:eastAsia="宋体"/>
      <w:b/>
      <w:kern w:val="2"/>
      <w:sz w:val="24"/>
    </w:rPr>
  </w:style>
  <w:style w:type="character" w:customStyle="1" w:styleId="57">
    <w:name w:val="正文文本 字符1"/>
    <w:semiHidden/>
    <w:qFormat/>
    <w:uiPriority w:val="0"/>
    <w:rPr>
      <w:rFonts w:ascii="Times New Roman" w:hAnsi="Times New Roman" w:eastAsia="宋体"/>
      <w:sz w:val="24"/>
    </w:rPr>
  </w:style>
  <w:style w:type="character" w:customStyle="1" w:styleId="58">
    <w:name w:val="表格 Char"/>
    <w:link w:val="40"/>
    <w:qFormat/>
    <w:locked/>
    <w:uiPriority w:val="0"/>
    <w:rPr>
      <w:rFonts w:ascii="宋体"/>
      <w:sz w:val="21"/>
    </w:rPr>
  </w:style>
  <w:style w:type="character" w:customStyle="1" w:styleId="59">
    <w:name w:val="批注文字 字符1"/>
    <w:semiHidden/>
    <w:qFormat/>
    <w:uiPriority w:val="0"/>
    <w:rPr>
      <w:rFonts w:ascii="Times New Roman" w:hAnsi="Times New Roman" w:eastAsia="宋体"/>
      <w:sz w:val="24"/>
    </w:rPr>
  </w:style>
  <w:style w:type="character" w:customStyle="1" w:styleId="60">
    <w:name w:val="日期 字符"/>
    <w:semiHidden/>
    <w:qFormat/>
    <w:uiPriority w:val="0"/>
    <w:rPr>
      <w:rFonts w:ascii="Times New Roman" w:hAnsi="Times New Roman" w:eastAsia="宋体"/>
      <w:sz w:val="24"/>
    </w:rPr>
  </w:style>
  <w:style w:type="character" w:customStyle="1" w:styleId="61">
    <w:name w:val="页脚 字符"/>
    <w:basedOn w:val="31"/>
    <w:qFormat/>
    <w:uiPriority w:val="99"/>
  </w:style>
  <w:style w:type="paragraph" w:customStyle="1" w:styleId="62">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63">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4">
    <w:name w:val="Table Text"/>
    <w:basedOn w:val="1"/>
    <w:semiHidden/>
    <w:qFormat/>
    <w:uiPriority w:val="0"/>
    <w:rPr>
      <w:rFonts w:ascii="宋体" w:hAnsi="宋体" w:eastAsia="宋体" w:cs="宋体"/>
      <w:sz w:val="24"/>
      <w:szCs w:val="24"/>
      <w:lang w:val="en-US" w:eastAsia="en-US" w:bidi="ar-SA"/>
    </w:rPr>
  </w:style>
  <w:style w:type="paragraph" w:customStyle="1" w:styleId="65">
    <w:name w:val="Table Paragraph"/>
    <w:basedOn w:val="1"/>
    <w:qFormat/>
    <w:uiPriority w:val="0"/>
  </w:style>
  <w:style w:type="table" w:customStyle="1" w:styleId="66">
    <w:name w:val="Table Normal"/>
    <w:unhideWhenUsed/>
    <w:qFormat/>
    <w:uiPriority w:val="0"/>
    <w:tblPr>
      <w:tblCellMar>
        <w:top w:w="0" w:type="dxa"/>
        <w:left w:w="0" w:type="dxa"/>
        <w:bottom w:w="0" w:type="dxa"/>
        <w:right w:w="0" w:type="dxa"/>
      </w:tblCellMar>
    </w:tblPr>
  </w:style>
  <w:style w:type="paragraph" w:customStyle="1" w:styleId="67">
    <w:name w:val="表文字"/>
    <w:basedOn w:val="1"/>
    <w:qFormat/>
    <w:uiPriority w:val="0"/>
    <w:pPr>
      <w:spacing w:line="240" w:lineRule="auto"/>
      <w:ind w:firstLine="0" w:firstLineChars="0"/>
      <w:jc w:val="center"/>
    </w:pPr>
    <w:rPr>
      <w:rFonts w:ascii="Times New Roman" w:hAnsi="Times New Roman"/>
      <w:sz w:val="21"/>
    </w:rPr>
  </w:style>
  <w:style w:type="paragraph" w:customStyle="1" w:styleId="68">
    <w:name w:val="报告表正文"/>
    <w:basedOn w:val="69"/>
    <w:qFormat/>
    <w:uiPriority w:val="0"/>
    <w:pPr>
      <w:ind w:firstLine="1188" w:firstLineChars="200"/>
    </w:pPr>
    <w:rPr>
      <w:rFonts w:ascii="Times New Roman"/>
      <w:sz w:val="24"/>
    </w:rPr>
  </w:style>
  <w:style w:type="paragraph" w:customStyle="1" w:styleId="69">
    <w:name w:val="报告正文"/>
    <w:basedOn w:val="70"/>
    <w:qFormat/>
    <w:uiPriority w:val="0"/>
    <w:pPr>
      <w:widowControl w:val="0"/>
      <w:snapToGrid w:val="0"/>
      <w:spacing w:line="360" w:lineRule="auto"/>
      <w:ind w:firstLine="200" w:firstLineChars="200"/>
    </w:pPr>
    <w:rPr>
      <w:rFonts w:ascii="Times New Roman" w:hAnsi="Times New Roman" w:cs="Times New Roman"/>
      <w:snapToGrid w:val="0"/>
      <w:sz w:val="24"/>
      <w:szCs w:val="28"/>
    </w:rPr>
  </w:style>
  <w:style w:type="paragraph" w:customStyle="1" w:styleId="70">
    <w:name w:val="p17"/>
    <w:basedOn w:val="1"/>
    <w:qFormat/>
    <w:uiPriority w:val="0"/>
    <w:pPr>
      <w:widowControl/>
    </w:pPr>
    <w:rPr>
      <w:rFonts w:ascii="宋体" w:hAnsi="宋体" w:cs="宋体"/>
      <w:kern w:val="0"/>
      <w:szCs w:val="21"/>
    </w:rPr>
  </w:style>
  <w:style w:type="paragraph" w:customStyle="1" w:styleId="71">
    <w:name w:val="@正文缩进"/>
    <w:basedOn w:val="1"/>
    <w:qFormat/>
    <w:uiPriority w:val="0"/>
    <w:pPr>
      <w:pBdr>
        <w:top w:val="none" w:color="auto" w:sz="0" w:space="3"/>
        <w:left w:val="none" w:color="auto" w:sz="0" w:space="4"/>
        <w:bottom w:val="none" w:color="auto" w:sz="0" w:space="1"/>
        <w:right w:val="none" w:color="auto" w:sz="0" w:space="4"/>
      </w:pBdr>
      <w:spacing w:line="360" w:lineRule="auto"/>
      <w:ind w:firstLine="420" w:firstLineChars="200"/>
      <w:textAlignment w:val="baseline"/>
    </w:pPr>
    <w:rPr>
      <w:rFonts w:ascii="Times New Roman" w:hAnsi="Times New Roman" w:eastAsia="宋体"/>
      <w:sz w:val="24"/>
      <w:szCs w:val="24"/>
    </w:rPr>
  </w:style>
  <w:style w:type="paragraph" w:customStyle="1" w:styleId="72">
    <w:name w:val="表中文字"/>
    <w:basedOn w:val="1"/>
    <w:next w:val="1"/>
    <w:qFormat/>
    <w:uiPriority w:val="0"/>
    <w:pPr>
      <w:spacing w:line="240" w:lineRule="exact"/>
      <w:jc w:val="center"/>
    </w:pPr>
    <w:rPr>
      <w:rFonts w:ascii="宋体" w:hAnsi="宋体"/>
      <w:szCs w:val="20"/>
    </w:rPr>
  </w:style>
  <w:style w:type="paragraph" w:customStyle="1" w:styleId="73">
    <w:name w:val="表文1"/>
    <w:basedOn w:val="1"/>
    <w:next w:val="1"/>
    <w:qFormat/>
    <w:uiPriority w:val="0"/>
    <w:pPr>
      <w:spacing w:line="312" w:lineRule="auto"/>
      <w:ind w:left="51" w:right="51"/>
      <w:jc w:val="center"/>
    </w:pPr>
    <w:rPr>
      <w:rFonts w:ascii="Calibri" w:hAnsi="Calibri" w:eastAsia="宋体"/>
    </w:rPr>
  </w:style>
  <w:style w:type="paragraph" w:customStyle="1" w:styleId="74">
    <w:name w:val="表头"/>
    <w:basedOn w:val="75"/>
    <w:next w:val="1"/>
    <w:qFormat/>
    <w:uiPriority w:val="0"/>
    <w:pPr>
      <w:keepNext/>
      <w:snapToGrid w:val="0"/>
      <w:spacing w:before="60" w:after="60" w:line="400" w:lineRule="exact"/>
      <w:jc w:val="center"/>
    </w:pPr>
    <w:rPr>
      <w:rFonts w:ascii="黑体" w:eastAsia="黑体"/>
      <w:snapToGrid w:val="0"/>
      <w:spacing w:val="10"/>
      <w:w w:val="98"/>
      <w:kern w:val="21"/>
      <w:szCs w:val="20"/>
    </w:rPr>
  </w:style>
  <w:style w:type="paragraph" w:customStyle="1" w:styleId="75">
    <w:name w:val="表外"/>
    <w:basedOn w:val="1"/>
    <w:qFormat/>
    <w:uiPriority w:val="0"/>
    <w:pPr>
      <w:ind w:firstLine="0" w:firstLineChars="0"/>
    </w:pPr>
    <w:rPr>
      <w:rFonts w:ascii="Times New Roman"/>
      <w:b/>
      <w:sz w:val="32"/>
    </w:rPr>
  </w:style>
  <w:style w:type="paragraph" w:customStyle="1" w:styleId="76">
    <w:name w:val="lh-1级标题--报告表"/>
    <w:next w:val="1"/>
    <w:qFormat/>
    <w:uiPriority w:val="0"/>
    <w:pPr>
      <w:keepNext/>
      <w:pageBreakBefore/>
      <w:numPr>
        <w:ilvl w:val="0"/>
        <w:numId w:val="2"/>
      </w:numPr>
      <w:spacing w:line="360" w:lineRule="auto"/>
      <w:outlineLvl w:val="0"/>
    </w:pPr>
    <w:rPr>
      <w:rFonts w:ascii="Times New Roman" w:hAnsi="Times New Roman" w:eastAsia="宋体" w:cs="Times New Roman"/>
      <w:b/>
      <w:bCs/>
      <w:snapToGrid w:val="0"/>
      <w:sz w:val="24"/>
      <w:szCs w:val="44"/>
      <w:lang w:val="en-US" w:eastAsia="zh-CN" w:bidi="ar-SA"/>
    </w:rPr>
  </w:style>
  <w:style w:type="paragraph" w:customStyle="1" w:styleId="77">
    <w:name w:val="lh-正文-报告表"/>
    <w:basedOn w:val="1"/>
    <w:qFormat/>
    <w:uiPriority w:val="0"/>
    <w:pPr>
      <w:spacing w:line="360" w:lineRule="auto"/>
      <w:ind w:firstLine="480" w:firstLineChars="200"/>
    </w:pPr>
    <w:rPr>
      <w:kern w:val="0"/>
      <w:sz w:val="24"/>
      <w:szCs w:val="21"/>
    </w:rPr>
  </w:style>
  <w:style w:type="paragraph" w:customStyle="1" w:styleId="78">
    <w:name w:val="正文 首行缩进:  2 字符"/>
    <w:basedOn w:val="1"/>
    <w:qFormat/>
    <w:uiPriority w:val="0"/>
    <w:pPr>
      <w:spacing w:line="360" w:lineRule="auto"/>
      <w:ind w:firstLine="200" w:firstLineChars="200"/>
    </w:pPr>
    <w:rPr>
      <w:rFonts w:cs="宋体"/>
      <w:sz w:val="24"/>
      <w:szCs w:val="20"/>
    </w:rPr>
  </w:style>
  <w:style w:type="paragraph" w:customStyle="1" w:styleId="79">
    <w:name w:val="lh-表格文字-报告表"/>
    <w:qFormat/>
    <w:uiPriority w:val="0"/>
    <w:pPr>
      <w:jc w:val="center"/>
    </w:pPr>
    <w:rPr>
      <w:rFonts w:ascii="Times New Roman" w:hAnsi="Times New Roman" w:eastAsia="宋体" w:cs="Times New Roman"/>
      <w:snapToGrid w:val="0"/>
      <w:sz w:val="21"/>
      <w:szCs w:val="24"/>
      <w:lang w:val="en-US" w:eastAsia="zh-CN" w:bidi="ar-SA"/>
    </w:rPr>
  </w:style>
  <w:style w:type="paragraph" w:customStyle="1" w:styleId="80">
    <w:name w:val="正文新"/>
    <w:basedOn w:val="1"/>
    <w:qFormat/>
    <w:uiPriority w:val="0"/>
    <w:pPr>
      <w:ind w:firstLine="561" w:firstLineChars="200"/>
    </w:pPr>
  </w:style>
  <w:style w:type="paragraph" w:customStyle="1" w:styleId="81">
    <w:name w:val="表格题目1"/>
    <w:basedOn w:val="1"/>
    <w:next w:val="80"/>
    <w:qFormat/>
    <w:uiPriority w:val="0"/>
    <w:pPr>
      <w:spacing w:line="276" w:lineRule="auto"/>
      <w:ind w:firstLine="420" w:firstLineChars="200"/>
      <w:outlineLvl w:val="2"/>
    </w:pPr>
    <w:rPr>
      <w:rFonts w:eastAsia="黑体"/>
      <w:color w:val="000000"/>
      <w:sz w:val="21"/>
      <w:szCs w:val="21"/>
    </w:rPr>
  </w:style>
  <w:style w:type="character" w:customStyle="1" w:styleId="82">
    <w:name w:val="font11"/>
    <w:basedOn w:val="31"/>
    <w:qFormat/>
    <w:uiPriority w:val="0"/>
    <w:rPr>
      <w:rFonts w:hint="eastAsia" w:ascii="宋体" w:hAnsi="宋体" w:eastAsia="宋体" w:cs="宋体"/>
      <w:b/>
      <w:bCs/>
      <w:color w:val="000000"/>
      <w:sz w:val="21"/>
      <w:szCs w:val="21"/>
      <w:u w:val="none"/>
    </w:rPr>
  </w:style>
  <w:style w:type="character" w:customStyle="1" w:styleId="83">
    <w:name w:val="font21"/>
    <w:basedOn w:val="31"/>
    <w:qFormat/>
    <w:uiPriority w:val="0"/>
    <w:rPr>
      <w:rFonts w:hint="default" w:ascii="Times New Roman" w:hAnsi="Times New Roman" w:cs="Times New Roman"/>
      <w:b/>
      <w:bCs/>
      <w:color w:val="000000"/>
      <w:sz w:val="21"/>
      <w:szCs w:val="21"/>
      <w:u w:val="none"/>
    </w:rPr>
  </w:style>
  <w:style w:type="character" w:customStyle="1" w:styleId="84">
    <w:name w:val="font31"/>
    <w:basedOn w:val="31"/>
    <w:qFormat/>
    <w:uiPriority w:val="0"/>
    <w:rPr>
      <w:rFonts w:hint="default" w:ascii="Times New Roman" w:hAnsi="Times New Roman" w:cs="Times New Roman"/>
      <w:color w:val="000000"/>
      <w:sz w:val="21"/>
      <w:szCs w:val="21"/>
      <w:u w:val="none"/>
    </w:rPr>
  </w:style>
  <w:style w:type="character" w:customStyle="1" w:styleId="85">
    <w:name w:val="font41"/>
    <w:basedOn w:val="31"/>
    <w:qFormat/>
    <w:uiPriority w:val="0"/>
    <w:rPr>
      <w:rFonts w:hint="eastAsia" w:ascii="宋体" w:hAnsi="宋体" w:eastAsia="宋体" w:cs="宋体"/>
      <w:color w:val="000000"/>
      <w:sz w:val="21"/>
      <w:szCs w:val="21"/>
      <w:u w:val="none"/>
    </w:rPr>
  </w:style>
  <w:style w:type="paragraph" w:customStyle="1" w:styleId="86">
    <w:name w:val="@表格内容"/>
    <w:qFormat/>
    <w:uiPriority w:val="0"/>
    <w:pPr>
      <w:snapToGrid w:val="0"/>
      <w:jc w:val="center"/>
    </w:pPr>
    <w:rPr>
      <w:rFonts w:ascii="Times New Roman" w:hAnsi="Times New Roman" w:eastAsia="华文中宋" w:cs="Times New Roman"/>
      <w:sz w:val="21"/>
      <w:szCs w:val="21"/>
      <w:lang w:val="en-US" w:eastAsia="zh-CN" w:bidi="ar-SA"/>
    </w:rPr>
  </w:style>
  <w:style w:type="character" w:customStyle="1" w:styleId="87">
    <w:name w:val="font51"/>
    <w:basedOn w:val="31"/>
    <w:qFormat/>
    <w:uiPriority w:val="0"/>
    <w:rPr>
      <w:rFonts w:hint="default" w:ascii="Times New Roman" w:hAnsi="Times New Roman" w:cs="Times New Roman"/>
      <w:b/>
      <w:bCs/>
      <w:color w:val="000000"/>
      <w:sz w:val="21"/>
      <w:szCs w:val="21"/>
      <w:u w:val="none"/>
    </w:rPr>
  </w:style>
  <w:style w:type="paragraph" w:customStyle="1" w:styleId="88">
    <w:name w:val="表内文字"/>
    <w:basedOn w:val="1"/>
    <w:qFormat/>
    <w:uiPriority w:val="0"/>
    <w:pPr>
      <w:spacing w:line="240" w:lineRule="auto"/>
      <w:ind w:firstLine="0" w:firstLineChars="0"/>
      <w:jc w:val="center"/>
    </w:pPr>
    <w:rPr>
      <w:sz w:val="21"/>
      <w:szCs w:val="21"/>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3.png"/><Relationship Id="rId26" Type="http://schemas.openxmlformats.org/officeDocument/2006/relationships/image" Target="media/image12.emf"/><Relationship Id="rId25" Type="http://schemas.openxmlformats.org/officeDocument/2006/relationships/image" Target="media/image11.emf"/><Relationship Id="rId24" Type="http://schemas.openxmlformats.org/officeDocument/2006/relationships/image" Target="media/image10.emf"/><Relationship Id="rId23" Type="http://schemas.openxmlformats.org/officeDocument/2006/relationships/image" Target="media/image9.emf"/><Relationship Id="rId22" Type="http://schemas.openxmlformats.org/officeDocument/2006/relationships/image" Target="media/image8.emf"/><Relationship Id="rId21" Type="http://schemas.openxmlformats.org/officeDocument/2006/relationships/image" Target="media/image7.emf"/><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image" Target="media/image4.wmf"/><Relationship Id="rId17" Type="http://schemas.openxmlformats.org/officeDocument/2006/relationships/oleObject" Target="embeddings/oleObject8.bin"/><Relationship Id="rId16" Type="http://schemas.openxmlformats.org/officeDocument/2006/relationships/image" Target="media/image3.wmf"/><Relationship Id="rId15" Type="http://schemas.openxmlformats.org/officeDocument/2006/relationships/oleObject" Target="embeddings/oleObject7.bin"/><Relationship Id="rId14" Type="http://schemas.openxmlformats.org/officeDocument/2006/relationships/oleObject" Target="embeddings/oleObject6.bin"/><Relationship Id="rId13" Type="http://schemas.openxmlformats.org/officeDocument/2006/relationships/oleObject" Target="embeddings/oleObject5.bin"/><Relationship Id="rId12" Type="http://schemas.openxmlformats.org/officeDocument/2006/relationships/oleObject" Target="embeddings/oleObject4.bin"/><Relationship Id="rId11" Type="http://schemas.openxmlformats.org/officeDocument/2006/relationships/oleObject" Target="embeddings/oleObject3.bin"/><Relationship Id="rId10" Type="http://schemas.openxmlformats.org/officeDocument/2006/relationships/image" Target="media/image2.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112</Pages>
  <Words>21766</Words>
  <Characters>24274</Characters>
  <Lines>13</Lines>
  <Paragraphs>3</Paragraphs>
  <TotalTime>70</TotalTime>
  <ScaleCrop>false</ScaleCrop>
  <LinksUpToDate>false</LinksUpToDate>
  <CharactersWithSpaces>24438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超</cp:lastModifiedBy>
  <cp:lastPrinted>2026-06-25T07:55:00Z</cp:lastPrinted>
  <dcterms:modified xsi:type="dcterms:W3CDTF">2026-09-21T10:31:29Z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eyJoZGlkIjoiYzU4ODNlMzY2Y2IwOWI2OGJhZmU5NWQwMWVjMzJhZDkiLCJ1c2VySWQiOiI0NTQ3MzI3ODIifQ==</vt:lpwstr>
  </property>
  <property fmtid="{D5CDD505-2E9C-101B-9397-08002B2CF9AE}" pid="4" name="ICV">
    <vt:lpwstr>7E439D92DF5341D99F402B0781CBBB0C_13</vt:lpwstr>
  </property>
</Properties>
</file>